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2d09" w14:paraId="f5f2d09" w:rsidRDefault="00094F33" w:rsidR="00094F33">
      <w:pPr>
        <w:pStyle w:val="Standard"/>
        <w15:collapsed w:val="false"/>
      </w:pPr>
      <w:bookmarkStart w:name="_GoBack" w:id="0"/>
      <w:bookmarkEnd w:id="0"/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  <w:b/>
          <w:lang w:val="pl-PL"/>
        </w:rPr>
        <w:t>Nadle</w:t>
      </w:r>
      <w:r>
        <w:rPr>
          <w:rFonts w:cs="Tahoma" w:hAnsi="Tahoma" w:ascii="Tahoma"/>
          <w:b/>
        </w:rPr>
        <w:t>ž</w:t>
      </w:r>
      <w:r>
        <w:rPr>
          <w:rFonts w:cs="Tahoma" w:hAnsi="Tahoma" w:ascii="Tahoma"/>
          <w:b/>
          <w:lang w:val="pl-PL"/>
        </w:rPr>
        <w:t>an trgova</w:t>
      </w:r>
      <w:r>
        <w:rPr>
          <w:rFonts w:cs="Tahoma" w:hAnsi="Tahoma" w:ascii="Tahoma"/>
          <w:b/>
        </w:rPr>
        <w:t>č</w:t>
      </w:r>
      <w:r>
        <w:rPr>
          <w:rFonts w:cs="Tahoma" w:hAnsi="Tahoma" w:ascii="Tahoma"/>
          <w:b/>
          <w:lang w:val="pl-PL"/>
        </w:rPr>
        <w:t>ki sud</w:t>
      </w:r>
      <w:r>
        <w:rPr>
          <w:rFonts w:cs="Tahoma" w:hAnsi="Tahoma" w:ascii="Tahoma"/>
          <w:lang w:val="pl-PL"/>
        </w:rPr>
        <w:t xml:space="preserve">:     </w:t>
      </w:r>
      <w:r>
        <w:rPr>
          <w:rFonts w:cs="Tahoma" w:hAnsi="Tahoma" w:ascii="Tahoma"/>
          <w:b/>
        </w:rPr>
        <w:t>Trgovački sud u Varaždinu</w:t>
      </w: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  <w:b/>
          <w:lang w:val="pl-PL"/>
        </w:rPr>
        <w:t>Poslovni broj spisa</w:t>
      </w:r>
      <w:r>
        <w:rPr>
          <w:rFonts w:cs="Tahoma" w:hAnsi="Tahoma" w:ascii="Tahoma"/>
          <w:lang w:val="pl-PL"/>
        </w:rPr>
        <w:t>:</w:t>
      </w:r>
      <w:r>
        <w:rPr>
          <w:rFonts w:cs="Tahoma" w:hAnsi="Tahoma" w:ascii="Tahoma"/>
          <w:lang w:val="pl-PL"/>
        </w:rPr>
        <w:tab/>
        <w:t xml:space="preserve">      </w:t>
      </w:r>
      <w:r>
        <w:rPr>
          <w:rFonts w:cs="Tahoma" w:hAnsi="Tahoma" w:ascii="Tahoma"/>
          <w:b/>
          <w:lang w:val="pl-PL"/>
        </w:rPr>
        <w:t>St-174/17</w:t>
      </w:r>
    </w:p>
    <w:p w:rsidRDefault="00F95A76" w:rsidR="00094F33">
      <w:pPr>
        <w:pStyle w:val="Standard"/>
        <w:spacing w:lineRule="auto" w:line="288" w:after="0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 xml:space="preserve">Dužnik: </w:t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     </w:t>
      </w:r>
      <w:bookmarkStart w:name="_Hlk485027454" w:id="1"/>
      <w:r>
        <w:rPr>
          <w:rFonts w:cs="Tahoma" w:hAnsi="Tahoma" w:ascii="Tahoma"/>
          <w:b/>
          <w:lang w:val="pl-PL"/>
        </w:rPr>
        <w:t xml:space="preserve">  PUZ IN-GRADNJA u stečaju                                                                                                                                     </w:t>
      </w:r>
    </w:p>
    <w:p w:rsidRDefault="00F95A76" w:rsidR="00094F33">
      <w:pPr>
        <w:pStyle w:val="Standard"/>
        <w:spacing w:lineRule="auto" w:line="288" w:after="0"/>
        <w:ind w:firstLine="709" w:left="2127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 xml:space="preserve">       Ivana Mažuranića 8, Podravske Sesvete</w:t>
      </w:r>
    </w:p>
    <w:p w:rsidRDefault="00F95A76" w:rsidR="00094F33">
      <w:pPr>
        <w:pStyle w:val="Standard"/>
        <w:spacing w:lineRule="auto" w:line="288" w:after="0"/>
        <w:ind w:firstLine="709" w:left="2127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 xml:space="preserve">       OIB: 86198632160, MBS: 010054851</w:t>
      </w:r>
    </w:p>
    <w:bookmarkEnd w:id="1"/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  <w:lang w:val="pl-PL"/>
        </w:rPr>
        <w:t>Rješenjem Trgovačkog suda u Varaždinu od 29.03 2017. godine otvoren je stečajni postupak nad društvom PUZ IN-GRADNJA u stečaju, Ivana Mažuranića 8, Podravske Sesvete, OIB: 66198632160, MBS: 010054854. Temeljem č</w:t>
      </w:r>
      <w:r>
        <w:rPr>
          <w:rFonts w:cs="Tahoma" w:hAnsi="Tahoma" w:ascii="Tahoma"/>
        </w:rPr>
        <w:t>l. 227. st. 1. Stečajnog zakona stečajni upravitelj podnosi: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094F33" w:rsidR="00094F33">
      <w:pPr>
        <w:pStyle w:val="Standard"/>
        <w:spacing w:lineRule="auto" w:line="288" w:after="0"/>
        <w:jc w:val="center"/>
        <w:rPr>
          <w:rFonts w:cs="Tahoma" w:hAnsi="Tahoma" w:ascii="Tahoma"/>
          <w:b/>
        </w:rPr>
      </w:pPr>
    </w:p>
    <w:p w:rsidRDefault="00F95A76" w:rsidR="00094F33">
      <w:pPr>
        <w:pStyle w:val="Standard"/>
        <w:spacing w:lineRule="auto" w:line="288" w:after="0"/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IZVJEŠĆE STEČAJNOGA UPRAVITELJA O GOSPODARSKOM POLOŽAJU STEČAJNOG DUŽNIKA I STANJU IMOVINE I OBVEZA</w:t>
      </w:r>
    </w:p>
    <w:p w:rsidRDefault="00094F33" w:rsidR="00094F33">
      <w:pPr>
        <w:pStyle w:val="Standard"/>
        <w:spacing w:lineRule="auto" w:line="288" w:after="0"/>
        <w:jc w:val="center"/>
        <w:rPr>
          <w:rFonts w:cs="Tahoma" w:hAnsi="Tahoma" w:ascii="Tahoma"/>
          <w:b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u w:val="single"/>
        </w:rPr>
      </w:pPr>
      <w:r>
        <w:rPr>
          <w:rFonts w:cs="Tahoma" w:hAnsi="Tahoma" w:ascii="Tahoma"/>
          <w:b/>
          <w:u w:val="single"/>
        </w:rPr>
        <w:t>I Opći podaci o stečajnom dužniku i poduzete radnje stečajnog upravitelja</w:t>
      </w:r>
    </w:p>
    <w:p w:rsidRDefault="00094F33" w:rsidR="00094F33">
      <w:pPr>
        <w:pStyle w:val="Standard"/>
        <w:spacing w:lineRule="auto" w:line="288" w:after="0"/>
        <w:jc w:val="center"/>
        <w:rPr>
          <w:rFonts w:cs="Tahoma" w:hAnsi="Tahoma" w:ascii="Tahoma"/>
          <w:b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Stečajni dužnik PUZ IN-GRADNJA osnovana je kao zadruga Ugovorom o osnivanju od 28. travnja 2004. Osnovna djelatnost stečajnog dužnika bila je gradnja stambenih i nestambenih zgrada, šifra djelatnosti 4120 po NKD-u. Na dan otvaranja stečajnog postupka zadruga je zapošljavala 2 zaposlenika.Stečajni upravitelj otkazao je ugovore o radu i nakon  isteka otkaznog roka od mjesec dana, zaposlenike je odjavio i uručio im potvrde za Zavod za zapošljavanje te svu ostalu dokumentaciju koja se nalazila u dosjeu radnika.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Oglas o otvaranju stečajnog postupka objavljen je na e-oglasnoj ploči suda dana 29.03.2017. s pozivom vjerovnicima radi prijava tražbina u stečajni postupak,  te poziv dužnikovim dužnicima da ispune svoje obveze prema stečajnom dužniku. Izvještajno i ispitno ročište zakazano je za dan 04.07.2017. godine.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95A76" w:rsidR="00094F33">
      <w:pPr>
        <w:pStyle w:val="Standard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Prijave pristiglih tražbina (11) u zakonskom roku od 60 dana, obavijesti vjerovnika o postojanju razlučnog prava na nekretninama, popis predmeta stečajne mase i pregled imovine i obveza stečajnog dužnika predane su u sudsku pisarnicu zajedno s ovim Izvješćem i Tabelama I i II Višeg isplatnog reda (I i II VIR).</w:t>
      </w: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Stečajni upravitelj preuzeo je dužnost  danom otvaranja stečajnog postupka nakon čega su poduzete slijedeće radnje: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95A76" w:rsidR="00094F33">
      <w:pPr>
        <w:pStyle w:val="Odlomakpopisa"/>
        <w:numPr>
          <w:ilvl w:val="0"/>
          <w:numId w:val="30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preuzet je stari štambilj i izrađen je novi štambilj stečajnog dužnika s oznakom „u stečaju“,</w:t>
      </w:r>
    </w:p>
    <w:p w:rsidRDefault="00F95A76" w:rsidR="00094F33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otvoren je novi račun u Zagrebačkoj banci d.d. Čakovec,                                                                           </w:t>
      </w:r>
      <w:r>
        <w:rPr>
          <w:rFonts w:cs="Tahoma" w:hAnsi="Tahoma" w:ascii="Tahoma"/>
        </w:rPr>
        <w:lastRenderedPageBreak/>
        <w:t>IBAN HR1223600001102602651,</w:t>
      </w:r>
    </w:p>
    <w:p w:rsidRDefault="00F95A76" w:rsidR="00094F33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poslana je obavijest Državnom zavodu za statistiku za razvrstavanje stečajnog dužnika po djelatnosti,</w:t>
      </w:r>
    </w:p>
    <w:p w:rsidRDefault="00F95A76" w:rsidR="00094F33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od odgovorne osobe i knjigovodstva Kalkulator d.o.o. iz Đurđevca zatražena je i dobivena dokumentacija stečajnog dužnika,</w:t>
      </w:r>
    </w:p>
    <w:p w:rsidRDefault="00F95A76" w:rsidR="00094F33">
      <w:pPr>
        <w:pStyle w:val="Odlomakpopisa"/>
        <w:numPr>
          <w:ilvl w:val="0"/>
          <w:numId w:val="3"/>
        </w:numPr>
        <w:spacing w:lineRule="auto" w:line="288" w:after="0"/>
        <w:jc w:val="both"/>
      </w:pPr>
      <w:r>
        <w:rPr>
          <w:rFonts w:cs="Tahoma" w:hAnsi="Tahoma" w:ascii="Tahoma"/>
          <w:lang w:val="pl-PL"/>
        </w:rPr>
        <w:t xml:space="preserve">izvršena je analiza radi utvrđivanja osnovanosti prijava tražbina stečajnih vjerovnika i </w:t>
      </w:r>
      <w:r>
        <w:rPr>
          <w:rFonts w:cs="Tahoma" w:hAnsi="Tahoma" w:ascii="Tahoma"/>
        </w:rPr>
        <w:t>utvrđene su tražbine za 2 zaposlenika stečajnog dužnika,</w:t>
      </w:r>
    </w:p>
    <w:p w:rsidRDefault="00F95A76" w:rsidR="00094F33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sklopljen je ugovor o obavljanju knjigovodstvenih usluga sa društvom Biro plus d.o.o. iz Čakovca,</w:t>
      </w:r>
    </w:p>
    <w:p w:rsidRDefault="00F95A76" w:rsidR="00094F33">
      <w:pPr>
        <w:pStyle w:val="Standard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dana 06.04.2017. god. izvršen je pregled nekretnina stečajnog dužnika u nazočnosti sudskog vještaka</w:t>
      </w:r>
    </w:p>
    <w:p w:rsidRDefault="00F95A76" w:rsidR="00094F33">
      <w:pPr>
        <w:pStyle w:val="Standard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dana 09.05.2017.god. održan je sastanak sa potencijalnim kupcima stanova i poslovnih prostora u zgradi u Pitomači, Braće Radića 6, od kojih se neki već nalaze u pojedinim stanovima</w:t>
      </w:r>
    </w:p>
    <w:p w:rsidRDefault="00F95A76" w:rsidR="00094F33">
      <w:pPr>
        <w:pStyle w:val="Standard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poslana je opomena kupcu – LOKUS j.d.o.o. radi isplate tražbine u iznosu 32.692,52 kn </w:t>
      </w:r>
    </w:p>
    <w:p w:rsidRDefault="00F95A76" w:rsidR="00094F33">
      <w:pPr>
        <w:pStyle w:val="Standard"/>
        <w:numPr>
          <w:ilvl w:val="0"/>
          <w:numId w:val="3"/>
        </w:numPr>
        <w:spacing w:lineRule="auto" w:line="288" w:after="0"/>
        <w:jc w:val="both"/>
      </w:pPr>
      <w:r>
        <w:rPr>
          <w:rFonts w:cs="Tahoma" w:hAnsi="Tahoma" w:ascii="Tahoma"/>
        </w:rPr>
        <w:t xml:space="preserve">sklopljen je Sporazum o održavanju nekretnine sa Josipom Levarom iz Pitomače za mjesečni iznos od 500,00 kn od dana 01.05.2017. radi brige o održavanju objekta, a isplata počinje teći čim se na računu stečajnog dužnika steknu sredstva – Josip Levar uplatio je predujam za dva stana i nalazi se u posjedu oba stana </w:t>
      </w:r>
    </w:p>
    <w:p w:rsidRDefault="00F95A76" w:rsidR="00094F33">
      <w:pPr>
        <w:pStyle w:val="Standard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izrađena je početna stečajna bilanca</w:t>
      </w:r>
    </w:p>
    <w:p w:rsidRDefault="00F95A76" w:rsidR="00094F33">
      <w:pPr>
        <w:pStyle w:val="Standard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uvrštene su tražbine prema isplatnim redovima (I i II Viši isplatni red – I i II VIR)</w:t>
      </w: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    </w:t>
      </w:r>
    </w:p>
    <w:p w:rsidRDefault="00094F33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  <w:lang w:val="pl-PL"/>
        </w:rPr>
      </w:pPr>
    </w:p>
    <w:p w:rsidRDefault="00F06E42" w:rsidR="00F06E42">
      <w:pPr>
        <w:pStyle w:val="Standard"/>
        <w:spacing w:lineRule="auto" w:line="288" w:after="0"/>
        <w:ind w:left="360"/>
        <w:jc w:val="both"/>
        <w:rPr>
          <w:rFonts w:cs="Tahoma" w:hAnsi="Tahoma" w:ascii="Tahoma"/>
          <w:lang w:val="pl-PL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bCs/>
          <w:u w:val="single"/>
          <w:lang w:val="pl-PL"/>
        </w:rPr>
      </w:pPr>
      <w:r>
        <w:rPr>
          <w:rFonts w:cs="Tahoma" w:hAnsi="Tahoma" w:ascii="Tahoma"/>
          <w:b/>
          <w:bCs/>
          <w:u w:val="single"/>
          <w:lang w:val="pl-PL"/>
        </w:rPr>
        <w:t>II Stanje stečajne mase</w:t>
      </w:r>
    </w:p>
    <w:p w:rsidRDefault="00094F33" w:rsidR="00094F33">
      <w:pPr>
        <w:pStyle w:val="Standard"/>
        <w:spacing w:lineRule="auto" w:line="288" w:after="0"/>
        <w:ind w:left="357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Rješenjem suda od 20.01.2016. St-135/15-7 prekinut je stečajni postupak iz razloga što nije bila donijeta konačna odluka u postupku predstečajne nagodbe kod FINE. Uvidom u stranice FINE  sud je utvrdio da je rješenjem od 26.08.2015., Klasa: UP- i/110/07-14-01/7153,Ur. broj;04-06-15-7153-69 obustavljen postupak predstečajne nagodbe  nad stečajnim dužnikom. Iz podataka koji su bili dostavljenih sudu proizlazi da je dužnik bio u neprekidnoj blokadi od 576 dana i imao nepodmirene obveze od 4.244.570,88 kn. Stoga je sud je po čl. 128. do 131. Stečajnog zakona donio rješenje o otvaranju stečajnog postupka zbog nesposobnosti plačanja.</w:t>
      </w:r>
    </w:p>
    <w:p w:rsidRDefault="00F06E42" w:rsidR="00F06E42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06E42" w:rsidR="00F06E42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Na rješenje o otvaranju stečajnog postupka bivši upravitelj stečajnog dužnika Stjepan Štefec podnio je žalbu koja je rješenjem VTS-a broj St-174/17 od 26.04.2017. dijelom odbačena a dijelom odbijena.</w:t>
      </w:r>
    </w:p>
    <w:p w:rsidRDefault="00F06E42" w:rsidR="00F06E42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iCs/>
        </w:rPr>
      </w:pPr>
      <w:r>
        <w:rPr>
          <w:rFonts w:cs="Tahoma" w:hAnsi="Tahoma" w:ascii="Tahoma"/>
          <w:iCs/>
        </w:rPr>
        <w:t xml:space="preserve">Sukladno čl. 223. Stečajnog zakona zatražena je knjigovodstvena dokumentacija stečajnog </w:t>
      </w:r>
      <w:r>
        <w:rPr>
          <w:rFonts w:cs="Tahoma" w:hAnsi="Tahoma" w:ascii="Tahoma"/>
          <w:iCs/>
        </w:rPr>
        <w:lastRenderedPageBreak/>
        <w:t>dužnika. Od odgovorne osobe i bivšeg upravitelja zadruge stečajnog dužnika Stjepana Štefeca i knjigovodstvenog servisa Kalkulator d.o.o. pribavljena je potrebna dokumentacija (bruto bilance za 2014. - 2016., bruto bilanca od 01.01.2017. do 28.03.2017. godine, kartice glavne knjige, financijska izvješća za 2014. - 2016., otvorene stavke svih potraživanja i obveza na dan 28.03.2014., inventurni popis imovine, podaci o neisplaćenim plaćama zaposlenika i dr.).</w:t>
      </w:r>
    </w:p>
    <w:p w:rsidRDefault="00F06E42" w:rsidR="00F06E42">
      <w:pPr>
        <w:pStyle w:val="Standard"/>
        <w:spacing w:lineRule="auto" w:line="288" w:after="0"/>
        <w:jc w:val="both"/>
        <w:rPr>
          <w:rFonts w:cs="Tahoma" w:hAnsi="Tahoma" w:ascii="Tahoma"/>
          <w:iCs/>
        </w:rPr>
      </w:pPr>
    </w:p>
    <w:p w:rsidRDefault="00F95A76" w:rsidR="00094F33">
      <w:pPr>
        <w:pStyle w:val="Standard"/>
        <w:spacing w:lineRule="auto" w:line="288"/>
        <w:jc w:val="both"/>
      </w:pPr>
      <w:r>
        <w:rPr>
          <w:rFonts w:cs="Tahoma" w:hAnsi="Tahoma" w:ascii="Tahoma"/>
          <w:iCs/>
        </w:rPr>
        <w:t xml:space="preserve">Također izvršen je uvid u registar javno objavljenih financijskih izvještaja na stranicama FINE. Utvrđeno je da je dužnik poslovanje obavljao sukladno računovodstvenim i poreznim propisima, da je vodio poslovne knjige i </w:t>
      </w:r>
      <w:r>
        <w:rPr>
          <w:rFonts w:cs="Tahoma" w:eastAsia="Times New Roman" w:hAnsi="Tahoma" w:ascii="Tahoma"/>
        </w:rPr>
        <w:t xml:space="preserve"> predavao financijska izvješća.</w:t>
      </w: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  <w:r>
        <w:rPr>
          <w:rFonts w:cs="Tahoma" w:hAnsi="Tahoma" w:ascii="Tahoma"/>
          <w:b/>
          <w:iCs/>
          <w:u w:val="single"/>
        </w:rPr>
        <w:t>Utvrđena početna stečajna bilanca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iCs/>
        </w:rPr>
      </w:pP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  <w:iCs/>
        </w:rPr>
        <w:t xml:space="preserve">Poslije analize dostavljenih bilanci stečajnog dužnika, utvrđenih i izračunatih 2 tražbina zaposlenika, prijavljenih tražbina vjerovnika stečajnog dužnika, utvrđenog popisa nekretnina i mogućnosti unovčenja te imovine, izrađena je početna stečajna bilanca (čl. 227. SZ-a) s iskazanim stanjem imovine u iznosu od </w:t>
      </w:r>
      <w:r>
        <w:rPr>
          <w:rFonts w:cs="Tahoma" w:hAnsi="Tahoma" w:ascii="Tahoma"/>
          <w:b/>
          <w:iCs/>
        </w:rPr>
        <w:t>3.946.100,00 kn</w:t>
      </w:r>
      <w:r>
        <w:rPr>
          <w:rFonts w:cs="Tahoma" w:hAnsi="Tahoma" w:ascii="Tahoma"/>
          <w:iCs/>
        </w:rPr>
        <w:t xml:space="preserve"> i obveza u iznosu od </w:t>
      </w:r>
      <w:r>
        <w:rPr>
          <w:rFonts w:cs="Tahoma" w:hAnsi="Tahoma" w:ascii="Tahoma"/>
          <w:b/>
          <w:iCs/>
        </w:rPr>
        <w:t>4.350.842,84 kn,</w:t>
      </w:r>
      <w:r>
        <w:rPr>
          <w:rFonts w:cs="Tahoma" w:hAnsi="Tahoma" w:ascii="Tahoma"/>
          <w:iCs/>
        </w:rPr>
        <w:t xml:space="preserve"> a kako je prikazano  u Tabeli 1.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bCs/>
          <w:color w:val="FF0000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bCs/>
          <w:i/>
        </w:rPr>
      </w:pPr>
      <w:bookmarkStart w:name="_Hlk484696861" w:id="2"/>
      <w:r>
        <w:rPr>
          <w:rFonts w:cs="Tahoma" w:hAnsi="Tahoma" w:ascii="Tahoma"/>
          <w:bCs/>
          <w:i/>
        </w:rPr>
        <w:t>Tabela 1.</w:t>
      </w:r>
    </w:p>
    <w:tbl>
      <w:tblPr>
        <w:tblW w:type="dxa" w:w="10064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2"/>
        <w:gridCol w:w="4024"/>
        <w:gridCol w:w="2497"/>
        <w:gridCol w:w="2981"/>
      </w:tblGrid>
      <w:tr w:rsidR="00094F33">
        <w:trPr>
          <w:trHeight w:val="275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bookmarkStart w:name="_Hlk484696843" w:id="3"/>
            <w:bookmarkEnd w:id="2"/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R.</w:t>
            </w:r>
          </w:p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br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center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Opis imovine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center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>Knjigovodstvena</w:t>
            </w:r>
          </w:p>
          <w:p w:rsidRDefault="00F95A76" w:rsidR="00094F33">
            <w:pPr>
              <w:pStyle w:val="Standard"/>
              <w:spacing w:lineRule="auto" w:line="240" w:after="0"/>
              <w:jc w:val="center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vrijednost po Bilanci na dan 28.03.2017. 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center"/>
            </w:pPr>
            <w:r>
              <w:rPr>
                <w:rFonts w:cs="Tahoma" w:hAnsi="Tahoma" w:ascii="Tahoma"/>
                <w:b/>
                <w:caps/>
                <w:sz w:val="22"/>
                <w:szCs w:val="22"/>
              </w:rPr>
              <w:t>P</w:t>
            </w:r>
            <w:r>
              <w:rPr>
                <w:rFonts w:cs="Tahoma" w:hAnsi="Tahoma" w:ascii="Tahoma"/>
                <w:b/>
                <w:sz w:val="22"/>
                <w:szCs w:val="22"/>
              </w:rPr>
              <w:t>rocijenjena</w:t>
            </w:r>
          </w:p>
          <w:p w:rsidRDefault="00F95A76" w:rsidR="00094F33">
            <w:pPr>
              <w:pStyle w:val="Standard"/>
              <w:spacing w:lineRule="auto" w:line="240" w:after="0"/>
              <w:jc w:val="center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 vrijednost iskazana u početnoj stečajnoj bilanci na dan 29.03.2017.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1.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 xml:space="preserve">Nekretnina – stambena zgrada 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3.916.677,72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3.946.100,00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 xml:space="preserve">               2.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Nekretnina- oranica, pašnjak i kuhinjski vrt kod kuće u selu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0,00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0,00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Pokretnine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11.281,10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0,00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4.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Potraživanja od kupaca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33.520,95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0,00</w:t>
            </w:r>
          </w:p>
        </w:tc>
      </w:tr>
      <w:bookmarkEnd w:id="3"/>
      <w:tr w:rsidR="00094F33">
        <w:trPr>
          <w:trHeight w:val="397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A)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IMOVINA (r.br. 1+2+3+4)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3.961.479,77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3.946.100,00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1.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Obveze prema dobavljačima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223.662,53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77.725,88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2.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Obveze za kredit Erste banka d.d.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2.862.381,74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3.516.587,18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Obveze prema zaposlenima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147.001,94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181.059,72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4.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 xml:space="preserve">Obveze za poreze i doprinose         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408.114,89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575.470,06</w:t>
            </w:r>
          </w:p>
        </w:tc>
      </w:tr>
      <w:tr w:rsidR="00094F33">
        <w:trPr>
          <w:trHeight w:val="397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>B)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>OBVEZE (r.br. 1+2+3+4)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>3.641.161,10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>4.350.842,84</w:t>
            </w:r>
          </w:p>
        </w:tc>
      </w:tr>
    </w:tbl>
    <w:p w:rsidRDefault="00094F33" w:rsidR="00094F33">
      <w:pPr>
        <w:pStyle w:val="Standard"/>
        <w:spacing w:lineRule="auto" w:line="288" w:after="0"/>
        <w:ind w:left="720"/>
        <w:jc w:val="both"/>
        <w:rPr>
          <w:rFonts w:cs="Calibri" w:hAnsi="Calibri" w:ascii="Calibri"/>
        </w:rPr>
      </w:pPr>
    </w:p>
    <w:p w:rsidRDefault="00094F33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  <w:b/>
        </w:rPr>
      </w:pPr>
    </w:p>
    <w:p w:rsidRDefault="00F95A76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A ) IMOVINA</w:t>
      </w:r>
    </w:p>
    <w:p w:rsidRDefault="00094F33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  <w:b/>
        </w:rPr>
      </w:pPr>
    </w:p>
    <w:p w:rsidRDefault="00F95A76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  <w:b/>
          <w:u w:val="single"/>
        </w:rPr>
      </w:pPr>
      <w:r>
        <w:rPr>
          <w:rFonts w:cs="Tahoma" w:hAnsi="Tahoma" w:ascii="Tahoma"/>
          <w:b/>
          <w:u w:val="single"/>
        </w:rPr>
        <w:t>Nekretnine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</w:rPr>
        <w:t xml:space="preserve">U početnoj bilanci stečajnog dužnika imovina se iskazuje u iznosu od </w:t>
      </w:r>
      <w:r>
        <w:rPr>
          <w:rFonts w:cs="Tahoma" w:hAnsi="Tahoma" w:ascii="Tahoma"/>
          <w:b/>
        </w:rPr>
        <w:t xml:space="preserve">3.946.100,00 </w:t>
      </w:r>
      <w:r>
        <w:rPr>
          <w:rFonts w:cs="Tahoma" w:hAnsi="Tahoma" w:ascii="Tahoma"/>
        </w:rPr>
        <w:t xml:space="preserve">kn a sastoji se od stambeno-poslovne zgrade (1 poslovni prostor i 13 stanova) i „Oranice, </w:t>
      </w:r>
      <w:r>
        <w:rPr>
          <w:rFonts w:cs="Tahoma" w:hAnsi="Tahoma" w:ascii="Tahoma"/>
        </w:rPr>
        <w:lastRenderedPageBreak/>
        <w:t xml:space="preserve">pašnjaka i kuhinjskog vrta kod kuće u selu“ a sve se nalazi u Pitomači na adresi Braće Radića 6. Vrijednost nekretnine- stambene zgrade iskazana je po približnoj vrijednosti procjembenog elaborata od strane stalnog sudskog vještaka dok  za nekretninu –„Oranica, pašnjak i kuhinjski vrt kod kuće u selu“ ne postoji  knjigovodstvena vrijednost iz razloga što je u poslovnim knjigama bila prikazana u ukupnom iznosu sa stambenom zgradom u izgradnji. Naknadno će izvršiti procjena stambene zgrade i oranice od </w:t>
      </w:r>
      <w:r w:rsidR="00F06E42">
        <w:rPr>
          <w:rFonts w:cs="Tahoma" w:hAnsi="Tahoma" w:ascii="Tahoma"/>
        </w:rPr>
        <w:t>strane stalnog sudskog vještaka</w:t>
      </w:r>
      <w:r>
        <w:rPr>
          <w:rFonts w:cs="Tahoma" w:hAnsi="Tahoma" w:ascii="Tahoma"/>
        </w:rPr>
        <w:t xml:space="preserve">. 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prizemlju zgrade nalazi se poslovni prostor u kojem se nalazi specijalistička internistička ordinacija  dr. Gordane Kotur temeljem Predugovora o kupoprodaji od 01.09.2011.Također sklpoljeni je ugovor o zakupu od dana 01.12.2013. god. sa kojom je bio potpisan predugovor o kupoprodaji 01.09.2011..i ugovor o zakupu poslovnog prostora od dana 01.12.2013.sa iznosom zakupnine  100,00 EUR. Vezano na iznijeto sa zakupcem dr. Gordanom Kotur sklopit će se novi ugovor o zakupu do konačne kupnje. Za napomenuti je da je zakupac dr.Gordana Kotur u svrhu prilagođavanja prostora za zdrastvenu djelatnost izvršila određene investicije u iznosu od 64.705,57 kn i za taj iznos podnijela  prijavu tražbine u stečajnu masu.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Tabeli II koja slijedi navedeni su kupci koji su upravitelju zgrade Stjepanu Štefec dali predujmove ili kaparu za kupnju istih. Na osnovu toga upravitelj stečajnog dužnika predao je stanove u posjed iako nije plaćena kupovnina a niti su sredstva od kapara i predujmova nađena na računu stečajnog dužnika. Iz Tabele II vidljivo je da se radi o poslovnom prostoru i stanovima 3,4,5,6 i 9.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</w:rPr>
        <w:t xml:space="preserve">  </w:t>
      </w:r>
      <w:r>
        <w:rPr>
          <w:rFonts w:cs="Tahoma" w:hAnsi="Tahoma" w:ascii="Tahoma"/>
          <w:bCs/>
          <w:i/>
        </w:rPr>
        <w:t>Tabela 2.</w:t>
      </w: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        </w:t>
      </w:r>
    </w:p>
    <w:tbl>
      <w:tblPr>
        <w:tblW w:type="dxa" w:w="7792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6"/>
        <w:gridCol w:w="2973"/>
        <w:gridCol w:w="4253"/>
      </w:tblGrid>
      <w:tr w:rsidR="00094F33">
        <w:trPr>
          <w:trHeight w:val="275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R.</w:t>
            </w:r>
          </w:p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br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center"/>
              <w:rPr>
                <w:rFonts w:cs="Tahoma" w:hAnsi="Tahoma" w:ascii="Tahoma"/>
                <w:b/>
                <w:iCs/>
                <w:sz w:val="22"/>
                <w:szCs w:val="22"/>
              </w:rPr>
            </w:pPr>
            <w:r>
              <w:rPr>
                <w:rFonts w:cs="Tahoma" w:hAnsi="Tahoma" w:ascii="Tahoma"/>
                <w:b/>
                <w:iCs/>
                <w:sz w:val="22"/>
                <w:szCs w:val="22"/>
              </w:rPr>
              <w:t>Opis nekretnine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center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Kupac  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1.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Poslovni prostor - ordinacija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 xml:space="preserve">Gordana Kotur 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2.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Stan broj 3.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Rendulić Zlatko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3.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Stan broj 4.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Levar Galjar Nada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4.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Stan broj 5.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Levar Josip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5.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Stan broj 6.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Odaj Željko</w:t>
            </w:r>
          </w:p>
        </w:tc>
      </w:tr>
      <w:tr w:rsidR="00094F33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6.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both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Stan broj 9.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95A76" w:rsidR="00094F33">
            <w:pPr>
              <w:pStyle w:val="Standard"/>
              <w:spacing w:lineRule="auto" w:line="240" w:after="0"/>
              <w:jc w:val="right"/>
              <w:rPr>
                <w:rFonts w:cs="Tahoma" w:hAnsi="Tahoma" w:ascii="Tahoma"/>
                <w:sz w:val="22"/>
                <w:szCs w:val="22"/>
              </w:rPr>
            </w:pPr>
            <w:r>
              <w:rPr>
                <w:rFonts w:cs="Tahoma" w:hAnsi="Tahoma" w:ascii="Tahoma"/>
                <w:sz w:val="22"/>
                <w:szCs w:val="22"/>
              </w:rPr>
              <w:t>Barukčić Vladimir</w:t>
            </w:r>
          </w:p>
        </w:tc>
      </w:tr>
    </w:tbl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Stečajnog upravitelja kontaktiralo je još nekoliko kupaca koji su zainteresirani za kupnju stanova. Njihove ponude kreću se oko 600-800 EUR za m2, a realna vrijednost m2 znat će se kad sudski vještak izvrši procjenu stanova. Time da treba naglasiti da stanovi nisu u potpunosti dovršeni.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vezi opisane situacije biti će potrebno da vjerovnici donesu odluku o načinu prodaje nekretnine tj. da li će se ista prodavat sa svom ostalom imovinom kao cjelina ( član 235. </w:t>
      </w:r>
      <w:r>
        <w:rPr>
          <w:rFonts w:cs="Tahoma" w:hAnsi="Tahoma" w:ascii="Tahoma"/>
        </w:rPr>
        <w:lastRenderedPageBreak/>
        <w:t>SZ-a), preko FINE (član 247. SZ-a) ili neposrednom pogodbom. S obzirom da postoji destak potencijalnih kupaca stečajni upravitelj predlaže prodaju neposrednom pogodbom i to iz razloga što se radi o vrlo ozbiljnim ponudama a s druge strane, budući da je 6 stanova već u posjedu kupaca, mogao bi nastati pravni problem oko iseljavanja istih, ukoliko bi se prodaja vršila kao cjelina odnosno preko FINE.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</w:pPr>
    </w:p>
    <w:p w:rsidRDefault="00F95A76" w:rsidR="00094F33">
      <w:pPr>
        <w:widowControl/>
        <w:suppressAutoHyphens w:val="false"/>
        <w:autoSpaceDE w:val="false"/>
        <w:spacing w:lineRule="auto" w:line="288" w:after="0"/>
        <w:jc w:val="both"/>
        <w:textAlignment w:val="auto"/>
        <w:rPr>
          <w:rFonts w:cs="Tahoma" w:eastAsia="Calibri" w:hAnsi="Calibri" w:ascii="Calibri"/>
          <w:b/>
          <w:i/>
          <w:kern w:val="0"/>
          <w:lang w:bidi="ar-SA" w:eastAsia="en-US"/>
        </w:rPr>
      </w:pPr>
      <w:r>
        <w:rPr>
          <w:rFonts w:cs="Tahoma" w:eastAsia="Calibri" w:hAnsi="Calibri" w:ascii="Calibri"/>
          <w:b/>
          <w:i/>
          <w:kern w:val="0"/>
          <w:lang w:bidi="ar-SA" w:eastAsia="en-US"/>
        </w:rPr>
        <w:t>Obavijesti o postojanju razlučnih prava na nekretninama  dostavljene su od 3 vjerovnika i to:</w:t>
      </w:r>
    </w:p>
    <w:p w:rsidRDefault="00094F33" w:rsidR="00094F33">
      <w:pPr>
        <w:widowControl/>
        <w:suppressAutoHyphens w:val="false"/>
        <w:autoSpaceDE w:val="false"/>
        <w:spacing w:lineRule="auto" w:line="288" w:after="0"/>
        <w:jc w:val="both"/>
        <w:textAlignment w:val="auto"/>
        <w:rPr>
          <w:rFonts w:cs="Tahoma" w:eastAsia="Calibri" w:hAnsi="Calibri" w:ascii="Calibri"/>
          <w:b/>
          <w:i/>
          <w:kern w:val="0"/>
          <w:lang w:bidi="ar-SA" w:eastAsia="en-US"/>
        </w:rPr>
      </w:pPr>
    </w:p>
    <w:p w:rsidRDefault="00F95A76" w:rsidR="00094F33">
      <w:pPr>
        <w:pStyle w:val="Odlomakpopisa"/>
        <w:widowControl/>
        <w:numPr>
          <w:ilvl w:val="0"/>
          <w:numId w:val="31"/>
        </w:numPr>
        <w:suppressAutoHyphens w:val="false"/>
        <w:autoSpaceDE w:val="false"/>
        <w:spacing w:lineRule="auto" w:line="288" w:after="0"/>
        <w:jc w:val="both"/>
        <w:textAlignment w:val="auto"/>
      </w:pPr>
      <w:r>
        <w:rPr>
          <w:rFonts w:cs="Tahoma" w:eastAsia="Calibri" w:hAnsi="Tahoma" w:ascii="Tahoma"/>
          <w:kern w:val="0"/>
          <w:lang w:bidi="ar-SA" w:eastAsia="en-US"/>
        </w:rPr>
        <w:t>ERSTE &amp; STEIERMARKISCHE BANK d.d. Rijeka, Jadranski trg 3 a, OIB: 23057039320  Ugovor o kreditu br. 5106105055 od 16.06.2011., Aneks broj 1 Ug</w:t>
      </w:r>
      <w:r>
        <w:rPr>
          <w:rFonts w:cs="Tahoma" w:eastAsia="Calibri" w:hAnsi="Tahoma" w:ascii="Tahoma"/>
          <w:kern w:val="0"/>
          <w:lang w:bidi="ar-SA" w:eastAsia="en-US"/>
        </w:rPr>
        <w:t>o</w:t>
      </w:r>
      <w:r>
        <w:rPr>
          <w:rFonts w:cs="Tahoma" w:eastAsia="Calibri" w:hAnsi="Tahoma" w:ascii="Tahoma"/>
          <w:kern w:val="0"/>
          <w:lang w:bidi="ar-SA" w:eastAsia="en-US"/>
        </w:rPr>
        <w:t>vora od  23.4.2012.– u vezi navedenog kredita kod Općinskog suda u Virovitici pod br: P 106/17 od 8.06.2017. prekinut je postupak zbog otvaranja stečaja a radi tu</w:t>
      </w:r>
      <w:r>
        <w:rPr>
          <w:rFonts w:cs="Tahoma" w:eastAsia="Calibri" w:hAnsi="Tahoma" w:ascii="Tahoma"/>
          <w:kern w:val="0"/>
          <w:lang w:bidi="ar-SA" w:eastAsia="en-US"/>
        </w:rPr>
        <w:t>ž</w:t>
      </w:r>
      <w:r>
        <w:rPr>
          <w:rFonts w:cs="Tahoma" w:eastAsia="Calibri" w:hAnsi="Tahoma" w:ascii="Tahoma"/>
          <w:kern w:val="0"/>
          <w:lang w:bidi="ar-SA" w:eastAsia="en-US"/>
        </w:rPr>
        <w:t>be P.U.Z. IN GRADNJA  radi proglašenja ovrhe nedopuštenom, Erste banka Stjepan Štefec i njegov punomoćnik nisu obavijestili stečajnog upravitelja o postojanju  n</w:t>
      </w:r>
      <w:r>
        <w:rPr>
          <w:rFonts w:cs="Tahoma" w:eastAsia="Calibri" w:hAnsi="Tahoma" w:ascii="Tahoma"/>
          <w:kern w:val="0"/>
          <w:lang w:bidi="ar-SA" w:eastAsia="en-US"/>
        </w:rPr>
        <w:t>a</w:t>
      </w:r>
      <w:r>
        <w:rPr>
          <w:rFonts w:cs="Tahoma" w:eastAsia="Calibri" w:hAnsi="Tahoma" w:ascii="Tahoma"/>
          <w:kern w:val="0"/>
          <w:lang w:bidi="ar-SA" w:eastAsia="en-US"/>
        </w:rPr>
        <w:t xml:space="preserve">vedene parnice    </w:t>
      </w:r>
    </w:p>
    <w:p w:rsidRDefault="00F95A76" w:rsidR="00094F33">
      <w:pPr>
        <w:pStyle w:val="Standard"/>
        <w:numPr>
          <w:ilvl w:val="0"/>
          <w:numId w:val="31"/>
        </w:numPr>
        <w:spacing w:lineRule="auto" w:line="288" w:after="0"/>
        <w:jc w:val="both"/>
      </w:pPr>
      <w:r>
        <w:rPr>
          <w:rFonts w:cs="Tahoma" w:hAnsi="Tahoma" w:ascii="Tahoma"/>
          <w:bCs/>
          <w:iCs/>
        </w:rPr>
        <w:t>RH - Ministarstvo financija, Porezna uprava, Područni ured Sjeverna Hrvatska,                           OIB 52634238587</w:t>
      </w:r>
      <w:r>
        <w:rPr>
          <w:rFonts w:cs="Tahoma" w:hAnsi="Tahoma" w:ascii="Tahoma"/>
          <w:bCs/>
          <w:iCs/>
        </w:rPr>
        <w:tab/>
        <w:t>porezi i doprinosi iz i na plaće radnika, članarine, kamate, novčane kazne</w:t>
      </w:r>
    </w:p>
    <w:p w:rsidRDefault="00F95A76" w:rsidR="00094F33">
      <w:pPr>
        <w:pStyle w:val="Standard"/>
        <w:numPr>
          <w:ilvl w:val="0"/>
          <w:numId w:val="31"/>
        </w:numPr>
        <w:spacing w:lineRule="auto" w:line="288" w:after="0"/>
        <w:jc w:val="both"/>
        <w:rPr>
          <w:rFonts w:cs="Tahoma" w:hAnsi="Tahoma" w:ascii="Tahoma"/>
          <w:bCs/>
          <w:iCs/>
        </w:rPr>
      </w:pPr>
      <w:r>
        <w:rPr>
          <w:rFonts w:cs="Tahoma" w:hAnsi="Tahoma" w:ascii="Tahoma"/>
          <w:bCs/>
          <w:iCs/>
        </w:rPr>
        <w:t>Bratanović Krunoslav, Podravske Sesvete, Braće Radića 15, OIB: 869528875 Pravomoćna i ovršna presuda dana 23.02.2016. za neisplaćene plaće sa zakonskim zateznim kamatama do isplate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bCs/>
          <w:iCs/>
        </w:rPr>
      </w:pPr>
    </w:p>
    <w:p w:rsidRDefault="00F95A76" w:rsidR="00094F33">
      <w:pPr>
        <w:spacing w:lineRule="auto" w:line="288" w:after="0"/>
        <w:jc w:val="both"/>
      </w:pPr>
      <w:r>
        <w:rPr>
          <w:rFonts w:cs="Tahoma" w:hAnsi="Tahoma" w:ascii="Tahoma"/>
          <w:b/>
          <w:bCs/>
          <w:iCs/>
        </w:rPr>
        <w:t xml:space="preserve"> </w:t>
      </w:r>
      <w:r>
        <w:rPr>
          <w:rFonts w:cs="Tahoma" w:hAnsi="Tahoma" w:ascii="Tahoma"/>
          <w:b/>
          <w:bCs/>
          <w:iCs/>
          <w:u w:val="single"/>
        </w:rPr>
        <w:t>Pokretnine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bCs/>
          <w:iCs/>
          <w:u w:val="single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Pokretnine u vlasništvu stečajnog dužnika evidentirane su u poslovnim knjigama prije otvaranja stečajnog postupka u iznosu od 11.281,10 kn. Međutim upravitelj zgrade Stjepan Štefec dao je pisanu izjavu da osim navedenih nekretnina ne posjeduje pokretnine  a u konkretnom slučaju radi se o kombi vozilu koje je prodano za dijelove i nije rasknjiženo u poslovnim knjigama. </w:t>
      </w:r>
    </w:p>
    <w:p w:rsidRDefault="00F06E42" w:rsidR="00F06E42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i/>
        </w:rPr>
      </w:pPr>
      <w:r>
        <w:rPr>
          <w:rFonts w:cs="Tahoma" w:hAnsi="Tahoma" w:ascii="Tahoma"/>
          <w:i/>
        </w:rPr>
        <w:t xml:space="preserve">- Prilog 1: Izjava upravitelja zadruge </w:t>
      </w:r>
    </w:p>
    <w:p w:rsidRDefault="00F06E42" w:rsidR="00F06E42">
      <w:pPr>
        <w:pStyle w:val="Standard"/>
        <w:spacing w:lineRule="auto" w:line="288" w:after="0"/>
        <w:jc w:val="both"/>
        <w:rPr>
          <w:rFonts w:cs="Tahoma" w:hAnsi="Tahoma" w:ascii="Tahoma"/>
          <w:i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i/>
        </w:rPr>
      </w:pPr>
    </w:p>
    <w:p w:rsidRDefault="00F95A76" w:rsidR="00094F33">
      <w:pPr>
        <w:spacing w:lineRule="auto" w:line="288" w:after="0"/>
        <w:jc w:val="both"/>
        <w:rPr>
          <w:rFonts w:cs="Tahoma" w:hAnsi="Tahoma" w:ascii="Tahoma"/>
          <w:b/>
          <w:u w:val="single"/>
        </w:rPr>
      </w:pPr>
      <w:r>
        <w:rPr>
          <w:rFonts w:cs="Tahoma" w:hAnsi="Tahoma" w:ascii="Tahoma"/>
          <w:b/>
          <w:u w:val="single"/>
        </w:rPr>
        <w:t>Potraživanja od kupaca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u w:val="single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Potraživanja od kupaca u poslovnim knjigama do otvaranja stečajnog postupka iznose 32.692,52 kn, a odnose se na kupca LOKUS j.d.o.o. koji je nakon što je primio opomenu za plaćanje poslao dokaz o kompenzaciju kojom je 06.03.2015. zatvoreno potraživanje.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  <w:i/>
          <w:iCs/>
        </w:rPr>
        <w:t xml:space="preserve">Slijedom iznesenog, vrijednost imovine stečajnog dužnika u početnoj stečajnoj bilanci </w:t>
      </w:r>
      <w:r>
        <w:rPr>
          <w:rFonts w:cs="Tahoma" w:hAnsi="Tahoma" w:ascii="Tahoma"/>
          <w:i/>
          <w:iCs/>
        </w:rPr>
        <w:lastRenderedPageBreak/>
        <w:t xml:space="preserve">utvrđuje se u iznosu od </w:t>
      </w:r>
      <w:r>
        <w:rPr>
          <w:rFonts w:cs="Tahoma" w:hAnsi="Tahoma" w:ascii="Tahoma"/>
          <w:b/>
          <w:i/>
          <w:iCs/>
        </w:rPr>
        <w:t>3.946.100,00</w:t>
      </w:r>
      <w:r>
        <w:rPr>
          <w:rFonts w:cs="Tahoma" w:hAnsi="Tahoma" w:ascii="Tahoma"/>
          <w:b/>
          <w:bCs/>
          <w:i/>
          <w:iCs/>
        </w:rPr>
        <w:t xml:space="preserve"> kn</w:t>
      </w:r>
      <w:r>
        <w:rPr>
          <w:rFonts w:cs="Tahoma" w:hAnsi="Tahoma" w:ascii="Tahoma"/>
          <w:bCs/>
          <w:i/>
          <w:iCs/>
        </w:rPr>
        <w:t>, koja se imovina sastoji od nekretnina.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bCs/>
          <w:i/>
          <w:iCs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bCs/>
          <w:i/>
          <w:iCs/>
        </w:rPr>
      </w:pPr>
      <w:r>
        <w:rPr>
          <w:rFonts w:cs="Tahoma" w:hAnsi="Tahoma" w:ascii="Tahoma"/>
          <w:bCs/>
          <w:i/>
          <w:iCs/>
        </w:rPr>
        <w:t>- Prilog 2: dopis i kompenzacija kupca LOKUS j. d.o.o.</w:t>
      </w:r>
    </w:p>
    <w:p w:rsidRDefault="00094F33" w:rsidR="00094F33">
      <w:pPr>
        <w:pStyle w:val="Standard"/>
        <w:spacing w:after="0"/>
        <w:rPr>
          <w:rFonts w:cs="Tahoma" w:hAnsi="Tahoma" w:ascii="Tahoma"/>
          <w:b/>
          <w:bCs/>
          <w:i/>
          <w:iCs/>
          <w:u w:val="single"/>
        </w:rPr>
      </w:pPr>
    </w:p>
    <w:p w:rsidRDefault="00F95A76" w:rsidR="00094F33">
      <w:pPr>
        <w:pStyle w:val="Standard"/>
        <w:spacing w:after="0"/>
        <w:rPr>
          <w:rFonts w:cs="Tahoma" w:hAnsi="Tahoma" w:ascii="Tahoma"/>
          <w:b/>
          <w:bCs/>
          <w:i/>
          <w:iCs/>
          <w:u w:val="single"/>
        </w:rPr>
      </w:pPr>
      <w:r>
        <w:rPr>
          <w:rFonts w:cs="Tahoma" w:hAnsi="Tahoma" w:ascii="Tahoma"/>
          <w:b/>
          <w:bCs/>
          <w:i/>
          <w:iCs/>
          <w:u w:val="single"/>
        </w:rPr>
        <w:t>Sudski sporovi</w:t>
      </w:r>
    </w:p>
    <w:p w:rsidRDefault="00094F33" w:rsidR="00094F33">
      <w:pPr>
        <w:pStyle w:val="Standard"/>
        <w:spacing w:after="0"/>
        <w:rPr>
          <w:rFonts w:cs="Tahoma" w:hAnsi="Tahoma" w:ascii="Tahoma"/>
          <w:bCs/>
          <w:i/>
          <w:iCs/>
        </w:rPr>
      </w:pPr>
    </w:p>
    <w:p w:rsidRDefault="00F95A76" w:rsidR="00094F33">
      <w:pPr>
        <w:pStyle w:val="Standard"/>
        <w:spacing w:after="0"/>
      </w:pPr>
      <w:r>
        <w:rPr>
          <w:rFonts w:cs="Tahoma" w:hAnsi="Tahoma" w:ascii="Tahoma"/>
          <w:bCs/>
          <w:i/>
          <w:iCs/>
        </w:rPr>
        <w:t xml:space="preserve">Iako je upravitelj zadruge Stjepan Štefec izjavio da nema u tijeku sudskih postupaka naknadno je utvrđeno da postoji parnica protiv Erste banka d.d. te </w:t>
      </w:r>
      <w:r>
        <w:rPr>
          <w:rFonts w:cs="Tahoma" w:hAnsi="Tahoma" w:ascii="Tahoma"/>
          <w:bCs/>
          <w:iCs/>
        </w:rPr>
        <w:t xml:space="preserve"> postupak br. Ovr 12/17  kod Općinskog suda u Koprivnici po ovrhovoditelju Stečajna masa Pevec proizvodnja d.o.o. za koju stečajni dužnik u poslovnim knjigama nema evidentirano dugovanje. </w:t>
      </w:r>
    </w:p>
    <w:p w:rsidRDefault="00094F33" w:rsidR="00094F33">
      <w:pPr>
        <w:pStyle w:val="Standard"/>
        <w:spacing w:after="0"/>
      </w:pPr>
    </w:p>
    <w:p w:rsidRDefault="00F95A76" w:rsidR="00094F33">
      <w:pPr>
        <w:pStyle w:val="Standard"/>
        <w:spacing w:lineRule="auto" w:line="288" w:after="0"/>
        <w:rPr>
          <w:rFonts w:cs="Tahoma" w:hAnsi="Tahoma" w:ascii="Tahoma"/>
          <w:bCs/>
          <w:iCs/>
        </w:rPr>
      </w:pPr>
      <w:r>
        <w:rPr>
          <w:rFonts w:cs="Tahoma" w:hAnsi="Tahoma" w:ascii="Tahoma"/>
          <w:bCs/>
          <w:iCs/>
        </w:rPr>
        <w:t xml:space="preserve">Rješenjem  Općinskog suda u Koprivnici od 05.06.2017. god prekinut  je navedeni  postupak zbog stečaja ovršenika. 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bCs/>
          <w:i/>
          <w:iCs/>
        </w:rPr>
      </w:pPr>
    </w:p>
    <w:p w:rsidRDefault="00F95A76" w:rsidR="00094F33">
      <w:pPr>
        <w:spacing w:lineRule="auto" w:line="288" w:after="0"/>
        <w:ind w:left="360"/>
        <w:jc w:val="both"/>
        <w:rPr>
          <w:rFonts w:cs="Tahoma" w:hAnsi="Tahoma" w:ascii="Tahoma"/>
          <w:b/>
          <w:bCs/>
        </w:rPr>
      </w:pPr>
      <w:r>
        <w:rPr>
          <w:rFonts w:cs="Tahoma" w:hAnsi="Tahoma" w:ascii="Tahoma"/>
          <w:b/>
          <w:bCs/>
        </w:rPr>
        <w:t>B) OBVEZE</w:t>
      </w:r>
    </w:p>
    <w:p w:rsidRDefault="00094F33" w:rsidR="00094F33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</w:rPr>
        <w:t xml:space="preserve">Do I. Ispitnog ročišta ukupno je zaprimljeno 9 tražbina stečajnih vjerovnika i izvršen izračun za 2 radnika stečajnog dužnika. Ukupno prijavljene tražbine stečajnih vjerovnika iznose 4.353.737,70 kn dok su priznate tražbine stečajnih vjerovnika u iznosu od </w:t>
      </w:r>
      <w:r>
        <w:rPr>
          <w:rFonts w:cs="Tahoma" w:hAnsi="Tahoma" w:ascii="Tahoma"/>
          <w:b/>
        </w:rPr>
        <w:t>4.350.824,84 kn</w:t>
      </w:r>
      <w:r>
        <w:rPr>
          <w:rFonts w:cs="Tahoma" w:hAnsi="Tahoma" w:ascii="Tahoma"/>
        </w:rPr>
        <w:t xml:space="preserve"> i osporena tražbina u iznosu od 2.894,86 kn. U odnosu na red isplate svrstane se u tražbine: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Odlomakpopisa"/>
        <w:numPr>
          <w:ilvl w:val="0"/>
          <w:numId w:val="32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I višeg isplatnog reda u iznosu od       511.631,32 kn</w:t>
      </w:r>
    </w:p>
    <w:p w:rsidRDefault="00F95A76" w:rsidR="00094F33">
      <w:pPr>
        <w:pStyle w:val="Odlomakpopisa"/>
        <w:numPr>
          <w:ilvl w:val="0"/>
          <w:numId w:val="2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II višeg isplatnog reda u iznosu od    3.839.211,52 kn</w:t>
      </w:r>
    </w:p>
    <w:p w:rsidRDefault="00094F33" w:rsidR="00094F33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Osporene tražbine  odnose se na tražbinu:</w:t>
      </w:r>
    </w:p>
    <w:p w:rsidRDefault="00094F33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•</w:t>
      </w:r>
      <w:r>
        <w:rPr>
          <w:rFonts w:cs="Tahoma" w:hAnsi="Tahoma" w:ascii="Tahoma"/>
        </w:rPr>
        <w:tab/>
        <w:t>HRVATSKA DRUŠTVO SKLADATELJA u iznosu od 2.894,86 – zastara po izdanim računima</w:t>
      </w:r>
    </w:p>
    <w:p w:rsidRDefault="00094F33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Tražbine I. VIR-a odnose se na dva  bivša zaposlenika stečajnog dužnika u neto iznosu. Bivši zaposlenik stečajnog dužnika Krunoslav Bratanović podnio je prijavu tražbine za neisplaćene plaće na temelju pravomoćne i ovršne sudske presude u iznosu od 80.314,12 kn. Ministarstvo financija podnijelo je prijavu tražbina  za poreze i doprinose iz i na plaće bivših zaposlenika, koje  je ujedno i razlučni vjerovnik.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bCs/>
          <w:u w:val="single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  <w:b/>
          <w:bCs/>
          <w:u w:val="single"/>
        </w:rPr>
      </w:pPr>
      <w:r>
        <w:rPr>
          <w:rFonts w:cs="Tahoma" w:hAnsi="Tahoma" w:ascii="Tahoma"/>
          <w:b/>
          <w:bCs/>
          <w:u w:val="single"/>
        </w:rPr>
        <w:t>III Prijedlozi stečajnog upravitelja</w:t>
      </w:r>
    </w:p>
    <w:p w:rsidRDefault="00094F33" w:rsidR="00094F33">
      <w:pPr>
        <w:pStyle w:val="Standard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Slijedom iznesenog, stečajni dužnik PUZ IN -GRADNJA nema uvjeta za nastavak djelatnosti i daljnjeg poslovanja. Stoga stečajni upravitelj predlaže da Skupština vjerovnika na izvještajnom ročištu donese slijedeće Odluke: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Odlomakpopisa"/>
        <w:numPr>
          <w:ilvl w:val="0"/>
          <w:numId w:val="33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prihvaćanje izvješća i financijskog plana stečajnog upravitelja o gospodarskom položaju stečajnog dužnika i do sada poduzetim radnjama stečajnog upravitelja,</w:t>
      </w:r>
    </w:p>
    <w:p w:rsidRDefault="00F95A76" w:rsidR="00094F33">
      <w:pPr>
        <w:pStyle w:val="Odlomakpopisa"/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davanje suglasnosti stečajnom upravitelju za procjenu vrijednosti imovine stečajnog dužnika,</w:t>
      </w:r>
    </w:p>
    <w:p w:rsidRDefault="00F95A76" w:rsidR="00094F33">
      <w:pPr>
        <w:pStyle w:val="Odlomakpopisa"/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donošenje odluke u načinu unovčenja imovine stečajnog dužnika i to kao cjeline, putem FINE ili pojedinačno po stanovima budući da je zgrada etažirana i postoje vjerodostojni kuci </w:t>
      </w:r>
    </w:p>
    <w:p w:rsidRDefault="00F95A76" w:rsidR="00094F33">
      <w:pPr>
        <w:pStyle w:val="Odlomakpopisa"/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donošenje odluke o nastavku odnosno povlačenju tužbe protiv Erste banke d.d. kod Općinskog suda u Virovitici br: P 106/17 radi nedopuštenosti ovrhe  </w:t>
      </w:r>
    </w:p>
    <w:p w:rsidRDefault="00094F33" w:rsidR="00094F33">
      <w:pPr>
        <w:pStyle w:val="Odlomakpopisa"/>
        <w:spacing w:lineRule="auto" w:line="288" w:after="0"/>
        <w:ind w:left="36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         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Varaždin, 16.06.2017.</w:t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  <w:t>Stečajni upravitelj Zvonko Hrain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95A76" w:rsidR="00094F33">
      <w:pPr>
        <w:pStyle w:val="Standard"/>
        <w:spacing w:lineRule="auto" w:line="288" w:after="0"/>
        <w:jc w:val="both"/>
      </w:pPr>
      <w:r>
        <w:rPr>
          <w:rFonts w:cs="Tahoma" w:hAnsi="Tahoma" w:ascii="Tahoma"/>
        </w:rPr>
        <w:t xml:space="preserve"> </w:t>
      </w:r>
      <w:r>
        <w:rPr>
          <w:rFonts w:cs="Tahoma" w:hAnsi="Tahoma" w:ascii="Tahoma"/>
          <w:i/>
        </w:rPr>
        <w:t>Prilozi uz izvješće:</w:t>
      </w:r>
    </w:p>
    <w:p w:rsidRDefault="00094F33" w:rsidR="00094F33">
      <w:pPr>
        <w:pStyle w:val="Standard"/>
        <w:spacing w:lineRule="auto" w:line="288" w:after="0"/>
        <w:jc w:val="both"/>
        <w:rPr>
          <w:rFonts w:cs="Tahoma" w:hAnsi="Tahoma" w:ascii="Tahoma"/>
          <w:i/>
        </w:rPr>
      </w:pPr>
    </w:p>
    <w:p w:rsidRDefault="00F95A76" w:rsidR="00094F33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tablica prijavljenih i priznatih tražbina I viši isplatni red (tražbine br. 1-4)</w:t>
      </w:r>
    </w:p>
    <w:p w:rsidRDefault="00F95A76" w:rsidR="00094F33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tablica prijavljenih i priznatih tražbina II viši isplatni red (tražbine br. 1-8)</w:t>
      </w:r>
    </w:p>
    <w:p w:rsidRDefault="00F95A76" w:rsidR="00094F33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tablica ukupno prijavljenih i priznatih tražbina sa postotkom (I i II viši isplatni red)</w:t>
      </w:r>
    </w:p>
    <w:p w:rsidRDefault="00F95A76" w:rsidR="00094F33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tablica obavijesti o postojanju razlučnog prava na nekretninama</w:t>
      </w:r>
    </w:p>
    <w:p w:rsidRDefault="00F95A76" w:rsidR="00094F33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popis predmeta stečajne mase (čl. 221. SZ)  </w:t>
      </w:r>
    </w:p>
    <w:p w:rsidRDefault="00F95A76" w:rsidR="00094F33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popis imovine i obveza (čl. 223. SZ) s popisom dugotrajne imovine stečajnog dužnika</w:t>
      </w:r>
    </w:p>
    <w:p w:rsidRDefault="00F95A76" w:rsidR="00094F33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pregled financijskog plana za razdoblje od 01.04.-30.06.2017.godine</w:t>
      </w:r>
    </w:p>
    <w:p w:rsidRDefault="00094F33" w:rsidR="00094F33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094F33" w:rsidR="00094F33">
      <w:pPr>
        <w:pStyle w:val="Standard"/>
        <w:spacing w:lineRule="auto" w:line="288"/>
        <w:rPr>
          <w:rFonts w:cs="Tahoma" w:hAnsi="Tahoma" w:ascii="Tahoma"/>
          <w:b/>
          <w:sz w:val="26"/>
          <w:szCs w:val="26"/>
        </w:rPr>
      </w:pPr>
    </w:p>
    <w:p w:rsidRDefault="00094F33" w:rsidR="00094F33">
      <w:pPr>
        <w:pStyle w:val="Standard"/>
        <w:spacing w:lineRule="auto" w:line="288"/>
        <w:rPr>
          <w:rFonts w:cs="Tahoma" w:hAnsi="Tahoma" w:ascii="Tahoma"/>
          <w:b/>
          <w:sz w:val="26"/>
          <w:szCs w:val="26"/>
        </w:rPr>
      </w:pPr>
    </w:p>
    <w:p w:rsidRDefault="00094F33" w:rsidR="00094F33">
      <w:pPr>
        <w:pStyle w:val="Standard"/>
        <w:spacing w:lineRule="auto" w:line="288"/>
        <w:rPr>
          <w:rFonts w:cs="Tahoma" w:hAnsi="Tahoma" w:ascii="Tahoma"/>
          <w:b/>
          <w:sz w:val="26"/>
          <w:szCs w:val="26"/>
        </w:rPr>
      </w:pPr>
    </w:p>
    <w:sectPr w:rsidSect="00F06E42" w:rsidR="00094F33">
      <w:pgSz w:h="16838" w:w="11906"/>
      <w:pgMar w:gutter="0" w:footer="720" w:header="720" w:left="1134" w:bottom="993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A76" w:rsidR="00F95A76">
      <w:pPr>
        <w:spacing w:lineRule="auto" w:line="240" w:after="0"/>
      </w:pPr>
      <w:r>
        <w:separator/>
      </w:r>
    </w:p>
  </w:endnote>
  <w:endnote w:id="0" w:type="continuationSeparator">
    <w:p w:rsidRDefault="00F95A76" w:rsidR="00F95A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A76" w:rsidR="00F95A76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F95A76" w:rsidR="00F95A7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F1A93"/>
    <w:multiLevelType w:val="multilevel"/>
    <w:tmpl w:val="8396A45E"/>
    <w:styleLink w:val="WWNum8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FC458B"/>
    <w:multiLevelType w:val="multilevel"/>
    <w:tmpl w:val="3816F5A2"/>
    <w:styleLink w:val="WWNum3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06337171"/>
    <w:multiLevelType w:val="multilevel"/>
    <w:tmpl w:val="801E78F2"/>
    <w:styleLink w:val="WWNum23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06616851"/>
    <w:multiLevelType w:val="multilevel"/>
    <w:tmpl w:val="92203A1A"/>
    <w:styleLink w:val="WWNum15"/>
    <w:lvl w:ilvl="0">
      <w:start w:val="1"/>
      <w:numFmt w:val="decimal"/>
      <w:lvlText w:val="%1."/>
      <w:lvlJc w:val="left"/>
      <w:pPr>
        <w:ind w:hanging="360" w:left="360"/>
      </w:pPr>
      <w:rPr>
        <w:i w:val="false"/>
        <w:u w:val="none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0DC8764A"/>
    <w:multiLevelType w:val="multilevel"/>
    <w:tmpl w:val="9B6AD032"/>
    <w:styleLink w:val="WWNum9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5">
    <w:nsid w:val="16C77431"/>
    <w:multiLevelType w:val="multilevel"/>
    <w:tmpl w:val="A3F43350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207F4E65"/>
    <w:multiLevelType w:val="multilevel"/>
    <w:tmpl w:val="692C2362"/>
    <w:styleLink w:val="WWNum16"/>
    <w:lvl w:ilvl="0">
      <w:numFmt w:val="bullet"/>
      <w:lvlText w:val="-"/>
      <w:lvlJc w:val="left"/>
      <w:pPr>
        <w:ind w:hanging="360" w:left="644"/>
      </w:pPr>
      <w:rPr>
        <w:rFonts w:cs="Calibri" w:hAnsi="Tahoma" w:ascii="Tahoma"/>
      </w:rPr>
    </w:lvl>
    <w:lvl w:ilvl="1">
      <w:start w:val="1"/>
      <w:numFmt w:val="lowerLetter"/>
      <w:lvlText w:val="%2."/>
      <w:lvlJc w:val="left"/>
      <w:pPr>
        <w:ind w:hanging="360" w:left="1724"/>
      </w:pPr>
    </w:lvl>
    <w:lvl w:ilvl="2">
      <w:start w:val="1"/>
      <w:numFmt w:val="lowerRoman"/>
      <w:lvlText w:val="%3."/>
      <w:lvlJc w:val="right"/>
      <w:pPr>
        <w:ind w:hanging="180" w:left="2444"/>
      </w:pPr>
    </w:lvl>
    <w:lvl w:ilvl="3">
      <w:start w:val="1"/>
      <w:numFmt w:val="decimal"/>
      <w:lvlText w:val="%4."/>
      <w:lvlJc w:val="left"/>
      <w:pPr>
        <w:ind w:hanging="360" w:left="3164"/>
      </w:pPr>
    </w:lvl>
    <w:lvl w:ilvl="4">
      <w:start w:val="1"/>
      <w:numFmt w:val="lowerLetter"/>
      <w:lvlText w:val="%5."/>
      <w:lvlJc w:val="left"/>
      <w:pPr>
        <w:ind w:hanging="360" w:left="3884"/>
      </w:pPr>
    </w:lvl>
    <w:lvl w:ilvl="5">
      <w:start w:val="1"/>
      <w:numFmt w:val="lowerRoman"/>
      <w:lvlText w:val="%6."/>
      <w:lvlJc w:val="right"/>
      <w:pPr>
        <w:ind w:hanging="180" w:left="4604"/>
      </w:pPr>
    </w:lvl>
    <w:lvl w:ilvl="6">
      <w:start w:val="1"/>
      <w:numFmt w:val="decimal"/>
      <w:lvlText w:val="%7."/>
      <w:lvlJc w:val="left"/>
      <w:pPr>
        <w:ind w:hanging="360" w:left="5324"/>
      </w:pPr>
    </w:lvl>
    <w:lvl w:ilvl="7">
      <w:start w:val="1"/>
      <w:numFmt w:val="lowerLetter"/>
      <w:lvlText w:val="%8."/>
      <w:lvlJc w:val="left"/>
      <w:pPr>
        <w:ind w:hanging="360" w:left="6044"/>
      </w:pPr>
    </w:lvl>
    <w:lvl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7">
    <w:nsid w:val="22392008"/>
    <w:multiLevelType w:val="multilevel"/>
    <w:tmpl w:val="1FFE9F16"/>
    <w:styleLink w:val="WWNum18"/>
    <w:lvl w:ilvl="0">
      <w:numFmt w:val="bullet"/>
      <w:lvlText w:val="-"/>
      <w:lvlJc w:val="left"/>
      <w:pPr>
        <w:ind w:hanging="360" w:left="360"/>
      </w:pPr>
      <w:rPr>
        <w:rFonts w:cs="Calibri" w:hAnsi="Tahoma" w:ascii="Tahoma"/>
        <w:i w:val="false"/>
        <w:u w:val="none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D554D15"/>
    <w:multiLevelType w:val="multilevel"/>
    <w:tmpl w:val="E12A9628"/>
    <w:styleLink w:val="WWNum28"/>
    <w:lvl w:ilvl="0">
      <w:numFmt w:val="bullet"/>
      <w:lvlText w:val=""/>
      <w:lvlJc w:val="left"/>
      <w:pPr>
        <w:ind w:hanging="360" w:left="115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87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9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31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403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75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47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19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910"/>
      </w:pPr>
      <w:rPr>
        <w:rFonts w:hAnsi="Wingdings" w:ascii="Wingdings"/>
      </w:rPr>
    </w:lvl>
  </w:abstractNum>
  <w:abstractNum w:abstractNumId="9">
    <w:nsid w:val="31746052"/>
    <w:multiLevelType w:val="multilevel"/>
    <w:tmpl w:val="DDDAA392"/>
    <w:styleLink w:val="WWNum1"/>
    <w:lvl w:ilvl="0">
      <w:numFmt w:val="bullet"/>
      <w:lvlText w:val="*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0">
    <w:nsid w:val="37A577BC"/>
    <w:multiLevelType w:val="multilevel"/>
    <w:tmpl w:val="5FC47182"/>
    <w:styleLink w:val="WWNum21"/>
    <w:lvl w:ilvl="0">
      <w:start w:val="4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DD1BBB"/>
    <w:multiLevelType w:val="multilevel"/>
    <w:tmpl w:val="26B43580"/>
    <w:styleLink w:val="WWNum24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43402950"/>
    <w:multiLevelType w:val="multilevel"/>
    <w:tmpl w:val="40042D30"/>
    <w:styleLink w:val="WWNum13"/>
    <w:lvl w:ilvl="0">
      <w:numFmt w:val="bullet"/>
      <w:lvlText w:val=""/>
      <w:lvlJc w:val="left"/>
      <w:pPr>
        <w:ind w:hanging="360" w:left="644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ind w:hanging="360" w:left="1364"/>
      </w:pPr>
    </w:lvl>
    <w:lvl w:ilvl="2">
      <w:start w:val="1"/>
      <w:numFmt w:val="lowerRoman"/>
      <w:lvlText w:val="%3."/>
      <w:lvlJc w:val="right"/>
      <w:pPr>
        <w:ind w:hanging="180" w:left="2084"/>
      </w:pPr>
    </w:lvl>
    <w:lvl w:ilvl="3">
      <w:start w:val="1"/>
      <w:numFmt w:val="decimal"/>
      <w:lvlText w:val="%4."/>
      <w:lvlJc w:val="left"/>
      <w:pPr>
        <w:ind w:hanging="360" w:left="2804"/>
      </w:pPr>
    </w:lvl>
    <w:lvl w:ilvl="4">
      <w:start w:val="1"/>
      <w:numFmt w:val="lowerLetter"/>
      <w:lvlText w:val="%5."/>
      <w:lvlJc w:val="left"/>
      <w:pPr>
        <w:ind w:hanging="360" w:left="3524"/>
      </w:pPr>
    </w:lvl>
    <w:lvl w:ilvl="5">
      <w:start w:val="1"/>
      <w:numFmt w:val="lowerRoman"/>
      <w:lvlText w:val="%6."/>
      <w:lvlJc w:val="right"/>
      <w:pPr>
        <w:ind w:hanging="180" w:left="4244"/>
      </w:pPr>
    </w:lvl>
    <w:lvl w:ilvl="6">
      <w:start w:val="1"/>
      <w:numFmt w:val="decimal"/>
      <w:lvlText w:val="%7."/>
      <w:lvlJc w:val="left"/>
      <w:pPr>
        <w:ind w:hanging="360" w:left="4964"/>
      </w:pPr>
    </w:lvl>
    <w:lvl w:ilvl="7">
      <w:start w:val="1"/>
      <w:numFmt w:val="lowerLetter"/>
      <w:lvlText w:val="%8."/>
      <w:lvlJc w:val="left"/>
      <w:pPr>
        <w:ind w:hanging="360" w:left="5684"/>
      </w:pPr>
    </w:lvl>
    <w:lvl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444427FD"/>
    <w:multiLevelType w:val="multilevel"/>
    <w:tmpl w:val="BD0609B0"/>
    <w:styleLink w:val="WWNum2"/>
    <w:lvl w:ilvl="0">
      <w:start w:val="1"/>
      <w:numFmt w:val="lowerLetter"/>
      <w:lvlText w:val="%1)"/>
      <w:lvlJc w:val="left"/>
      <w:pPr>
        <w:ind w:hanging="360" w:left="1069"/>
      </w:pPr>
    </w:lvl>
    <w:lvl w:ilvl="1">
      <w:start w:val="1"/>
      <w:numFmt w:val="lowerLetter"/>
      <w:lvlText w:val="%2."/>
      <w:lvlJc w:val="left"/>
      <w:pPr>
        <w:ind w:hanging="360" w:left="1789"/>
      </w:pPr>
    </w:lvl>
    <w:lvl w:ilvl="2">
      <w:start w:val="1"/>
      <w:numFmt w:val="lowerRoman"/>
      <w:lvlText w:val="%3."/>
      <w:lvlJc w:val="right"/>
      <w:pPr>
        <w:ind w:hanging="180" w:left="2509"/>
      </w:pPr>
    </w:lvl>
    <w:lvl w:ilvl="3">
      <w:start w:val="1"/>
      <w:numFmt w:val="decimal"/>
      <w:lvlText w:val="%4."/>
      <w:lvlJc w:val="left"/>
      <w:pPr>
        <w:ind w:hanging="360" w:left="3229"/>
      </w:pPr>
    </w:lvl>
    <w:lvl w:ilvl="4">
      <w:start w:val="1"/>
      <w:numFmt w:val="lowerLetter"/>
      <w:lvlText w:val="%5."/>
      <w:lvlJc w:val="left"/>
      <w:pPr>
        <w:ind w:hanging="360" w:left="3949"/>
      </w:pPr>
    </w:lvl>
    <w:lvl w:ilvl="5">
      <w:start w:val="1"/>
      <w:numFmt w:val="lowerRoman"/>
      <w:lvlText w:val="%6."/>
      <w:lvlJc w:val="right"/>
      <w:pPr>
        <w:ind w:hanging="180" w:left="4669"/>
      </w:pPr>
    </w:lvl>
    <w:lvl w:ilvl="6">
      <w:start w:val="1"/>
      <w:numFmt w:val="decimal"/>
      <w:lvlText w:val="%7."/>
      <w:lvlJc w:val="left"/>
      <w:pPr>
        <w:ind w:hanging="360" w:left="5389"/>
      </w:pPr>
    </w:lvl>
    <w:lvl w:ilvl="7">
      <w:start w:val="1"/>
      <w:numFmt w:val="lowerLetter"/>
      <w:lvlText w:val="%8."/>
      <w:lvlJc w:val="left"/>
      <w:pPr>
        <w:ind w:hanging="360" w:left="6109"/>
      </w:pPr>
    </w:lvl>
    <w:lvl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554295"/>
    <w:multiLevelType w:val="multilevel"/>
    <w:tmpl w:val="134ED9D8"/>
    <w:styleLink w:val="WWNum11"/>
    <w:lvl w:ilvl="0">
      <w:numFmt w:val="bullet"/>
      <w:lvlText w:val=""/>
      <w:lvlJc w:val="left"/>
      <w:pPr>
        <w:ind w:hanging="360" w:left="787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07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27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47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67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87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07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27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47"/>
      </w:pPr>
      <w:rPr>
        <w:rFonts w:hAnsi="Wingdings" w:ascii="Wingdings"/>
      </w:rPr>
    </w:lvl>
  </w:abstractNum>
  <w:abstractNum w:abstractNumId="15">
    <w:nsid w:val="54754C0B"/>
    <w:multiLevelType w:val="multilevel"/>
    <w:tmpl w:val="148A6FA6"/>
    <w:styleLink w:val="WWNum19"/>
    <w:lvl w:ilvl="0">
      <w:numFmt w:val="bullet"/>
      <w:lvlText w:val="-"/>
      <w:lvlJc w:val="left"/>
      <w:pPr>
        <w:ind w:hanging="360" w:left="360"/>
      </w:pPr>
      <w:rPr>
        <w:rFonts w:cs="Calibri" w:hAnsi="Tahoma" w:ascii="Tahoma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EEE2B0F"/>
    <w:multiLevelType w:val="multilevel"/>
    <w:tmpl w:val="12B6257E"/>
    <w:styleLink w:val="WWNum25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7">
    <w:nsid w:val="5FB86EA3"/>
    <w:multiLevelType w:val="multilevel"/>
    <w:tmpl w:val="4E208D12"/>
    <w:styleLink w:val="WWNum27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8">
    <w:nsid w:val="60072C81"/>
    <w:multiLevelType w:val="multilevel"/>
    <w:tmpl w:val="0792AA82"/>
    <w:styleLink w:val="WWNum26"/>
    <w:lvl w:ilvl="0">
      <w:numFmt w:val="bullet"/>
      <w:lvlText w:val=""/>
      <w:lvlJc w:val="left"/>
      <w:pPr>
        <w:ind w:hanging="360" w:left="108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80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2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24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96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68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40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12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840"/>
      </w:pPr>
      <w:rPr>
        <w:rFonts w:hAnsi="Wingdings" w:ascii="Wingdings"/>
      </w:rPr>
    </w:lvl>
  </w:abstractNum>
  <w:abstractNum w:abstractNumId="19">
    <w:nsid w:val="60CE0CE7"/>
    <w:multiLevelType w:val="multilevel"/>
    <w:tmpl w:val="7B96AE66"/>
    <w:styleLink w:val="WWNum5"/>
    <w:lvl w:ilvl="0">
      <w:start w:val="1"/>
      <w:numFmt w:val="decimal"/>
      <w:lvlText w:val="%1."/>
      <w:lvlJc w:val="left"/>
      <w:pPr>
        <w:ind w:hanging="360" w:left="435"/>
      </w:pPr>
    </w:lvl>
    <w:lvl w:ilvl="1">
      <w:start w:val="1"/>
      <w:numFmt w:val="lowerLetter"/>
      <w:lvlText w:val="%2."/>
      <w:lvlJc w:val="left"/>
      <w:pPr>
        <w:ind w:hanging="360" w:left="1155"/>
      </w:pPr>
    </w:lvl>
    <w:lvl w:ilvl="2">
      <w:start w:val="1"/>
      <w:numFmt w:val="lowerRoman"/>
      <w:lvlText w:val="%3."/>
      <w:lvlJc w:val="right"/>
      <w:pPr>
        <w:ind w:hanging="180" w:left="1875"/>
      </w:pPr>
    </w:lvl>
    <w:lvl w:ilvl="3">
      <w:start w:val="1"/>
      <w:numFmt w:val="decimal"/>
      <w:lvlText w:val="%4."/>
      <w:lvlJc w:val="left"/>
      <w:pPr>
        <w:ind w:hanging="360" w:left="2595"/>
      </w:pPr>
    </w:lvl>
    <w:lvl w:ilvl="4">
      <w:start w:val="1"/>
      <w:numFmt w:val="lowerLetter"/>
      <w:lvlText w:val="%5."/>
      <w:lvlJc w:val="left"/>
      <w:pPr>
        <w:ind w:hanging="360" w:left="3315"/>
      </w:pPr>
    </w:lvl>
    <w:lvl w:ilvl="5">
      <w:start w:val="1"/>
      <w:numFmt w:val="lowerRoman"/>
      <w:lvlText w:val="%6."/>
      <w:lvlJc w:val="right"/>
      <w:pPr>
        <w:ind w:hanging="180" w:left="4035"/>
      </w:pPr>
    </w:lvl>
    <w:lvl w:ilvl="6">
      <w:start w:val="1"/>
      <w:numFmt w:val="decimal"/>
      <w:lvlText w:val="%7."/>
      <w:lvlJc w:val="left"/>
      <w:pPr>
        <w:ind w:hanging="360" w:left="4755"/>
      </w:pPr>
    </w:lvl>
    <w:lvl w:ilvl="7">
      <w:start w:val="1"/>
      <w:numFmt w:val="lowerLetter"/>
      <w:lvlText w:val="%8."/>
      <w:lvlJc w:val="left"/>
      <w:pPr>
        <w:ind w:hanging="360" w:left="5475"/>
      </w:pPr>
    </w:lvl>
    <w:lvl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0">
    <w:nsid w:val="6124603D"/>
    <w:multiLevelType w:val="multilevel"/>
    <w:tmpl w:val="806E927E"/>
    <w:styleLink w:val="WWNum20"/>
    <w:lvl w:ilvl="0">
      <w:numFmt w:val="bullet"/>
      <w:lvlText w:val="-"/>
      <w:lvlJc w:val="left"/>
      <w:pPr>
        <w:ind w:hanging="360" w:left="720"/>
      </w:pPr>
      <w:rPr>
        <w:rFonts w:cs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start w:val="1"/>
      <w:numFmt w:val="decimal"/>
      <w:lvlText w:val="%4."/>
      <w:lvlJc w:val="left"/>
      <w:pPr>
        <w:ind w:hanging="360" w:left="502"/>
      </w:pPr>
      <w:rPr>
        <w:b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1">
    <w:nsid w:val="65122CB1"/>
    <w:multiLevelType w:val="multilevel"/>
    <w:tmpl w:val="8806CB5E"/>
    <w:styleLink w:val="WWNum10"/>
    <w:lvl w:ilvl="0">
      <w:start w:val="1"/>
      <w:numFmt w:val="decimal"/>
      <w:lvlText w:val="%1."/>
      <w:lvlJc w:val="left"/>
      <w:pPr>
        <w:ind w:hanging="360" w:left="360"/>
      </w:pPr>
      <w:rPr>
        <w:b w:val="false"/>
      </w:rPr>
    </w:lvl>
    <w:lvl w:ilvl="1">
      <w:start w:val="553"/>
      <w:numFmt w:val="decimal"/>
      <w:lvlText w:val="%1.%2"/>
      <w:lvlJc w:val="left"/>
      <w:pPr>
        <w:ind w:hanging="1095" w:left="1095"/>
      </w:pPr>
    </w:lvl>
    <w:lvl w:ilvl="2">
      <w:start w:val="820"/>
      <w:numFmt w:val="decimal"/>
      <w:lvlText w:val="%1.%2.%3"/>
      <w:lvlJc w:val="left"/>
      <w:pPr>
        <w:ind w:hanging="1095" w:left="1095"/>
      </w:pPr>
    </w:lvl>
    <w:lvl w:ilvl="3">
      <w:start w:val="1"/>
      <w:numFmt w:val="decimal"/>
      <w:lvlText w:val="%1.%2.%3.%4"/>
      <w:lvlJc w:val="left"/>
      <w:pPr>
        <w:ind w:hanging="1095" w:left="1095"/>
      </w:pPr>
    </w:lvl>
    <w:lvl w:ilvl="4">
      <w:start w:val="1"/>
      <w:numFmt w:val="decimal"/>
      <w:lvlText w:val="%1.%2.%3.%4.%5"/>
      <w:lvlJc w:val="left"/>
      <w:pPr>
        <w:ind w:hanging="1095" w:left="1095"/>
      </w:pPr>
    </w:lvl>
    <w:lvl w:ilvl="5">
      <w:start w:val="1"/>
      <w:numFmt w:val="decimal"/>
      <w:lvlText w:val="%1.%2.%3.%4.%5.%6"/>
      <w:lvlJc w:val="left"/>
      <w:pPr>
        <w:ind w:hanging="1440" w:left="1440"/>
      </w:pPr>
    </w:lvl>
    <w:lvl w:ilvl="6">
      <w:start w:val="1"/>
      <w:numFmt w:val="decimal"/>
      <w:lvlText w:val="%1.%2.%3.%4.%5.%6.%7"/>
      <w:lvlJc w:val="left"/>
      <w:pPr>
        <w:ind w:hanging="1800" w:left="1800"/>
      </w:pPr>
    </w:lvl>
    <w:lvl w:ilvl="7">
      <w:start w:val="1"/>
      <w:numFmt w:val="decimal"/>
      <w:lvlText w:val="%1.%2.%3.%4.%5.%6.%7.%8"/>
      <w:lvlJc w:val="left"/>
      <w:pPr>
        <w:ind w:hanging="1800" w:left="1800"/>
      </w:pPr>
    </w:lvl>
    <w:lvl w:ilvl="8">
      <w:start w:val="1"/>
      <w:numFmt w:val="decimal"/>
      <w:lvlText w:val="%1.%2.%3.%4.%5.%6.%7.%8.%9"/>
      <w:lvlJc w:val="left"/>
      <w:pPr>
        <w:ind w:hanging="2160" w:left="2160"/>
      </w:pPr>
    </w:lvl>
  </w:abstractNum>
  <w:abstractNum w:abstractNumId="22">
    <w:nsid w:val="6EB02F67"/>
    <w:multiLevelType w:val="multilevel"/>
    <w:tmpl w:val="616E2BFA"/>
    <w:styleLink w:val="WWNum12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3">
    <w:nsid w:val="6F403197"/>
    <w:multiLevelType w:val="multilevel"/>
    <w:tmpl w:val="3B0E1C2C"/>
    <w:styleLink w:val="WWNum17"/>
    <w:lvl w:ilvl="0">
      <w:numFmt w:val="bullet"/>
      <w:lvlText w:val="-"/>
      <w:lvlJc w:val="left"/>
      <w:pPr>
        <w:ind w:hanging="360" w:left="360"/>
      </w:pPr>
      <w:rPr>
        <w:rFonts w:cs="Calibri" w:hAnsi="Tahoma" w:ascii="Tahoma"/>
      </w:rPr>
    </w:lvl>
    <w:lvl w:ilvl="1">
      <w:start w:val="1"/>
      <w:numFmt w:val="lowerLetter"/>
      <w:lvlText w:val="%2."/>
      <w:lvlJc w:val="left"/>
      <w:pPr>
        <w:ind w:hanging="360" w:left="1080"/>
      </w:pPr>
    </w:lvl>
    <w:lvl w:ilvl="2">
      <w:start w:val="1"/>
      <w:numFmt w:val="lowerRoman"/>
      <w:lvlText w:val="%3."/>
      <w:lvlJc w:val="right"/>
      <w:pPr>
        <w:ind w:hanging="180" w:left="1800"/>
      </w:pPr>
    </w:lvl>
    <w:lvl w:ilvl="3">
      <w:start w:val="1"/>
      <w:numFmt w:val="decimal"/>
      <w:lvlText w:val="%4."/>
      <w:lvlJc w:val="left"/>
      <w:pPr>
        <w:ind w:hanging="360" w:left="2520"/>
      </w:pPr>
    </w:lvl>
    <w:lvl w:ilvl="4">
      <w:start w:val="1"/>
      <w:numFmt w:val="lowerLetter"/>
      <w:lvlText w:val="%5."/>
      <w:lvlJc w:val="left"/>
      <w:pPr>
        <w:ind w:hanging="360" w:left="3240"/>
      </w:pPr>
    </w:lvl>
    <w:lvl w:ilvl="5">
      <w:start w:val="1"/>
      <w:numFmt w:val="lowerRoman"/>
      <w:lvlText w:val="%6."/>
      <w:lvlJc w:val="right"/>
      <w:pPr>
        <w:ind w:hanging="180" w:left="3960"/>
      </w:pPr>
    </w:lvl>
    <w:lvl w:ilvl="6">
      <w:start w:val="1"/>
      <w:numFmt w:val="decimal"/>
      <w:lvlText w:val="%7."/>
      <w:lvlJc w:val="left"/>
      <w:pPr>
        <w:ind w:hanging="360" w:left="4680"/>
      </w:pPr>
    </w:lvl>
    <w:lvl w:ilvl="7">
      <w:start w:val="1"/>
      <w:numFmt w:val="lowerLetter"/>
      <w:lvlText w:val="%8."/>
      <w:lvlJc w:val="left"/>
      <w:pPr>
        <w:ind w:hanging="360" w:left="5400"/>
      </w:pPr>
    </w:lvl>
    <w:lvl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7231204E"/>
    <w:multiLevelType w:val="multilevel"/>
    <w:tmpl w:val="1EE0DDC0"/>
    <w:styleLink w:val="WWNum29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5">
    <w:nsid w:val="73BA7210"/>
    <w:multiLevelType w:val="multilevel"/>
    <w:tmpl w:val="561A9596"/>
    <w:styleLink w:val="WWNum7"/>
    <w:lvl w:ilvl="0">
      <w:start w:val="1"/>
      <w:numFmt w:val="upperLetter"/>
      <w:lvlText w:val="%1)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36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7106EEA"/>
    <w:multiLevelType w:val="multilevel"/>
    <w:tmpl w:val="8EF4A18A"/>
    <w:styleLink w:val="WWNum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86F0D02"/>
    <w:multiLevelType w:val="multilevel"/>
    <w:tmpl w:val="82FA2B42"/>
    <w:styleLink w:val="WWNum14"/>
    <w:lvl w:ilvl="0">
      <w:numFmt w:val="bullet"/>
      <w:lvlText w:val="-"/>
      <w:lvlJc w:val="left"/>
      <w:pPr>
        <w:ind w:hanging="360" w:left="435"/>
      </w:pPr>
      <w:rPr>
        <w:rFonts w:cs="Calibri" w:hAnsi="Tahoma" w:ascii="Tahoma"/>
      </w:rPr>
    </w:lvl>
    <w:lvl w:ilvl="1">
      <w:numFmt w:val="bullet"/>
      <w:lvlText w:val="o"/>
      <w:lvlJc w:val="left"/>
      <w:pPr>
        <w:ind w:hanging="360" w:left="115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7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9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1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03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75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7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95"/>
      </w:pPr>
      <w:rPr>
        <w:rFonts w:hAnsi="Wingdings" w:ascii="Wingdings"/>
      </w:rPr>
    </w:lvl>
  </w:abstractNum>
  <w:abstractNum w:abstractNumId="28">
    <w:nsid w:val="79353BDC"/>
    <w:multiLevelType w:val="multilevel"/>
    <w:tmpl w:val="486CBF6C"/>
    <w:styleLink w:val="WWNum22"/>
    <w:lvl w:ilvl="0">
      <w:numFmt w:val="bullet"/>
      <w:lvlText w:val=""/>
      <w:lvlJc w:val="left"/>
      <w:pPr>
        <w:ind w:hanging="360" w:left="36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9">
    <w:nsid w:val="7AB83B6D"/>
    <w:multiLevelType w:val="multilevel"/>
    <w:tmpl w:val="EB04B1D0"/>
    <w:styleLink w:val="WWNum6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"/>
      <w:lvlJc w:val="left"/>
      <w:pPr>
        <w:ind w:hanging="360" w:left="928"/>
      </w:pPr>
      <w:rPr>
        <w:rFonts w:hAnsi="Symbol" w:ascii="Symbol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26"/>
  </w:num>
  <w:num w:numId="5">
    <w:abstractNumId w:val="19"/>
  </w:num>
  <w:num w:numId="6">
    <w:abstractNumId w:val="29"/>
  </w:num>
  <w:num w:numId="7">
    <w:abstractNumId w:val="25"/>
  </w:num>
  <w:num w:numId="8">
    <w:abstractNumId w:val="0"/>
  </w:num>
  <w:num w:numId="9">
    <w:abstractNumId w:val="4"/>
  </w:num>
  <w:num w:numId="10">
    <w:abstractNumId w:val="21"/>
  </w:num>
  <w:num w:numId="11">
    <w:abstractNumId w:val="14"/>
  </w:num>
  <w:num w:numId="12">
    <w:abstractNumId w:val="22"/>
  </w:num>
  <w:num w:numId="13">
    <w:abstractNumId w:val="12"/>
  </w:num>
  <w:num w:numId="14">
    <w:abstractNumId w:val="27"/>
  </w:num>
  <w:num w:numId="15">
    <w:abstractNumId w:val="3"/>
  </w:num>
  <w:num w:numId="16">
    <w:abstractNumId w:val="6"/>
  </w:num>
  <w:num w:numId="17">
    <w:abstractNumId w:val="23"/>
  </w:num>
  <w:num w:numId="18">
    <w:abstractNumId w:val="7"/>
  </w:num>
  <w:num w:numId="19">
    <w:abstractNumId w:val="15"/>
  </w:num>
  <w:num w:numId="20">
    <w:abstractNumId w:val="20"/>
  </w:num>
  <w:num w:numId="21">
    <w:abstractNumId w:val="10"/>
  </w:num>
  <w:num w:numId="22">
    <w:abstractNumId w:val="28"/>
  </w:num>
  <w:num w:numId="23">
    <w:abstractNumId w:val="2"/>
  </w:num>
  <w:num w:numId="24">
    <w:abstractNumId w:val="11"/>
  </w:num>
  <w:num w:numId="25">
    <w:abstractNumId w:val="16"/>
  </w:num>
  <w:num w:numId="26">
    <w:abstractNumId w:val="18"/>
  </w:num>
  <w:num w:numId="27">
    <w:abstractNumId w:val="17"/>
  </w:num>
  <w:num w:numId="28">
    <w:abstractNumId w:val="8"/>
  </w:num>
  <w:num w:numId="29">
    <w:abstractNumId w:val="24"/>
  </w:num>
  <w:num w:numId="30">
    <w:abstractNumId w:val="1"/>
  </w:num>
  <w:num w:numId="31">
    <w:abstractNumId w:val="5"/>
  </w:num>
  <w:num w:numId="32">
    <w:abstractNumId w:val="2"/>
  </w:num>
  <w:num w:numId="33">
    <w:abstractNumId w:val="16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094F33"/>
    <w:rsid w:val="00094F33"/>
    <w:rsid w:val="009F5753"/>
    <w:rsid w:val="00F06E42"/>
    <w:rsid w:val="00F9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</w:pPr>
  </w:style>
  <w:style w:styleId="Zaglavlje" w:type="paragraph">
    <w:name w:val="header"/>
    <w:basedOn w:val="Standard"/>
    <w:next w:val="Textbody"/>
    <w:pPr>
      <w:keepNext/>
      <w:spacing w:after="120" w:before="240"/>
    </w:pPr>
    <w:rPr>
      <w:rFonts w:cs="Tahoma" w:eastAsia="Andale Sans U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styleId="Tekstbalonia" w:type="paragraph">
    <w:name w:val="Balloon Text"/>
    <w:basedOn w:val="Standard"/>
    <w:pPr>
      <w:spacing w:lineRule="auto" w:line="240" w:after="0"/>
    </w:pPr>
    <w:rPr>
      <w:rFonts w:cs="Tahoma" w:hAnsi="Tahoma" w:ascii="Tahoma"/>
      <w:sz w:val="16"/>
      <w:szCs w:val="16"/>
    </w:rPr>
  </w:style>
  <w:style w:styleId="Podnoje" w:type="paragraph">
    <w:name w:val="footer"/>
    <w:basedOn w:val="Standard"/>
    <w:pPr>
      <w:tabs>
        <w:tab w:pos="4536" w:val="center"/>
        <w:tab w:pos="9072" w:val="right"/>
      </w:tabs>
      <w:spacing w:lineRule="auto" w:line="240" w:after="0"/>
    </w:pPr>
  </w:style>
  <w:style w:styleId="Odlomakpopisa" w:type="paragraph">
    <w:name w:val="List Paragraph"/>
    <w:basedOn w:val="Standard"/>
    <w:pPr>
      <w:ind w:left="720"/>
    </w:pPr>
  </w:style>
  <w:style w:customStyle="true" w:styleId="TableContents" w:type="paragraph">
    <w:name w:val="Table Contents"/>
    <w:basedOn w:val="Standard"/>
    <w:pPr>
      <w:suppressLineNumbers/>
    </w:pPr>
  </w:style>
  <w:style w:customStyle="true" w:styleId="ListLabel7" w:type="character">
    <w:name w:val="ListLabel 7"/>
    <w:rPr>
      <w:b/>
    </w:rPr>
  </w:style>
  <w:style w:customStyle="true" w:styleId="ListLabel6" w:type="character">
    <w:name w:val="ListLabel 6"/>
    <w:rPr>
      <w:rFonts w:cs="Calibri"/>
      <w:i w:val="false"/>
      <w:u w:val="none"/>
    </w:rPr>
  </w:style>
  <w:style w:customStyle="true" w:styleId="ListLabel5" w:type="character">
    <w:name w:val="ListLabel 5"/>
    <w:rPr>
      <w:i w:val="false"/>
      <w:u w:val="none"/>
    </w:rPr>
  </w:style>
  <w:style w:customStyle="true" w:styleId="ListLabel4" w:type="character">
    <w:name w:val="ListLabel 4"/>
    <w:rPr>
      <w:rFonts w:cs="Calibri"/>
    </w:rPr>
  </w:style>
  <w:style w:customStyle="true" w:styleId="ListLabel3" w:type="character">
    <w:name w:val="ListLabel 3"/>
    <w:rPr>
      <w:b w:val="false"/>
    </w:rPr>
  </w:style>
  <w:style w:customStyle="true" w:styleId="ListLabel2" w:type="character">
    <w:name w:val="ListLabel 2"/>
    <w:rPr>
      <w:rFonts w:cs="Courier New"/>
    </w:rPr>
  </w:style>
  <w:style w:customStyle="true" w:styleId="ListLabel1" w:type="character">
    <w:name w:val="ListLabel 1"/>
    <w:rPr>
      <w:rFonts w:cs="Tahoma" w:eastAsia="Calibri"/>
    </w:rPr>
  </w:style>
  <w:style w:customStyle="true" w:styleId="TekstbaloniaChar" w:type="character">
    <w:name w:val="Tekst balončića Char"/>
    <w:basedOn w:val="Zadanifontodlomk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</w:style>
  <w:style w:customStyle="true" w:styleId="ZaglavljeChar" w:type="character">
    <w:name w:val="Zaglavlje Char"/>
    <w:basedOn w:val="Zadanifontodlomka"/>
  </w:style>
  <w:style w:styleId="Naglaeno" w:type="character">
    <w:name w:val="Strong"/>
    <w:basedOn w:val="Zadanifontodlomka"/>
    <w:rPr>
      <w:b/>
      <w:bCs/>
    </w:rPr>
  </w:style>
  <w:style w:customStyle="true" w:styleId="WWNum1" w:type="numbering">
    <w:name w:val="WWNum1"/>
    <w:basedOn w:val="Bezpopisa"/>
    <w:pPr>
      <w:numPr>
        <w:numId w:val="1"/>
      </w:numPr>
    </w:pPr>
  </w:style>
  <w:style w:customStyle="true" w:styleId="WWNum2" w:type="numbering">
    <w:name w:val="WWNum2"/>
    <w:basedOn w:val="Bezpopisa"/>
    <w:pPr>
      <w:numPr>
        <w:numId w:val="2"/>
      </w:numPr>
    </w:pPr>
  </w:style>
  <w:style w:customStyle="true" w:styleId="WWNum3" w:type="numbering">
    <w:name w:val="WWNum3"/>
    <w:basedOn w:val="Bezpopisa"/>
    <w:pPr>
      <w:numPr>
        <w:numId w:val="3"/>
      </w:numPr>
    </w:pPr>
  </w:style>
  <w:style w:customStyle="true" w:styleId="WWNum4" w:type="numbering">
    <w:name w:val="WWNum4"/>
    <w:basedOn w:val="Bezpopisa"/>
    <w:pPr>
      <w:numPr>
        <w:numId w:val="4"/>
      </w:numPr>
    </w:pPr>
  </w:style>
  <w:style w:customStyle="true" w:styleId="WWNum5" w:type="numbering">
    <w:name w:val="WWNum5"/>
    <w:basedOn w:val="Bezpopisa"/>
    <w:pPr>
      <w:numPr>
        <w:numId w:val="5"/>
      </w:numPr>
    </w:pPr>
  </w:style>
  <w:style w:customStyle="true" w:styleId="WWNum6" w:type="numbering">
    <w:name w:val="WWNum6"/>
    <w:basedOn w:val="Bezpopisa"/>
    <w:pPr>
      <w:numPr>
        <w:numId w:val="6"/>
      </w:numPr>
    </w:pPr>
  </w:style>
  <w:style w:customStyle="true" w:styleId="WWNum7" w:type="numbering">
    <w:name w:val="WWNum7"/>
    <w:basedOn w:val="Bezpopisa"/>
    <w:pPr>
      <w:numPr>
        <w:numId w:val="7"/>
      </w:numPr>
    </w:pPr>
  </w:style>
  <w:style w:customStyle="true" w:styleId="WWNum8" w:type="numbering">
    <w:name w:val="WWNum8"/>
    <w:basedOn w:val="Bezpopisa"/>
    <w:pPr>
      <w:numPr>
        <w:numId w:val="8"/>
      </w:numPr>
    </w:pPr>
  </w:style>
  <w:style w:customStyle="true" w:styleId="WWNum9" w:type="numbering">
    <w:name w:val="WWNum9"/>
    <w:basedOn w:val="Bezpopisa"/>
    <w:pPr>
      <w:numPr>
        <w:numId w:val="9"/>
      </w:numPr>
    </w:pPr>
  </w:style>
  <w:style w:customStyle="true" w:styleId="WWNum10" w:type="numbering">
    <w:name w:val="WWNum10"/>
    <w:basedOn w:val="Bezpopisa"/>
    <w:pPr>
      <w:numPr>
        <w:numId w:val="10"/>
      </w:numPr>
    </w:pPr>
  </w:style>
  <w:style w:customStyle="true" w:styleId="WWNum11" w:type="numbering">
    <w:name w:val="WWNum11"/>
    <w:basedOn w:val="Bezpopisa"/>
    <w:pPr>
      <w:numPr>
        <w:numId w:val="11"/>
      </w:numPr>
    </w:pPr>
  </w:style>
  <w:style w:customStyle="true" w:styleId="WWNum12" w:type="numbering">
    <w:name w:val="WWNum12"/>
    <w:basedOn w:val="Bezpopisa"/>
    <w:pPr>
      <w:numPr>
        <w:numId w:val="12"/>
      </w:numPr>
    </w:pPr>
  </w:style>
  <w:style w:customStyle="true" w:styleId="WWNum13" w:type="numbering">
    <w:name w:val="WWNum13"/>
    <w:basedOn w:val="Bezpopisa"/>
    <w:pPr>
      <w:numPr>
        <w:numId w:val="13"/>
      </w:numPr>
    </w:pPr>
  </w:style>
  <w:style w:customStyle="true" w:styleId="WWNum14" w:type="numbering">
    <w:name w:val="WWNum14"/>
    <w:basedOn w:val="Bezpopisa"/>
    <w:pPr>
      <w:numPr>
        <w:numId w:val="14"/>
      </w:numPr>
    </w:pPr>
  </w:style>
  <w:style w:customStyle="true" w:styleId="WWNum15" w:type="numbering">
    <w:name w:val="WWNum15"/>
    <w:basedOn w:val="Bezpopisa"/>
    <w:pPr>
      <w:numPr>
        <w:numId w:val="15"/>
      </w:numPr>
    </w:pPr>
  </w:style>
  <w:style w:customStyle="true" w:styleId="WWNum16" w:type="numbering">
    <w:name w:val="WWNum16"/>
    <w:basedOn w:val="Bezpopisa"/>
    <w:pPr>
      <w:numPr>
        <w:numId w:val="16"/>
      </w:numPr>
    </w:pPr>
  </w:style>
  <w:style w:customStyle="true" w:styleId="WWNum17" w:type="numbering">
    <w:name w:val="WWNum17"/>
    <w:basedOn w:val="Bezpopisa"/>
    <w:pPr>
      <w:numPr>
        <w:numId w:val="17"/>
      </w:numPr>
    </w:pPr>
  </w:style>
  <w:style w:customStyle="true" w:styleId="WWNum18" w:type="numbering">
    <w:name w:val="WWNum18"/>
    <w:basedOn w:val="Bezpopisa"/>
    <w:pPr>
      <w:numPr>
        <w:numId w:val="18"/>
      </w:numPr>
    </w:pPr>
  </w:style>
  <w:style w:customStyle="true" w:styleId="WWNum19" w:type="numbering">
    <w:name w:val="WWNum19"/>
    <w:basedOn w:val="Bezpopisa"/>
    <w:pPr>
      <w:numPr>
        <w:numId w:val="19"/>
      </w:numPr>
    </w:pPr>
  </w:style>
  <w:style w:customStyle="true" w:styleId="WWNum20" w:type="numbering">
    <w:name w:val="WWNum20"/>
    <w:basedOn w:val="Bezpopisa"/>
    <w:pPr>
      <w:numPr>
        <w:numId w:val="20"/>
      </w:numPr>
    </w:pPr>
  </w:style>
  <w:style w:customStyle="true" w:styleId="WWNum21" w:type="numbering">
    <w:name w:val="WWNum21"/>
    <w:basedOn w:val="Bezpopisa"/>
    <w:pPr>
      <w:numPr>
        <w:numId w:val="21"/>
      </w:numPr>
    </w:pPr>
  </w:style>
  <w:style w:customStyle="true" w:styleId="WWNum22" w:type="numbering">
    <w:name w:val="WWNum22"/>
    <w:basedOn w:val="Bezpopisa"/>
    <w:pPr>
      <w:numPr>
        <w:numId w:val="22"/>
      </w:numPr>
    </w:pPr>
  </w:style>
  <w:style w:customStyle="true" w:styleId="WWNum23" w:type="numbering">
    <w:name w:val="WWNum23"/>
    <w:basedOn w:val="Bezpopisa"/>
    <w:pPr>
      <w:numPr>
        <w:numId w:val="23"/>
      </w:numPr>
    </w:pPr>
  </w:style>
  <w:style w:customStyle="true" w:styleId="WWNum24" w:type="numbering">
    <w:name w:val="WWNum24"/>
    <w:basedOn w:val="Bezpopisa"/>
    <w:pPr>
      <w:numPr>
        <w:numId w:val="24"/>
      </w:numPr>
    </w:pPr>
  </w:style>
  <w:style w:customStyle="true" w:styleId="WWNum25" w:type="numbering">
    <w:name w:val="WWNum25"/>
    <w:basedOn w:val="Bezpopisa"/>
    <w:pPr>
      <w:numPr>
        <w:numId w:val="25"/>
      </w:numPr>
    </w:pPr>
  </w:style>
  <w:style w:customStyle="true" w:styleId="WWNum26" w:type="numbering">
    <w:name w:val="WWNum26"/>
    <w:basedOn w:val="Bezpopisa"/>
    <w:pPr>
      <w:numPr>
        <w:numId w:val="26"/>
      </w:numPr>
    </w:pPr>
  </w:style>
  <w:style w:customStyle="true" w:styleId="WWNum27" w:type="numbering">
    <w:name w:val="WWNum27"/>
    <w:basedOn w:val="Bezpopisa"/>
    <w:pPr>
      <w:numPr>
        <w:numId w:val="27"/>
      </w:numPr>
    </w:pPr>
  </w:style>
  <w:style w:customStyle="true" w:styleId="WWNum28" w:type="numbering">
    <w:name w:val="WWNum28"/>
    <w:basedOn w:val="Bezpopisa"/>
    <w:pPr>
      <w:numPr>
        <w:numId w:val="28"/>
      </w:numPr>
    </w:pPr>
  </w:style>
  <w:style w:customStyle="true" w:styleId="WWNum29" w:type="numbering">
    <w:name w:val="WWNum29"/>
    <w:basedOn w:val="Bezpopisa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9F5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</w:pPr>
  </w:style>
  <w:style w:styleId="Zaglavlje" w:type="paragraph">
    <w:name w:val="header"/>
    <w:basedOn w:val="Standard"/>
    <w:next w:val="Textbody"/>
    <w:pPr>
      <w:keepNext/>
      <w:spacing w:after="120" w:before="240"/>
    </w:pPr>
    <w:rPr>
      <w:rFonts w:ascii="Arial" w:cs="Tahoma" w:eastAsia="Andale Sans U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Tekstbalonia" w:type="paragraph">
    <w:name w:val="Balloon Text"/>
    <w:basedOn w:val="Standard"/>
    <w:pPr>
      <w:spacing w:after="0" w:line="240" w:lineRule="auto"/>
    </w:pPr>
    <w:rPr>
      <w:rFonts w:ascii="Tahoma" w:cs="Tahoma" w:hAnsi="Tahoma"/>
      <w:sz w:val="16"/>
      <w:szCs w:val="16"/>
    </w:rPr>
  </w:style>
  <w:style w:styleId="Podnoje" w:type="paragraph">
    <w:name w:val="footer"/>
    <w:basedOn w:val="Standard"/>
    <w:pPr>
      <w:tabs>
        <w:tab w:pos="4536" w:val="center"/>
        <w:tab w:pos="9072" w:val="right"/>
      </w:tabs>
      <w:spacing w:after="0" w:line="240" w:lineRule="auto"/>
    </w:pPr>
  </w:style>
  <w:style w:styleId="Odlomakpopisa" w:type="paragraph">
    <w:name w:val="List Paragraph"/>
    <w:basedOn w:val="Standard"/>
    <w:pPr>
      <w:ind w:left="720"/>
    </w:pPr>
  </w:style>
  <w:style w:customStyle="1" w:styleId="TableContents" w:type="paragraph">
    <w:name w:val="Table Contents"/>
    <w:basedOn w:val="Standard"/>
    <w:pPr>
      <w:suppressLineNumbers/>
    </w:pPr>
  </w:style>
  <w:style w:customStyle="1" w:styleId="ListLabel7" w:type="character">
    <w:name w:val="ListLabel 7"/>
    <w:rPr>
      <w:b/>
    </w:rPr>
  </w:style>
  <w:style w:customStyle="1" w:styleId="ListLabel6" w:type="character">
    <w:name w:val="ListLabel 6"/>
    <w:rPr>
      <w:rFonts w:cs="Calibri"/>
      <w:i w:val="0"/>
      <w:u w:val="none"/>
    </w:rPr>
  </w:style>
  <w:style w:customStyle="1" w:styleId="ListLabel5" w:type="character">
    <w:name w:val="ListLabel 5"/>
    <w:rPr>
      <w:i w:val="0"/>
      <w:u w:val="none"/>
    </w:rPr>
  </w:style>
  <w:style w:customStyle="1" w:styleId="ListLabel4" w:type="character">
    <w:name w:val="ListLabel 4"/>
    <w:rPr>
      <w:rFonts w:cs="Calibri"/>
    </w:rPr>
  </w:style>
  <w:style w:customStyle="1" w:styleId="ListLabel3" w:type="character">
    <w:name w:val="ListLabel 3"/>
    <w:rPr>
      <w:b w:val="0"/>
    </w:rPr>
  </w:style>
  <w:style w:customStyle="1" w:styleId="ListLabel2" w:type="character">
    <w:name w:val="ListLabel 2"/>
    <w:rPr>
      <w:rFonts w:cs="Courier New"/>
    </w:rPr>
  </w:style>
  <w:style w:customStyle="1" w:styleId="ListLabel1" w:type="character">
    <w:name w:val="ListLabel 1"/>
    <w:rPr>
      <w:rFonts w:cs="Tahoma" w:eastAsia="Calibri"/>
    </w:rPr>
  </w:style>
  <w:style w:customStyle="1" w:styleId="TekstbaloniaChar" w:type="character">
    <w:name w:val="Tekst balončića Char"/>
    <w:basedOn w:val="Zadanifontodlomk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</w:style>
  <w:style w:customStyle="1" w:styleId="ZaglavljeChar" w:type="character">
    <w:name w:val="Zaglavlje Char"/>
    <w:basedOn w:val="Zadanifontodlomka"/>
  </w:style>
  <w:style w:styleId="Naglaeno" w:type="character">
    <w:name w:val="Strong"/>
    <w:basedOn w:val="Zadanifontodlomka"/>
    <w:rPr>
      <w:b/>
      <w:bCs/>
    </w:rPr>
  </w:style>
  <w:style w:customStyle="1" w:styleId="WWNum1" w:type="numbering">
    <w:name w:val="WWNum1"/>
    <w:basedOn w:val="Bezpopisa"/>
    <w:pPr>
      <w:numPr>
        <w:numId w:val="1"/>
      </w:numPr>
    </w:pPr>
  </w:style>
  <w:style w:customStyle="1" w:styleId="WWNum2" w:type="numbering">
    <w:name w:val="WWNum2"/>
    <w:basedOn w:val="Bezpopisa"/>
    <w:pPr>
      <w:numPr>
        <w:numId w:val="2"/>
      </w:numPr>
    </w:pPr>
  </w:style>
  <w:style w:customStyle="1" w:styleId="WWNum3" w:type="numbering">
    <w:name w:val="WWNum3"/>
    <w:basedOn w:val="Bezpopisa"/>
    <w:pPr>
      <w:numPr>
        <w:numId w:val="3"/>
      </w:numPr>
    </w:pPr>
  </w:style>
  <w:style w:customStyle="1" w:styleId="WWNum4" w:type="numbering">
    <w:name w:val="WWNum4"/>
    <w:basedOn w:val="Bezpopisa"/>
    <w:pPr>
      <w:numPr>
        <w:numId w:val="4"/>
      </w:numPr>
    </w:pPr>
  </w:style>
  <w:style w:customStyle="1" w:styleId="WWNum5" w:type="numbering">
    <w:name w:val="WWNum5"/>
    <w:basedOn w:val="Bezpopisa"/>
    <w:pPr>
      <w:numPr>
        <w:numId w:val="5"/>
      </w:numPr>
    </w:pPr>
  </w:style>
  <w:style w:customStyle="1" w:styleId="WWNum6" w:type="numbering">
    <w:name w:val="WWNum6"/>
    <w:basedOn w:val="Bezpopisa"/>
    <w:pPr>
      <w:numPr>
        <w:numId w:val="6"/>
      </w:numPr>
    </w:pPr>
  </w:style>
  <w:style w:customStyle="1" w:styleId="WWNum7" w:type="numbering">
    <w:name w:val="WWNum7"/>
    <w:basedOn w:val="Bezpopisa"/>
    <w:pPr>
      <w:numPr>
        <w:numId w:val="7"/>
      </w:numPr>
    </w:pPr>
  </w:style>
  <w:style w:customStyle="1" w:styleId="WWNum8" w:type="numbering">
    <w:name w:val="WWNum8"/>
    <w:basedOn w:val="Bezpopisa"/>
    <w:pPr>
      <w:numPr>
        <w:numId w:val="8"/>
      </w:numPr>
    </w:pPr>
  </w:style>
  <w:style w:customStyle="1" w:styleId="WWNum9" w:type="numbering">
    <w:name w:val="WWNum9"/>
    <w:basedOn w:val="Bezpopisa"/>
    <w:pPr>
      <w:numPr>
        <w:numId w:val="9"/>
      </w:numPr>
    </w:pPr>
  </w:style>
  <w:style w:customStyle="1" w:styleId="WWNum10" w:type="numbering">
    <w:name w:val="WWNum10"/>
    <w:basedOn w:val="Bezpopisa"/>
    <w:pPr>
      <w:numPr>
        <w:numId w:val="10"/>
      </w:numPr>
    </w:pPr>
  </w:style>
  <w:style w:customStyle="1" w:styleId="WWNum11" w:type="numbering">
    <w:name w:val="WWNum11"/>
    <w:basedOn w:val="Bezpopisa"/>
    <w:pPr>
      <w:numPr>
        <w:numId w:val="11"/>
      </w:numPr>
    </w:pPr>
  </w:style>
  <w:style w:customStyle="1" w:styleId="WWNum12" w:type="numbering">
    <w:name w:val="WWNum12"/>
    <w:basedOn w:val="Bezpopisa"/>
    <w:pPr>
      <w:numPr>
        <w:numId w:val="12"/>
      </w:numPr>
    </w:pPr>
  </w:style>
  <w:style w:customStyle="1" w:styleId="WWNum13" w:type="numbering">
    <w:name w:val="WWNum13"/>
    <w:basedOn w:val="Bezpopisa"/>
    <w:pPr>
      <w:numPr>
        <w:numId w:val="13"/>
      </w:numPr>
    </w:pPr>
  </w:style>
  <w:style w:customStyle="1" w:styleId="WWNum14" w:type="numbering">
    <w:name w:val="WWNum14"/>
    <w:basedOn w:val="Bezpopisa"/>
    <w:pPr>
      <w:numPr>
        <w:numId w:val="14"/>
      </w:numPr>
    </w:pPr>
  </w:style>
  <w:style w:customStyle="1" w:styleId="WWNum15" w:type="numbering">
    <w:name w:val="WWNum15"/>
    <w:basedOn w:val="Bezpopisa"/>
    <w:pPr>
      <w:numPr>
        <w:numId w:val="15"/>
      </w:numPr>
    </w:pPr>
  </w:style>
  <w:style w:customStyle="1" w:styleId="WWNum16" w:type="numbering">
    <w:name w:val="WWNum16"/>
    <w:basedOn w:val="Bezpopisa"/>
    <w:pPr>
      <w:numPr>
        <w:numId w:val="16"/>
      </w:numPr>
    </w:pPr>
  </w:style>
  <w:style w:customStyle="1" w:styleId="WWNum17" w:type="numbering">
    <w:name w:val="WWNum17"/>
    <w:basedOn w:val="Bezpopisa"/>
    <w:pPr>
      <w:numPr>
        <w:numId w:val="17"/>
      </w:numPr>
    </w:pPr>
  </w:style>
  <w:style w:customStyle="1" w:styleId="WWNum18" w:type="numbering">
    <w:name w:val="WWNum18"/>
    <w:basedOn w:val="Bezpopisa"/>
    <w:pPr>
      <w:numPr>
        <w:numId w:val="18"/>
      </w:numPr>
    </w:pPr>
  </w:style>
  <w:style w:customStyle="1" w:styleId="WWNum19" w:type="numbering">
    <w:name w:val="WWNum19"/>
    <w:basedOn w:val="Bezpopisa"/>
    <w:pPr>
      <w:numPr>
        <w:numId w:val="19"/>
      </w:numPr>
    </w:pPr>
  </w:style>
  <w:style w:customStyle="1" w:styleId="WWNum20" w:type="numbering">
    <w:name w:val="WWNum20"/>
    <w:basedOn w:val="Bezpopisa"/>
    <w:pPr>
      <w:numPr>
        <w:numId w:val="20"/>
      </w:numPr>
    </w:pPr>
  </w:style>
  <w:style w:customStyle="1" w:styleId="WWNum21" w:type="numbering">
    <w:name w:val="WWNum21"/>
    <w:basedOn w:val="Bezpopisa"/>
    <w:pPr>
      <w:numPr>
        <w:numId w:val="21"/>
      </w:numPr>
    </w:pPr>
  </w:style>
  <w:style w:customStyle="1" w:styleId="WWNum22" w:type="numbering">
    <w:name w:val="WWNum22"/>
    <w:basedOn w:val="Bezpopisa"/>
    <w:pPr>
      <w:numPr>
        <w:numId w:val="22"/>
      </w:numPr>
    </w:pPr>
  </w:style>
  <w:style w:customStyle="1" w:styleId="WWNum23" w:type="numbering">
    <w:name w:val="WWNum23"/>
    <w:basedOn w:val="Bezpopisa"/>
    <w:pPr>
      <w:numPr>
        <w:numId w:val="23"/>
      </w:numPr>
    </w:pPr>
  </w:style>
  <w:style w:customStyle="1" w:styleId="WWNum24" w:type="numbering">
    <w:name w:val="WWNum24"/>
    <w:basedOn w:val="Bezpopisa"/>
    <w:pPr>
      <w:numPr>
        <w:numId w:val="24"/>
      </w:numPr>
    </w:pPr>
  </w:style>
  <w:style w:customStyle="1" w:styleId="WWNum25" w:type="numbering">
    <w:name w:val="WWNum25"/>
    <w:basedOn w:val="Bezpopisa"/>
    <w:pPr>
      <w:numPr>
        <w:numId w:val="25"/>
      </w:numPr>
    </w:pPr>
  </w:style>
  <w:style w:customStyle="1" w:styleId="WWNum26" w:type="numbering">
    <w:name w:val="WWNum26"/>
    <w:basedOn w:val="Bezpopisa"/>
    <w:pPr>
      <w:numPr>
        <w:numId w:val="26"/>
      </w:numPr>
    </w:pPr>
  </w:style>
  <w:style w:customStyle="1" w:styleId="WWNum27" w:type="numbering">
    <w:name w:val="WWNum27"/>
    <w:basedOn w:val="Bezpopisa"/>
    <w:pPr>
      <w:numPr>
        <w:numId w:val="27"/>
      </w:numPr>
    </w:pPr>
  </w:style>
  <w:style w:customStyle="1" w:styleId="WWNum28" w:type="numbering">
    <w:name w:val="WWNum28"/>
    <w:basedOn w:val="Bezpopisa"/>
    <w:pPr>
      <w:numPr>
        <w:numId w:val="28"/>
      </w:numPr>
    </w:pPr>
  </w:style>
  <w:style w:customStyle="1" w:styleId="WWNum29" w:type="numbering">
    <w:name w:val="WWNum29"/>
    <w:basedOn w:val="Bezpopisa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9F5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Registaror prijave tražbina priložen u spis</izvorni_sadrzaj>
    <derivirana_varijabla naziv="DomainObject.Primjedba_1">Registaror prijave tražbina priložen u spis</derivirana_varijabla>
  </DomainObject.Primjedba>
  <DomainObject.Oznaka>
    <izvorni_sadrzaj>St-174/2017-19</izvorni_sadrzaj>
    <derivirana_varijabla naziv="DomainObject.Oznaka_1">St-174/2017-19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</izvorni_sadrzaj>
    <derivirana_varijabla naziv="DomainObject.Predmet.PrimjedbaSuca_1">ŽALBA  7.4.2017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</izvorni_sadrzaj>
    <derivirana_varijabla naziv="DomainObject.Predmet.OstaliListFormated_1">
      <item>STJEPAN ŠTEFEC</item>
    </derivirana_varijabla>
  </DomainObject.Predmet.OstaliListFormated>
  <DomainObject.Predmet.OstaliListFormatedOIB>
    <izvorni_sadrzaj>
      <item>STJEPAN ŠTEFEC</item>
    </izvorni_sadrzaj>
    <derivirana_varijabla naziv="DomainObject.Predmet.OstaliListFormatedOIB_1">
      <item>STJEPAN ŠTEFEC</item>
    </derivirana_varijabla>
  </DomainObject.Predmet.OstaliListFormatedOIB>
  <DomainObject.Predmet.OstaliListFormatedWithAdress>
    <izvorni_sadrzaj>
      <item>STJEPAN ŠTEFEC, I. Mažuranića 8, 48350 Podravske Sesvete</item>
    </izvorni_sadrzaj>
    <derivirana_varijabla naziv="DomainObject.Predmet.OstaliListFormatedWithAdress_1">
      <item>STJEPAN ŠTEFEC, I. Mažuranića 8, 48350 Podravske Sesvete</item>
    </derivirana_varijabla>
  </DomainObject.Predmet.OstaliListFormatedWithAdress>
  <DomainObject.Predmet.OstaliListFormatedWithAdressOIB>
    <izvorni_sadrzaj>
      <item>STJEPAN ŠTEFEC, I. Mažuranića 8, 48350 Podravske Sesvete</item>
    </izvorni_sadrzaj>
    <derivirana_varijabla naziv="DomainObject.Predmet.OstaliListFormatedWithAdressOIB_1">
      <item>STJEPAN ŠTEFEC, I. Mažuranića 8, 48350 Podravske Sesvete</item>
    </derivirana_varijabla>
  </DomainObject.Predmet.OstaliListFormatedWithAdressOIB>
  <DomainObject.Predmet.OstaliListNazivFormated>
    <izvorni_sadrzaj>
      <item>STJEPAN ŠTEFEC</item>
    </izvorni_sadrzaj>
    <derivirana_varijabla naziv="DomainObject.Predmet.OstaliListNazivFormated_1">
      <item>STJEPAN ŠTEFEC</item>
    </derivirana_varijabla>
  </DomainObject.Predmet.OstaliListNazivFormated>
  <DomainObject.Predmet.OstaliListNazivFormatedOIB>
    <izvorni_sadrzaj>
      <item>STJEPAN ŠTEFEC</item>
    </izvorni_sadrzaj>
    <derivirana_varijabla naziv="DomainObject.Predmet.OstaliListNazivFormatedOIB_1">
      <item>STJEPAN ŠTEFEC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</izvorni_sadrzaj>
    <derivirana_varijabla naziv="DomainObject.Predmet.SudioniciListNaziv_1">
      <item>PROIZVODNO USLUŽNA ZADRUGA IN-GRADNJA</item>
      <item>Financijska agencija Regionalni centar Zagreb</item>
      <item>STJEPAN ŠTEFEC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</izvorni_sadrzaj>
    <derivirana_varijabla naziv="DomainObject.Predmet.SudioniciListNazivOIB_1">
      <item>, OIB 86198632160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2015</properties:Words>
  <properties:Characters>11783</properties:Characters>
  <properties:Lines>340</properties:Lines>
  <properties:Paragraphs>145</properties:Paragraphs>
  <properties:TotalTime>1</properties:TotalTime>
  <properties:ScaleCrop>false</properties:ScaleCrop>
  <properties:LinksUpToDate>false</properties:LinksUpToDate>
  <properties:CharactersWithSpaces>14065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2017-06-19T12:25:00Z</dcterms:created>
  <dc:creator>Nadica</dc:creator>
  <cp:lastModifiedBy>Lea Rogina</cp:lastModifiedBy>
  <cp:lastPrinted>2017-06-16T10:51:00Z</cp:lastPrinted>
  <dcterms:modified xmlns:xsi="http://www.w3.org/2001/XMLSchema-instance" xsi:type="dcterms:W3CDTF">2017-06-19T12:25:00Z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St-174/2017-19 / Podnesak - Izvješće stečajnog upravitelja</vt:lpwstr>
  </prop:property>
  <prop:property name="CC_coloring" pid="8" fmtid="{D5CDD505-2E9C-101B-9397-08002B2CF9AE}">
    <vt:bool>false</vt:bool>
  </prop:property>
  <prop:property name="BrojStranica" pid="9" fmtid="{D5CDD505-2E9C-101B-9397-08002B2CF9AE}">
    <vt:i4>7</vt:i4>
  </prop:property>
</prop:Properties>
</file>