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b09f" w14:paraId="c8db09f"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426BBD" w:rsidP="00426BBD" w:rsidR="00426BBD">
      <w:pPr>
        <w:spacing w:after="0"/>
        <w:jc w:val="both"/>
      </w:pPr>
    </w:p>
    <w:p w:rsidRDefault="00426BBD" w:rsidP="00426BBD" w:rsidR="00426BBD">
      <w:pPr>
        <w:spacing w:after="0"/>
        <w:jc w:val="both"/>
      </w:pPr>
    </w:p>
    <w:p w:rsidRDefault="00426BBD" w:rsidP="00426BBD" w:rsidR="00426BBD">
      <w:pPr>
        <w:spacing w:after="0"/>
        <w:jc w:val="both"/>
      </w:pPr>
    </w:p>
    <w:p w:rsidRDefault="00426BBD" w:rsidP="00426BBD" w:rsidR="00426BBD">
      <w:pPr>
        <w:spacing w:after="0"/>
        <w:jc w:val="center"/>
        <w:rPr>
          <w:b/>
        </w:rPr>
      </w:pPr>
    </w:p>
    <w:p w:rsidRDefault="00426BBD" w:rsidP="00426BBD" w:rsidR="00426BBD">
      <w:pPr>
        <w:spacing w:after="0"/>
        <w:jc w:val="center"/>
        <w:rPr>
          <w:b/>
        </w:rPr>
      </w:pPr>
      <w:r>
        <w:rPr>
          <w:b/>
        </w:rPr>
        <w:t>R E P U B L I K A   H R V A T S K A</w:t>
      </w:r>
    </w:p>
    <w:p w:rsidRDefault="00426BBD" w:rsidP="00426BBD" w:rsidR="00426BBD">
      <w:pPr>
        <w:spacing w:after="0"/>
        <w:jc w:val="center"/>
        <w:rPr>
          <w:b/>
        </w:rPr>
      </w:pPr>
    </w:p>
    <w:p w:rsidRDefault="00426BBD" w:rsidP="00426BBD" w:rsidR="00426BBD">
      <w:pPr>
        <w:spacing w:after="0"/>
        <w:jc w:val="center"/>
        <w:rPr>
          <w:b/>
        </w:rPr>
      </w:pPr>
      <w:r>
        <w:rPr>
          <w:b/>
        </w:rPr>
        <w:t>R J E Š E NJ E</w:t>
      </w:r>
    </w:p>
    <w:p w:rsidRDefault="00426BBD" w:rsidP="00426BBD" w:rsidR="00426BBD">
      <w:pPr>
        <w:spacing w:after="0"/>
        <w:jc w:val="both"/>
      </w:pPr>
      <w:r>
        <w:t xml:space="preserve"> </w:t>
      </w:r>
    </w:p>
    <w:p w:rsidRDefault="00426BBD" w:rsidP="00426BBD" w:rsidR="00426BBD">
      <w:pPr>
        <w:spacing w:after="0"/>
        <w:jc w:val="both"/>
      </w:pPr>
      <w:r>
        <w:t xml:space="preserve"> </w:t>
      </w:r>
    </w:p>
    <w:p w:rsidRDefault="00426BBD" w:rsidP="00426BBD" w:rsidR="00426BBD">
      <w:pPr>
        <w:spacing w:after="0"/>
        <w:jc w:val="both"/>
      </w:pPr>
      <w:r>
        <w:t xml:space="preserve">Visoki trgovački sud Republike Hrvatske, u vijeću sastavljenom od sudaca Kamelije Parać, predsjednice vijeća, Davora Pustijanca, suca izvjestitelja i Gorane Aralice Martinović, članice vijeća, u predstečajnom postupku nad dužnikom SION GRUPA d.o.o., OIB 89642019586, Daruvar, 52. samostalnog bataljuna 4, kojeg zastupa punomoćnik Goran Jujnović Lučić, odvjetnik u Odvjetničkom društvu Jujnović Lučić Marković j.t.d., Zagreb, Strojarska cesta 20, odlučujući o dužnikovoj žalbi protiv rješenja Trgovačkog suda u Bjelovaru poslovni broj </w:t>
      </w:r>
      <w:r>
        <w:br/>
        <w:t>St-22/2017-6 od 5. travnja 2017., u sjednici vijeća održanoj 4. svibnja 2017.</w:t>
      </w:r>
    </w:p>
    <w:p w:rsidRDefault="00426BBD" w:rsidP="00426BBD" w:rsidR="00426BBD">
      <w:pPr>
        <w:spacing w:after="0"/>
        <w:jc w:val="both"/>
      </w:pPr>
      <w:r>
        <w:t xml:space="preserve"> </w:t>
      </w:r>
    </w:p>
    <w:p w:rsidRDefault="00426BBD" w:rsidP="00426BBD" w:rsidR="00426BBD">
      <w:pPr>
        <w:spacing w:after="0"/>
        <w:jc w:val="both"/>
      </w:pPr>
      <w:r>
        <w:t xml:space="preserve"> </w:t>
      </w:r>
    </w:p>
    <w:p w:rsidRDefault="00426BBD" w:rsidP="00426BBD" w:rsidR="00426BBD">
      <w:pPr>
        <w:spacing w:after="0"/>
        <w:jc w:val="center"/>
      </w:pPr>
      <w:r>
        <w:t>r i j e š i o       j e</w:t>
      </w:r>
    </w:p>
    <w:p w:rsidRDefault="00426BBD" w:rsidP="00426BBD" w:rsidR="00426BBD">
      <w:pPr>
        <w:spacing w:after="0"/>
        <w:jc w:val="both"/>
      </w:pPr>
      <w:r>
        <w:t xml:space="preserve"> </w:t>
      </w:r>
    </w:p>
    <w:p w:rsidRDefault="00426BBD" w:rsidP="00426BBD" w:rsidR="00426BBD">
      <w:pPr>
        <w:spacing w:after="0"/>
        <w:jc w:val="both"/>
      </w:pPr>
    </w:p>
    <w:p w:rsidRDefault="00426BBD" w:rsidP="00426BBD" w:rsidR="00426BBD">
      <w:pPr>
        <w:spacing w:after="0"/>
        <w:jc w:val="both"/>
      </w:pPr>
      <w:r>
        <w:tab/>
        <w:t xml:space="preserve">Odbija se dužnikova žalba kao neosnovana i potvrđuje rješenje Trgovačkog suda u Bjelovaru poslovni broj St-22/2017-6 od 5. travnja 2017. </w:t>
      </w:r>
    </w:p>
    <w:p w:rsidRDefault="00426BBD" w:rsidP="00426BBD" w:rsidR="00426BBD">
      <w:pPr>
        <w:spacing w:after="0"/>
        <w:jc w:val="both"/>
      </w:pPr>
      <w:r>
        <w:t xml:space="preserve"> </w:t>
      </w:r>
    </w:p>
    <w:p w:rsidRDefault="00426BBD" w:rsidP="00426BBD" w:rsidR="00426BBD">
      <w:pPr>
        <w:spacing w:after="0"/>
        <w:jc w:val="both"/>
      </w:pPr>
      <w:r>
        <w:t xml:space="preserve"> </w:t>
      </w:r>
    </w:p>
    <w:p w:rsidRDefault="00426BBD" w:rsidP="00426BBD" w:rsidR="00426BBD">
      <w:pPr>
        <w:spacing w:after="0"/>
        <w:jc w:val="center"/>
      </w:pPr>
      <w:r>
        <w:t>Obrazloženje</w:t>
      </w:r>
    </w:p>
    <w:p w:rsidRDefault="00426BBD" w:rsidP="00426BBD" w:rsidR="00426BBD">
      <w:pPr>
        <w:spacing w:after="0"/>
        <w:jc w:val="both"/>
      </w:pPr>
      <w:r>
        <w:t xml:space="preserve"> </w:t>
      </w:r>
    </w:p>
    <w:p w:rsidRDefault="00426BBD" w:rsidP="00426BBD" w:rsidR="00426BBD">
      <w:pPr>
        <w:spacing w:after="0"/>
        <w:jc w:val="both"/>
      </w:pPr>
    </w:p>
    <w:p w:rsidRDefault="00426BBD" w:rsidP="00426BBD" w:rsidR="00426BBD">
      <w:pPr>
        <w:spacing w:after="0"/>
        <w:jc w:val="both"/>
      </w:pPr>
      <w:r>
        <w:tab/>
        <w:t>Rješenjem Trgovačkog suda u Bjelovaru poslovni broj St-22/2017-6 od 5. travnja 2017. obustavljen je predstečajni postupak nad dužnikom SION GRUPA d.o.o. Daruvar (točka I. izreke) i određeno je da će nakon pravomoćnosti ovo rješenje sud dostaviti FINA-i i nastaviti postupak kao da je podnesen prijedlog za otvaranje stečajnog postupka nad dužnikom (točka II. izreke).</w:t>
      </w:r>
    </w:p>
    <w:p w:rsidRDefault="00426BBD" w:rsidP="00426BBD" w:rsidR="00426BBD">
      <w:pPr>
        <w:spacing w:after="0"/>
        <w:jc w:val="both"/>
      </w:pPr>
      <w:r>
        <w:t xml:space="preserve"> </w:t>
      </w:r>
    </w:p>
    <w:p w:rsidRDefault="00426BBD" w:rsidP="00426BBD" w:rsidR="00426BBD">
      <w:pPr>
        <w:spacing w:after="0"/>
        <w:jc w:val="both"/>
      </w:pPr>
      <w:r>
        <w:tab/>
        <w:t xml:space="preserve">Protiv tog rješenja žalbu je podnio dužnik zbog bitne povrede odredaba postupovnog prava, pogrešno i nepotpuno utvrđenog činjeničnog stanja i pogrešne primjene materijalnog prava. Predlaže da ovaj sud pobijano rješenje ukine i predmet vrati prvostupanjskom sudu na ponovan postupak. </w:t>
      </w:r>
    </w:p>
    <w:p w:rsidRDefault="00426BBD" w:rsidP="00426BBD" w:rsidR="00426BBD">
      <w:pPr>
        <w:spacing w:after="0"/>
        <w:jc w:val="both"/>
      </w:pPr>
      <w:r>
        <w:t xml:space="preserve"> </w:t>
      </w:r>
    </w:p>
    <w:p w:rsidRDefault="00426BBD" w:rsidP="00426BBD" w:rsidR="00426BBD">
      <w:pPr>
        <w:spacing w:after="0"/>
        <w:jc w:val="both"/>
      </w:pPr>
      <w:r>
        <w:tab/>
        <w:t>Žalba nije osnovana.</w:t>
      </w:r>
    </w:p>
    <w:p w:rsidRDefault="00426BBD" w:rsidP="00426BBD" w:rsidR="00426BBD">
      <w:pPr>
        <w:spacing w:after="0"/>
        <w:jc w:val="both"/>
      </w:pPr>
      <w:r>
        <w:t xml:space="preserve"> </w:t>
      </w:r>
    </w:p>
    <w:p w:rsidRDefault="00426BBD" w:rsidP="00426BBD" w:rsidR="00426BBD">
      <w:pPr>
        <w:spacing w:after="0"/>
        <w:jc w:val="both"/>
      </w:pPr>
      <w:r>
        <w:tab/>
        <w:t xml:space="preserve">Ispitavši pobijano rješenje na temelju odredbe članka 365. stavka 1. i 2. i članka 381. Zakona o parničnom postupku („Narodne novine“ broj 148/11-pročišćeni tekst i 25/13) u vezi s člankom 10. Stečajnog zakona („Narodne novine“ broj 71/15), u granicama razloga navedenih u žalbi, pazeći po službenoj dužnosti na bitne povrede odredaba postupka iz članka </w:t>
      </w:r>
      <w:r>
        <w:lastRenderedPageBreak/>
        <w:t>354. stavak 2. točka 2., 4., 8., 9., 11., 13. i 14. Zakona o parničnom postupku i na pravilnu primjenu materijalnog prava, ovaj sud je utvrdio da je pobijano rješenje pravilno i zakonito.</w:t>
      </w:r>
    </w:p>
    <w:p w:rsidRDefault="00426BBD" w:rsidP="00426BBD" w:rsidR="00426BBD">
      <w:pPr>
        <w:spacing w:after="0"/>
        <w:jc w:val="both"/>
      </w:pPr>
      <w:r>
        <w:t xml:space="preserve"> </w:t>
      </w:r>
    </w:p>
    <w:p w:rsidRDefault="00426BBD" w:rsidP="00426BBD" w:rsidR="00426BBD">
      <w:pPr>
        <w:spacing w:after="0"/>
        <w:jc w:val="both"/>
      </w:pPr>
      <w:r>
        <w:tab/>
        <w:t>U obrazloženju pobijanog rješenja prvostupanjski sud je utvrdio da za plan restrukturiranja koji je bio predmet glasovanja na ročištu održanom 4. studenoga 2016. nije glasovala većina svih vjerovnika, čiji zbroj tražbina dvostruko prelazi zbroj tražbina vjerovnika koji su glasovali protiv prihvaćanja plana restrukturiranja. Prvostupanjski sud je posebno obrazložio da vjerovnici HRVATSKA AGENCIJA ZA MALO GOSPODARSTVO, INOVACIJE I INVESTICIJE s tražbinom po osnovi kredita u iznosu od 1.438.950,54 kn prema stečajnom dužniku kao korisniku kredita i vjerovnici Marko Kovačić i Tomislav Kovačić koji su sudužnici u tom ugovoru o kreditu imaju zajedničko pravo i na temelju odredbe članka 59. stavka 3. Stečajnog zakona je ocijenio da su glasovali protiv plana jer sudu nisu dostavili suglasno očitovanje o tom planu restrukturiranja.</w:t>
      </w:r>
    </w:p>
    <w:p w:rsidRDefault="00426BBD" w:rsidP="00426BBD" w:rsidR="00426BBD">
      <w:pPr>
        <w:spacing w:after="0"/>
        <w:jc w:val="both"/>
      </w:pPr>
    </w:p>
    <w:p w:rsidRDefault="00426BBD" w:rsidP="00426BBD" w:rsidR="00426BBD">
      <w:pPr>
        <w:spacing w:after="0"/>
        <w:jc w:val="both"/>
      </w:pPr>
      <w:r>
        <w:tab/>
        <w:t xml:space="preserve">Dužnik SION GRUPA d.o.o. Daruvar u žalbi u bitnome navodi da se tražbine vjerovnika HRVATSKA AGENCIJA ZA MALO GOSPODARSTVO, INOVACIJE I INVESTICIJE, vjerovnika Marka Kovačića i Tomislava Kovačića smatraju utvrđenima, jer ih nije osporio dužnik, ni povjerenik niti itko od vjerovnika. Zbog toga dužnik smatra da prvostupanjski sud nije ovlašten na temelju odredaba Stečajnog zakona jednostrano onemogućiti vjerovnicima s utvrđenim tražbinama korištenje pravom glasa za iznos utvrđene tražbine. Posebno napominje da se odredba članka 59. stavka 3. Stečajnog zakona ne može primijeniti na jamstvo, niti jamstvo predstavlja zajedničko pravo u smislu tog članka, jer jamci nisu u jedinstvenom položaju zato što svaki od jamaca ima različit iznos utvrđene tražbine u predstečajnom postupku. Stoga, žalitelj smatra da je prvostupanjski sud onemogućio jamce da ostvare svoja stečena prava i prekršio načelo jednakosti jer su jamci stavljeni u bitno nepovoljniji položaj u odnosu na druge vjerovnike u predstečajnom postupku. Također, ističe da Stečajni zakon ne predviđa kako i na koji način će se glasovati ako se radi o zajedničkom pravu, pa je nezakonito prvostupanjski sud utvrdio da su svi vjerovnici glasovali protiv plana iz razloga što je HAMAG glasovao protiv. </w:t>
      </w:r>
    </w:p>
    <w:p w:rsidRDefault="00426BBD" w:rsidP="00426BBD" w:rsidR="00426BBD">
      <w:pPr>
        <w:spacing w:after="0"/>
        <w:jc w:val="both"/>
      </w:pPr>
    </w:p>
    <w:p w:rsidRDefault="00426BBD" w:rsidP="00426BBD" w:rsidR="00426BBD">
      <w:pPr>
        <w:spacing w:after="0"/>
        <w:jc w:val="both"/>
      </w:pPr>
      <w:r>
        <w:tab/>
        <w:t>Odredbom članka 59. stavka 3. Stečajnog zakona propisano je da vjerovnici koji imaju neko zajedničko pravo ili čija su prava do nastanka predstečajnog razloga činila jedinstveno pravo računaju se pri glasovanju kao jedan vjerovnik. Na odgovarajući način postupit će se i s nositeljima razlučnih prava ili prava plodouživanja.</w:t>
      </w:r>
    </w:p>
    <w:p w:rsidRDefault="00426BBD" w:rsidP="00426BBD" w:rsidR="00426BBD">
      <w:pPr>
        <w:spacing w:after="0"/>
        <w:jc w:val="both"/>
      </w:pPr>
    </w:p>
    <w:p w:rsidRDefault="00426BBD" w:rsidP="00426BBD" w:rsidR="00426BBD">
      <w:pPr>
        <w:spacing w:after="0"/>
        <w:jc w:val="both"/>
      </w:pPr>
      <w:r>
        <w:tab/>
        <w:t>Suprotno žalbenim navodima, tretirajući vjerovnika tražbine po osnovi zajma zajedno s jamcima za tražbinu iz tog istog zajma kao osobe koje imaju jedinstveno pravo, prvostupanjski sud je pravilno primijenio navedenu odredbu članka 59. stavka 3. Stečajnog zakona. Prvostupanjski sud nije mogao priznati davatelju zajma i svakom jamcu puno pravo glasa kako to ističe žalitelj, ovi bi vjerovnici na temelju danog zajma (1.438.950,54 kn) i dužnikovog duga koji odgovara tom iznosu imali pravo glasa u iznosu od ukupno 4.844.009,47 kn, što bi ostale vjerovnike stavilo u nejednak položaj. Radi se jedinstvenom dugu i u pogledu prava glasa ove vjerovnike treba tretirati kao osobe s jedinstvenim pravom, što je prvostupanjski sud i učinio. Pri tome na pitanje imaju li ove osobe jedinstveno pravo, nije od utjecaja što ti vjerovnici nisu u jedinstvenom procesnom položaju. Također, ovaj sud prihvaća i ocjenu prvostupanjskog suda kako je u slučaju kada više vjerovnika kod glasovanja treba računati kao jednog vjerovnika, potrebno suglasno očitovanje svih vjerovnika da bi se moglo utvrditi kako je dan glas za plan restrukturiranja.</w:t>
      </w:r>
    </w:p>
    <w:p w:rsidRDefault="00426BBD" w:rsidP="00426BBD" w:rsidR="00426BBD">
      <w:pPr>
        <w:spacing w:after="0"/>
        <w:jc w:val="both"/>
      </w:pPr>
      <w:r>
        <w:tab/>
        <w:t xml:space="preserve">Napominje se i da Stečajni zakon za jamce i solidarne dužnike sadrži posebnu odredbu kojom je predvidio podnošenje zahtjeva za osiguranje iznosa što će ga platiti za dužnika </w:t>
      </w:r>
      <w:r>
        <w:lastRenderedPageBreak/>
        <w:t>razmjerno iznosu koji bi im pripao kao stečajnim vjerovnicima (članak 143. stavak 2. Stečajnog zakona). Zbog toga prijave tražbina jamaca i solidarnih dužnika (koji još nisu platili dug stečajnog dužnika) treba smatrati zahtjevom za osiguranje iznosa što će ga platiti. Naime, te osobe nemaju prema stečajnom dužniku tražbine i nisu stečajni vjerovnici sve dok ne obave plaćanje i steknu pravo regresa. Međutim, budući da su tražbine jamca i solidarnog dužnika u konkretnom slučaju utvrđene u stečajnom postupku kao „uvjetne“ tražbine, one za potrebe glasovanja predstavljaju tražbine koje čine jedinstveno pravo u smislu odredbe članka 59. stavka 3. Stečajnog zakona.</w:t>
      </w:r>
    </w:p>
    <w:p w:rsidRDefault="00426BBD" w:rsidP="00426BBD" w:rsidR="00426BBD">
      <w:pPr>
        <w:spacing w:after="0"/>
        <w:jc w:val="both"/>
      </w:pPr>
    </w:p>
    <w:p w:rsidRDefault="00426BBD" w:rsidP="00426BBD" w:rsidR="00426BBD">
      <w:pPr>
        <w:spacing w:after="0"/>
        <w:jc w:val="both"/>
      </w:pPr>
      <w:r>
        <w:tab/>
        <w:t>Slijedom svega iznesenog, žaliteljevi žalbeni navodi ne dovode u sumnju pravilnost i zakonitost prvostupanjskog rješenja, pa je valjalo odlučiti kao u izreci primjenom odredbe članka 380. točke 2. Zakona o parničnom postupku u vezi s odredbom članka 10. Stečajnog zakona.</w:t>
      </w:r>
    </w:p>
    <w:p w:rsidRDefault="00426BBD" w:rsidP="00426BBD" w:rsidR="00426BBD">
      <w:pPr>
        <w:spacing w:after="0"/>
        <w:jc w:val="both"/>
      </w:pPr>
    </w:p>
    <w:p w:rsidRDefault="00426BBD" w:rsidP="00426BBD" w:rsidR="00426BBD">
      <w:pPr>
        <w:spacing w:after="0"/>
        <w:jc w:val="center"/>
      </w:pPr>
      <w:r>
        <w:t>U Zagrebu 4. svibnja 2017.</w:t>
      </w:r>
    </w:p>
    <w:p w:rsidRDefault="00426BBD" w:rsidP="00426BBD" w:rsidR="00426BBD">
      <w:pPr>
        <w:spacing w:after="0"/>
        <w:jc w:val="both"/>
      </w:pPr>
    </w:p>
    <w:p w:rsidRDefault="00426BBD" w:rsidP="00426BBD" w:rsidR="00426BBD">
      <w:pPr>
        <w:spacing w:after="0"/>
        <w:jc w:val="both"/>
      </w:pPr>
      <w:r>
        <w:tab/>
      </w:r>
      <w:r>
        <w:tab/>
      </w:r>
      <w:r>
        <w:tab/>
      </w:r>
      <w:r>
        <w:tab/>
      </w:r>
      <w:r>
        <w:tab/>
      </w:r>
      <w:r>
        <w:tab/>
      </w:r>
      <w:r>
        <w:tab/>
      </w:r>
      <w:r>
        <w:tab/>
        <w:t>PREDSJEDNICA VIJEĆA</w:t>
      </w:r>
    </w:p>
    <w:p w:rsidRDefault="00426BBD" w:rsidP="00426BBD" w:rsidR="00426BBD">
      <w:pPr>
        <w:spacing w:after="0"/>
        <w:jc w:val="both"/>
      </w:pPr>
      <w:r>
        <w:tab/>
      </w:r>
      <w:r>
        <w:tab/>
      </w:r>
      <w:r>
        <w:tab/>
      </w:r>
      <w:r>
        <w:tab/>
      </w:r>
      <w:r>
        <w:tab/>
      </w:r>
      <w:r>
        <w:tab/>
      </w:r>
      <w:r>
        <w:tab/>
      </w:r>
      <w:r>
        <w:tab/>
        <w:t xml:space="preserve">KAMELIJA PARAĆ, v.r. </w:t>
      </w:r>
    </w:p>
    <w:p w:rsidRDefault="00426BBD" w:rsidP="00426BBD" w:rsidR="00426BBD">
      <w:pPr>
        <w:spacing w:after="0"/>
        <w:jc w:val="both"/>
      </w:pPr>
    </w:p>
    <w:p w:rsidRDefault="00426BBD" w:rsidP="00426BBD" w:rsidR="00426BBD">
      <w:pPr>
        <w:pStyle w:val="Bezproreda"/>
        <w:ind w:left="5670"/>
      </w:pPr>
      <w:r>
        <w:t>Za točnost otpravka</w:t>
      </w:r>
    </w:p>
    <w:p w:rsidRDefault="00426BBD" w:rsidP="00426BBD" w:rsidR="00426BBD">
      <w:pPr>
        <w:pStyle w:val="Bezproreda"/>
        <w:ind w:left="5670"/>
      </w:pPr>
      <w:r>
        <w:t xml:space="preserve">ovlašteni službenik </w:t>
      </w:r>
    </w:p>
    <w:p w:rsidRDefault="00426BBD" w:rsidP="00426BBD" w:rsidR="00426BBD">
      <w:pPr>
        <w:pStyle w:val="Bezproreda"/>
        <w:ind w:left="5670"/>
      </w:pPr>
    </w:p>
    <w:p w:rsidRDefault="00426BBD" w:rsidP="00426BBD" w:rsidR="00426BBD">
      <w:pPr>
        <w:pStyle w:val="Bezproreda"/>
        <w:ind w:left="5670"/>
      </w:pPr>
      <w:r>
        <w:t>BRANKICA CURMAN</w:t>
      </w:r>
    </w:p>
    <w:p w:rsidRDefault="00C22ACB" w:rsidP="00C22ACB" w:rsidR="00C22ACB">
      <w:pPr>
        <w:spacing w:after="0"/>
        <w:jc w:val="both"/>
      </w:pPr>
    </w:p>
    <w:sectPr w:rsidR="00C22AC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795" w:rsidP="00BD5A69" w:rsidR="009F2795">
      <w:pPr>
        <w:spacing w:after="0"/>
      </w:pPr>
      <w:r>
        <w:separator/>
      </w:r>
    </w:p>
  </w:endnote>
  <w:endnote w:id="0" w:type="continuationSeparator">
    <w:p w:rsidRDefault="009F2795" w:rsidP="00BD5A69" w:rsidR="009F279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02451C">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795" w:rsidP="00BD5A69" w:rsidR="009F2795">
      <w:pPr>
        <w:spacing w:after="0"/>
      </w:pPr>
      <w:r>
        <w:separator/>
      </w:r>
    </w:p>
  </w:footnote>
  <w:footnote w:id="0" w:type="continuationSeparator">
    <w:p w:rsidRDefault="009F2795" w:rsidP="00BD5A69" w:rsidR="009F279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426BBD">
      <w:t>67 Pž-2732/2017-2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2451C"/>
    <w:rsid w:val="00132DEB"/>
    <w:rsid w:val="00162C1B"/>
    <w:rsid w:val="001705BB"/>
    <w:rsid w:val="001F6D10"/>
    <w:rsid w:val="00233ACE"/>
    <w:rsid w:val="002E6EBB"/>
    <w:rsid w:val="003D0BF9"/>
    <w:rsid w:val="00426BBD"/>
    <w:rsid w:val="005474F3"/>
    <w:rsid w:val="006D7A34"/>
    <w:rsid w:val="00896057"/>
    <w:rsid w:val="009538B5"/>
    <w:rsid w:val="009F2795"/>
    <w:rsid w:val="00BD5A69"/>
    <w:rsid w:val="00C22ACB"/>
    <w:rsid w:val="00CE72EB"/>
    <w:rsid w:val="00D33FF2"/>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32DEB"/>
    <w:rPr>
      <w:color w:val="808080"/>
      <w:bdr w:space="0" w:sz="0" w:color="auto" w:val="none"/>
      <w:shd w:fill="auto" w:color="auto" w:val="clear"/>
    </w:rPr>
  </w:style>
  <w:style w:customStyle="true" w:styleId="eSPISCCParagraphDefaultFont" w:type="character">
    <w:name w:val="eSPIS_CC_Paragraph Default Font"/>
    <w:basedOn w:val="Zadanifontodlomka"/>
    <w:rsid w:val="00132D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DEB"/>
    <w:rPr>
      <w:bdr w:space="0" w:sz="0" w:color="auto" w:val="none"/>
      <w:shd w:fill="FFFFCC" w:color="auto" w:val="clear"/>
      <w:lang w:val="hr-HR"/>
    </w:rPr>
  </w:style>
  <w:style w:customStyle="true" w:styleId="PozadinaSvijetloCrvena" w:type="character">
    <w:name w:val="Pozadina_SvijetloCrvena"/>
    <w:basedOn w:val="eSPISCCParagraphDefaultFont"/>
    <w:rsid w:val="00132D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D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32DEB"/>
    <w:rPr>
      <w:color w:val="808080"/>
      <w:bdr w:color="auto" w:space="0" w:sz="0" w:val="none"/>
      <w:shd w:color="auto" w:fill="auto" w:val="clear"/>
    </w:rPr>
  </w:style>
  <w:style w:customStyle="1" w:styleId="eSPISCCParagraphDefaultFont" w:type="character">
    <w:name w:val="eSPIS_CC_Paragraph Default Font"/>
    <w:basedOn w:val="Zadanifontodlomka"/>
    <w:rsid w:val="00132D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DEB"/>
    <w:rPr>
      <w:bdr w:color="auto" w:space="0" w:sz="0" w:val="none"/>
      <w:shd w:color="auto" w:fill="FFFFCC" w:val="clear"/>
      <w:lang w:val="hr-HR"/>
    </w:rPr>
  </w:style>
  <w:style w:customStyle="1" w:styleId="PozadinaSvijetloCrvena" w:type="character">
    <w:name w:val="Pozadina_SvijetloCrvena"/>
    <w:basedOn w:val="eSPISCCParagraphDefaultFont"/>
    <w:rsid w:val="00132D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D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2089424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travnja 2017.</izvorni_sadrzaj>
    <derivirana_varijabla naziv="DomainObject.Predmet.DatumRjesavanja_1">6.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2017.</izvorni_sadrzaj>
    <derivirana_varijabla naziv="DomainObject.Predmet.OdlukaRjesenje.DatumDonosenjaOdluke_1">5.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St-22/2017-6</izvorni_sadrzaj>
    <derivirana_varijabla naziv="DomainObject.Predmet.OdlukaRjesenje.Oznaka_1">St-22/2017-6</derivirana_varijabla>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89642019586</item>
    </izvorni_sadrzaj>
    <derivirana_varijabla naziv="DomainObject.Predmet.SudioniciListNazivOIB_1">
      <item>, OIB 89642019586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4FA0DE-51A5-4B9E-969A-E56B13A5B2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5863</properties:Characters>
  <properties:Lines>122</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2017-05-23T11:36:00Z</dcterms:created>
  <dc:creator>Ljiljana Cafuk</dc:creator>
  <cp:lastModifiedBy>Ljiljana Cafuk</cp:lastModifiedBy>
  <dcterms:modified xmlns:xsi="http://www.w3.org/2001/XMLSchema-instance" xsi:type="dcterms:W3CDTF">2017-05-23T11:42:00Z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