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98034" w14:paraId="5698034" w:rsidRDefault="000801E2" w:rsidP="002F5F1B" w:rsidR="002F5F1B" w:rsidRPr="007C0633">
      <w:pPr>
        <w:jc w:val="right"/>
        <w15:collapsed w:val="false"/>
        <w:rPr>
          <w:rFonts w:hAnsi="Cambria" w:ascii="Cambria"/>
          <w:b/>
        </w:rPr>
      </w:pPr>
      <w:bookmarkStart w:name="_GoBack" w:id="0"/>
      <w:bookmarkEnd w:id="0"/>
      <w:r>
        <w:rPr>
          <w:rFonts w:hAnsi="Cambria" w:ascii="Cambria"/>
          <w:b/>
        </w:rPr>
        <w:t>3. St – 174/12</w:t>
      </w:r>
    </w:p>
    <w:p w:rsidRDefault="00D05250" w:rsidP="002F5F1B" w:rsidR="00D05250">
      <w:pPr>
        <w:rPr>
          <w:rFonts w:hAnsi="Cambria" w:ascii="Cambria"/>
        </w:rPr>
      </w:pPr>
    </w:p>
    <w:p w:rsidRDefault="002F5F1B" w:rsidP="002F5F1B" w:rsidR="002F5F1B" w:rsidRPr="002F5F1B">
      <w:pPr>
        <w:rPr>
          <w:rFonts w:hAnsi="Cambria" w:ascii="Cambria"/>
        </w:rPr>
      </w:pPr>
      <w:r>
        <w:rPr>
          <w:rFonts w:hAnsi="Cambria" w:ascii="Cambria"/>
        </w:rPr>
        <w:t xml:space="preserve">Stečajna masa iza </w:t>
      </w:r>
      <w:r w:rsidR="000801E2">
        <w:rPr>
          <w:rFonts w:hAnsi="Cambria" w:ascii="Cambria"/>
        </w:rPr>
        <w:t>AGRO-GRADNJA JASENOVAC</w:t>
      </w:r>
      <w:r w:rsidRPr="002F5F1B">
        <w:rPr>
          <w:rFonts w:hAnsi="Cambria" w:ascii="Cambria"/>
        </w:rPr>
        <w:t xml:space="preserve"> d.o.o. u stečaju</w:t>
      </w:r>
    </w:p>
    <w:p w:rsidRDefault="001D5484" w:rsidP="002F5F1B" w:rsidR="000801E2">
      <w:pPr>
        <w:rPr>
          <w:rFonts w:hAnsi="Cambria" w:ascii="Cambria"/>
        </w:rPr>
      </w:pPr>
      <w:r>
        <w:rPr>
          <w:rFonts w:hAnsi="Cambria" w:ascii="Cambria"/>
        </w:rPr>
        <w:t>Donja Lomnica, II Deverićev odvojak 5</w:t>
      </w:r>
    </w:p>
    <w:p w:rsidRDefault="000801E2" w:rsidP="000801E2" w:rsidR="000801E2" w:rsidRPr="000801E2">
      <w:pPr>
        <w:rPr>
          <w:rFonts w:hAnsi="Cambria" w:ascii="Cambria"/>
        </w:rPr>
      </w:pPr>
      <w:r>
        <w:rPr>
          <w:rFonts w:hAnsi="Cambria" w:ascii="Cambria"/>
        </w:rPr>
        <w:t xml:space="preserve">OIB: </w:t>
      </w:r>
      <w:r w:rsidR="001D5484">
        <w:rPr>
          <w:rFonts w:hAnsi="Cambria" w:ascii="Cambria"/>
        </w:rPr>
        <w:t>63527171655</w:t>
      </w:r>
    </w:p>
    <w:p w:rsidRDefault="00AC5107" w:rsidP="00AC5107" w:rsidR="00AC5107" w:rsidRPr="007E3B4E">
      <w:pPr>
        <w:rPr>
          <w:rFonts w:cs="Courier New" w:hAnsi="Cambria" w:ascii="Cambria"/>
          <w:b/>
          <w:sz w:val="16"/>
          <w:szCs w:val="16"/>
        </w:rPr>
      </w:pPr>
    </w:p>
    <w:p w:rsidRDefault="00AC5107" w:rsidP="00AC5107" w:rsidR="00AC5107" w:rsidRPr="007E3B4E">
      <w:pPr>
        <w:rPr>
          <w:rFonts w:hAnsi="Cambria" w:ascii="Cambria"/>
        </w:rPr>
      </w:pPr>
      <w:r w:rsidRPr="007E3B4E">
        <w:rPr>
          <w:rFonts w:hAnsi="Cambria" w:ascii="Cambria"/>
        </w:rPr>
        <w:t>Stečajni upravitelj</w:t>
      </w:r>
    </w:p>
    <w:p w:rsidRDefault="00AC5107" w:rsidP="00AC5107" w:rsidR="00AC5107" w:rsidRPr="007E3B4E">
      <w:pPr>
        <w:rPr>
          <w:rFonts w:hAnsi="Cambria" w:ascii="Cambria"/>
        </w:rPr>
      </w:pPr>
      <w:r w:rsidRPr="007E3B4E">
        <w:rPr>
          <w:rFonts w:hAnsi="Cambria" w:ascii="Cambria"/>
        </w:rPr>
        <w:t>Mato Čičak</w:t>
      </w:r>
      <w:r w:rsidR="002F5F1B">
        <w:rPr>
          <w:rFonts w:hAnsi="Cambria" w:ascii="Cambria"/>
        </w:rPr>
        <w:t>, dipl. oec.</w:t>
      </w:r>
    </w:p>
    <w:p w:rsidRDefault="00AC5107" w:rsidP="00AC5107" w:rsidR="00AC5107" w:rsidRPr="007E3B4E">
      <w:pPr>
        <w:rPr>
          <w:rFonts w:hAnsi="Cambria" w:ascii="Cambria"/>
          <w:b/>
        </w:rPr>
      </w:pPr>
    </w:p>
    <w:p w:rsidRDefault="00AC5107" w:rsidP="00AC5107" w:rsidR="00AC5107" w:rsidRPr="007E3B4E">
      <w:pPr>
        <w:rPr>
          <w:rFonts w:hAnsi="Cambria" w:ascii="Cambria"/>
        </w:rPr>
      </w:pPr>
    </w:p>
    <w:p w:rsidRDefault="00AC5107" w:rsidP="00AC5107" w:rsidR="00AC5107" w:rsidRPr="007E3B4E">
      <w:pPr>
        <w:rPr>
          <w:rFonts w:hAnsi="Cambria" w:ascii="Cambria"/>
        </w:rPr>
      </w:pPr>
      <w:r w:rsidRPr="007E3B4E">
        <w:rPr>
          <w:rFonts w:hAnsi="Cambria" w:ascii="Cambria"/>
        </w:rPr>
        <w:t xml:space="preserve">Zagreb, </w:t>
      </w:r>
      <w:r w:rsidR="00673119">
        <w:rPr>
          <w:rFonts w:hAnsi="Cambria" w:ascii="Cambria"/>
        </w:rPr>
        <w:t>09</w:t>
      </w:r>
      <w:r w:rsidRPr="007E3B4E">
        <w:rPr>
          <w:rFonts w:hAnsi="Cambria" w:ascii="Cambria"/>
        </w:rPr>
        <w:t>.</w:t>
      </w:r>
      <w:r w:rsidR="00344A5E" w:rsidRPr="007E3B4E">
        <w:rPr>
          <w:rFonts w:hAnsi="Cambria" w:ascii="Cambria"/>
        </w:rPr>
        <w:t xml:space="preserve"> </w:t>
      </w:r>
      <w:r w:rsidR="00673119">
        <w:rPr>
          <w:rFonts w:hAnsi="Cambria" w:ascii="Cambria"/>
        </w:rPr>
        <w:t>travanj</w:t>
      </w:r>
      <w:r w:rsidR="005428D7" w:rsidRPr="007E3B4E">
        <w:rPr>
          <w:rFonts w:hAnsi="Cambria" w:ascii="Cambria"/>
        </w:rPr>
        <w:t xml:space="preserve"> </w:t>
      </w:r>
      <w:r w:rsidR="001D5484">
        <w:rPr>
          <w:rFonts w:hAnsi="Cambria" w:ascii="Cambria"/>
        </w:rPr>
        <w:t>2019</w:t>
      </w:r>
      <w:r w:rsidR="00387D26" w:rsidRPr="007E3B4E">
        <w:rPr>
          <w:rFonts w:hAnsi="Cambria" w:ascii="Cambria"/>
        </w:rPr>
        <w:t>.</w:t>
      </w:r>
      <w:r w:rsidRPr="007E3B4E">
        <w:rPr>
          <w:rFonts w:hAnsi="Cambria" w:ascii="Cambria"/>
        </w:rPr>
        <w:t xml:space="preserve"> godine</w:t>
      </w:r>
    </w:p>
    <w:p w:rsidRDefault="00AC5107" w:rsidP="00AC5107" w:rsidR="00AC5107" w:rsidRPr="007E3B4E">
      <w:pPr>
        <w:rPr>
          <w:rFonts w:hAnsi="Cambria" w:ascii="Cambria"/>
        </w:rPr>
      </w:pPr>
    </w:p>
    <w:p w:rsidRDefault="00AC5107" w:rsidP="00433415" w:rsidR="00AC5107" w:rsidRPr="007E3B4E">
      <w:pPr>
        <w:jc w:val="right"/>
        <w:rPr>
          <w:rFonts w:hAnsi="Cambria" w:ascii="Cambria"/>
        </w:rPr>
      </w:pPr>
    </w:p>
    <w:p w:rsidRDefault="00AC5107" w:rsidP="00433415" w:rsidR="00AC5107" w:rsidRPr="002F5F1B">
      <w:pPr>
        <w:jc w:val="right"/>
        <w:rPr>
          <w:rFonts w:hAnsi="Cambria" w:ascii="Cambria"/>
        </w:rPr>
      </w:pPr>
      <w:r w:rsidRPr="002F5F1B">
        <w:rPr>
          <w:rFonts w:hAnsi="Cambria" w:ascii="Cambria"/>
        </w:rPr>
        <w:t xml:space="preserve">                                                                             TRGOVAČKI SUD U ZAGREBU</w:t>
      </w:r>
    </w:p>
    <w:p w:rsidRDefault="00AC5107" w:rsidP="00433415" w:rsidR="00AC5107" w:rsidRPr="007E3B4E">
      <w:pPr>
        <w:jc w:val="right"/>
        <w:rPr>
          <w:rFonts w:hAnsi="Cambria" w:ascii="Cambria"/>
        </w:rPr>
      </w:pPr>
      <w:r w:rsidRPr="007E3B4E">
        <w:rPr>
          <w:rFonts w:hAnsi="Cambria" w:ascii="Cambria"/>
        </w:rPr>
        <w:t xml:space="preserve">                                                                                              Stečajni sudac</w:t>
      </w:r>
    </w:p>
    <w:p w:rsidRDefault="00D03699" w:rsidP="00433415" w:rsidR="00D03699" w:rsidRPr="007E3B4E">
      <w:pPr>
        <w:jc w:val="right"/>
        <w:rPr>
          <w:rFonts w:hAnsi="Cambria" w:ascii="Cambria"/>
        </w:rPr>
      </w:pPr>
    </w:p>
    <w:p w:rsidRDefault="00AC5107" w:rsidR="00AC5107" w:rsidRPr="007E3B4E">
      <w:pPr>
        <w:rPr>
          <w:rFonts w:hAnsi="Cambria" w:ascii="Cambria"/>
        </w:rPr>
      </w:pPr>
    </w:p>
    <w:p w:rsidRDefault="00AC5107" w:rsidP="001D5484" w:rsidR="00DC7335">
      <w:pPr>
        <w:rPr>
          <w:rFonts w:hAnsi="Cambria" w:ascii="Cambria"/>
          <w:b/>
        </w:rPr>
      </w:pPr>
      <w:r w:rsidRPr="007E3B4E">
        <w:rPr>
          <w:rFonts w:hAnsi="Cambria" w:ascii="Cambria"/>
          <w:b/>
        </w:rPr>
        <w:t>PREDMET:</w:t>
      </w:r>
      <w:r w:rsidR="00DC7335">
        <w:rPr>
          <w:rFonts w:hAnsi="Cambria" w:ascii="Cambria"/>
          <w:b/>
        </w:rPr>
        <w:t xml:space="preserve">Podnesak za određivanje nagrade stečajnoga upravitelja </w:t>
      </w:r>
      <w:r w:rsidR="001D5484">
        <w:rPr>
          <w:rFonts w:hAnsi="Cambria" w:ascii="Cambria"/>
          <w:b/>
        </w:rPr>
        <w:t xml:space="preserve"> </w:t>
      </w:r>
      <w:r w:rsidR="00DC7335">
        <w:rPr>
          <w:rFonts w:hAnsi="Cambria" w:ascii="Cambria"/>
          <w:b/>
        </w:rPr>
        <w:t xml:space="preserve"> u </w:t>
      </w:r>
    </w:p>
    <w:p w:rsidRDefault="00DC7335" w:rsidP="001D5484" w:rsidR="00DC7335">
      <w:pPr>
        <w:rPr>
          <w:rFonts w:hAnsi="Cambria" w:ascii="Cambria"/>
          <w:b/>
        </w:rPr>
      </w:pPr>
      <w:r>
        <w:rPr>
          <w:rFonts w:hAnsi="Cambria" w:ascii="Cambria"/>
          <w:b/>
        </w:rPr>
        <w:t xml:space="preserve">                       provedbi stečajnoga postupka nad </w:t>
      </w:r>
      <w:r w:rsidR="001D5484">
        <w:rPr>
          <w:rFonts w:hAnsi="Cambria" w:ascii="Cambria"/>
          <w:b/>
        </w:rPr>
        <w:t>S</w:t>
      </w:r>
      <w:r w:rsidR="001D5484" w:rsidRPr="001D5484">
        <w:rPr>
          <w:rFonts w:hAnsi="Cambria" w:ascii="Cambria"/>
          <w:b/>
        </w:rPr>
        <w:t xml:space="preserve">tečajnom masom iza </w:t>
      </w:r>
      <w:r w:rsidR="001D5484">
        <w:rPr>
          <w:rFonts w:hAnsi="Cambria" w:ascii="Cambria"/>
          <w:b/>
        </w:rPr>
        <w:t>AGRO-</w:t>
      </w:r>
    </w:p>
    <w:p w:rsidRDefault="00DC7335" w:rsidP="001D5484" w:rsidR="001D5484" w:rsidRPr="001D5484">
      <w:pPr>
        <w:rPr>
          <w:rFonts w:hAnsi="Cambria" w:ascii="Cambria"/>
          <w:b/>
        </w:rPr>
      </w:pPr>
      <w:r>
        <w:rPr>
          <w:rFonts w:hAnsi="Cambria" w:ascii="Cambria"/>
          <w:b/>
        </w:rPr>
        <w:t xml:space="preserve">                       </w:t>
      </w:r>
      <w:r w:rsidR="001D5484">
        <w:rPr>
          <w:rFonts w:hAnsi="Cambria" w:ascii="Cambria"/>
          <w:b/>
        </w:rPr>
        <w:t>GRADNJA JASENOVAC</w:t>
      </w:r>
      <w:r w:rsidR="001D5484" w:rsidRPr="001D5484">
        <w:rPr>
          <w:rFonts w:hAnsi="Cambria" w:ascii="Cambria"/>
          <w:b/>
        </w:rPr>
        <w:t xml:space="preserve"> d.o.o. u stečaju</w:t>
      </w:r>
    </w:p>
    <w:p w:rsidRDefault="001D5484" w:rsidP="002F5F1B" w:rsidR="001D5484">
      <w:pPr>
        <w:jc w:val="both"/>
        <w:rPr>
          <w:rFonts w:hAnsi="Cambria" w:ascii="Cambria"/>
        </w:rPr>
      </w:pPr>
    </w:p>
    <w:p w:rsidRDefault="00DC7335" w:rsidP="002F5F1B" w:rsidR="001D5484">
      <w:pPr>
        <w:jc w:val="both"/>
        <w:rPr>
          <w:rFonts w:hAnsi="Cambria" w:ascii="Cambria"/>
        </w:rPr>
      </w:pPr>
      <w:r>
        <w:rPr>
          <w:rFonts w:hAnsi="Cambria" w:ascii="Cambria"/>
        </w:rPr>
        <w:t xml:space="preserve">Rješenjem Trgovačkoga suda u Zagrebu broj St-174/12, sa nadnevkom od 13. lipnja 2018.godine, određen je upis Stečajne mase iza   </w:t>
      </w:r>
      <w:r w:rsidRPr="00DC7335">
        <w:rPr>
          <w:rFonts w:hAnsi="Cambria" w:ascii="Cambria"/>
        </w:rPr>
        <w:t>AGRO-GRADNJA JASENOVAC d.o.o. u stečaju</w:t>
      </w:r>
      <w:r>
        <w:rPr>
          <w:rFonts w:hAnsi="Cambria" w:ascii="Cambria"/>
        </w:rPr>
        <w:t xml:space="preserve"> u sudski registar a sve radi naknadno pronađene imovine. (uspije u parničnom postupku)</w:t>
      </w:r>
    </w:p>
    <w:p w:rsidRDefault="00DC7335" w:rsidP="002F5F1B" w:rsidR="00DC7335">
      <w:pPr>
        <w:jc w:val="both"/>
        <w:rPr>
          <w:rFonts w:hAnsi="Cambria" w:ascii="Cambria"/>
        </w:rPr>
      </w:pPr>
    </w:p>
    <w:p w:rsidRDefault="00DC7335" w:rsidP="00DC7335" w:rsidR="00DC7335" w:rsidRPr="00DC7335">
      <w:pPr>
        <w:jc w:val="both"/>
        <w:rPr>
          <w:rFonts w:hAnsi="Cambria" w:ascii="Cambria"/>
        </w:rPr>
      </w:pPr>
      <w:r>
        <w:rPr>
          <w:rFonts w:hAnsi="Cambria" w:ascii="Cambria"/>
        </w:rPr>
        <w:t xml:space="preserve">Stečajni upravitelj </w:t>
      </w:r>
      <w:r w:rsidRPr="00DC7335">
        <w:rPr>
          <w:rFonts w:hAnsi="Cambria" w:ascii="Cambria"/>
        </w:rPr>
        <w:t>nakon zaključenja stečajnoga postupka</w:t>
      </w:r>
      <w:r>
        <w:rPr>
          <w:rFonts w:hAnsi="Cambria" w:ascii="Cambria"/>
        </w:rPr>
        <w:t>,</w:t>
      </w:r>
      <w:r w:rsidRPr="00DC7335">
        <w:rPr>
          <w:rFonts w:hAnsi="Cambria" w:ascii="Cambria"/>
        </w:rPr>
        <w:t xml:space="preserve"> na</w:t>
      </w:r>
      <w:r>
        <w:rPr>
          <w:rFonts w:hAnsi="Cambria" w:ascii="Cambria"/>
        </w:rPr>
        <w:t>stavio voditi parnicu u korist S</w:t>
      </w:r>
      <w:r w:rsidRPr="00DC7335">
        <w:rPr>
          <w:rFonts w:hAnsi="Cambria" w:ascii="Cambria"/>
        </w:rPr>
        <w:t xml:space="preserve">tečajne mase </w:t>
      </w:r>
      <w:r>
        <w:rPr>
          <w:rFonts w:hAnsi="Cambria" w:ascii="Cambria"/>
        </w:rPr>
        <w:t xml:space="preserve">iza </w:t>
      </w:r>
      <w:r w:rsidRPr="00DC7335">
        <w:rPr>
          <w:rFonts w:hAnsi="Cambria" w:ascii="Cambria"/>
        </w:rPr>
        <w:t xml:space="preserve">AGRO-GRADNJA JASENOVAC d.o.o. u stečaju  u parničnom postupku broj </w:t>
      </w:r>
      <w:r w:rsidR="00295ADF" w:rsidRPr="00295ADF">
        <w:rPr>
          <w:rFonts w:hAnsi="Cambria" w:ascii="Cambria"/>
          <w:bCs/>
        </w:rPr>
        <w:t>P-4584/2008</w:t>
      </w:r>
      <w:r w:rsidRPr="00DC7335">
        <w:rPr>
          <w:rFonts w:hAnsi="Cambria" w:ascii="Cambria"/>
        </w:rPr>
        <w:t xml:space="preserve"> protiv tuženika </w:t>
      </w:r>
      <w:r w:rsidR="00295ADF" w:rsidRPr="00295ADF">
        <w:rPr>
          <w:rFonts w:hAnsi="Cambria" w:ascii="Cambria"/>
          <w:bCs/>
        </w:rPr>
        <w:t>METAL MARLOVIĆ d.o.o., Velika Gorica, Petrovinska 46, OIB:93288378839</w:t>
      </w:r>
      <w:r w:rsidR="00295ADF">
        <w:rPr>
          <w:rFonts w:hAnsi="Cambria" w:ascii="Cambria"/>
        </w:rPr>
        <w:t>, što je  u međuvremenu, tužitelj S</w:t>
      </w:r>
      <w:r w:rsidRPr="00DC7335">
        <w:rPr>
          <w:rFonts w:hAnsi="Cambria" w:ascii="Cambria"/>
        </w:rPr>
        <w:t xml:space="preserve">tečajna masa </w:t>
      </w:r>
      <w:r w:rsidR="00295ADF" w:rsidRPr="00295ADF">
        <w:rPr>
          <w:rFonts w:hAnsi="Cambria" w:ascii="Cambria"/>
        </w:rPr>
        <w:t>iza AGRO-GRADNJA JASENOVAC d.o.o. u stečaju</w:t>
      </w:r>
      <w:r w:rsidR="00295ADF">
        <w:rPr>
          <w:rFonts w:hAnsi="Cambria" w:ascii="Cambria"/>
        </w:rPr>
        <w:t>,</w:t>
      </w:r>
      <w:r w:rsidRPr="00DC7335">
        <w:rPr>
          <w:rFonts w:hAnsi="Cambria" w:ascii="Cambria"/>
        </w:rPr>
        <w:t xml:space="preserve"> usp</w:t>
      </w:r>
      <w:r w:rsidR="007E55D5">
        <w:rPr>
          <w:rFonts w:hAnsi="Cambria" w:ascii="Cambria"/>
        </w:rPr>
        <w:t xml:space="preserve">jela </w:t>
      </w:r>
      <w:r w:rsidRPr="00DC7335">
        <w:rPr>
          <w:rFonts w:hAnsi="Cambria" w:ascii="Cambria"/>
        </w:rPr>
        <w:t xml:space="preserve"> u parničnom postupke, te se temeljem pra</w:t>
      </w:r>
      <w:r w:rsidR="00295ADF">
        <w:rPr>
          <w:rFonts w:hAnsi="Cambria" w:ascii="Cambria"/>
        </w:rPr>
        <w:t>vomoćne presude naplatila</w:t>
      </w:r>
      <w:r w:rsidRPr="00DC7335">
        <w:rPr>
          <w:rFonts w:hAnsi="Cambria" w:ascii="Cambria"/>
        </w:rPr>
        <w:t xml:space="preserve"> novčanim sredstvima </w:t>
      </w:r>
      <w:r w:rsidR="00295ADF">
        <w:rPr>
          <w:rFonts w:hAnsi="Cambria" w:ascii="Cambria"/>
        </w:rPr>
        <w:t xml:space="preserve">od strane </w:t>
      </w:r>
      <w:r w:rsidRPr="00DC7335">
        <w:rPr>
          <w:rFonts w:hAnsi="Cambria" w:ascii="Cambria"/>
        </w:rPr>
        <w:t>tuženika i u cijelosti je tužitelj namiru svoju tražbinu po presud</w:t>
      </w:r>
      <w:r w:rsidR="00295ADF">
        <w:rPr>
          <w:rFonts w:hAnsi="Cambria" w:ascii="Cambria"/>
        </w:rPr>
        <w:t>i P-4584/2008 u iznosu od 129.083,90</w:t>
      </w:r>
      <w:r w:rsidRPr="00DC7335">
        <w:rPr>
          <w:rFonts w:hAnsi="Cambria" w:ascii="Cambria"/>
        </w:rPr>
        <w:t xml:space="preserve"> HRK</w:t>
      </w:r>
    </w:p>
    <w:p w:rsidRDefault="00DC7335" w:rsidP="00DC7335" w:rsidR="00DC7335" w:rsidRPr="00DC7335">
      <w:pPr>
        <w:jc w:val="both"/>
        <w:rPr>
          <w:rFonts w:hAnsi="Cambria" w:ascii="Cambria"/>
        </w:rPr>
      </w:pPr>
      <w:r w:rsidRPr="00DC7335">
        <w:rPr>
          <w:rFonts w:hAnsi="Cambria" w:ascii="Cambria"/>
        </w:rPr>
        <w:t xml:space="preserve"> </w:t>
      </w:r>
    </w:p>
    <w:p w:rsidRDefault="00DC7335" w:rsidP="00DC7335" w:rsidR="00DC7335" w:rsidRPr="00DC7335">
      <w:pPr>
        <w:jc w:val="both"/>
        <w:rPr>
          <w:rFonts w:hAnsi="Cambria" w:ascii="Cambria"/>
          <w:b/>
          <w:bCs/>
        </w:rPr>
      </w:pPr>
      <w:r w:rsidRPr="00DC7335">
        <w:rPr>
          <w:rFonts w:hAnsi="Cambria" w:ascii="Cambria"/>
          <w:b/>
          <w:bCs/>
        </w:rPr>
        <w:t>Tablica 1. Pregled primitaka s osnova unovčenja stečajne mase (uspjeh u parnici)</w:t>
      </w:r>
    </w:p>
    <w:p w:rsidRDefault="00DC7335" w:rsidP="00DC7335" w:rsidR="00DC7335" w:rsidRPr="00DC7335">
      <w:pPr>
        <w:jc w:val="both"/>
        <w:rPr>
          <w:rFonts w:hAnsi="Cambria" w:ascii="Cambria"/>
          <w:b/>
          <w:bCs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616"/>
        <w:gridCol w:w="5352"/>
        <w:gridCol w:w="2888"/>
      </w:tblGrid>
      <w:tr w:rsidTr="003C0BB6" w:rsidR="00DC7335" w:rsidRPr="00DC7335">
        <w:trPr>
          <w:trHeight w:val="131"/>
        </w:trPr>
        <w:tc>
          <w:tcPr>
            <w:tcW w:type="dxa" w:w="616"/>
          </w:tcPr>
          <w:p w:rsidRDefault="00DC7335" w:rsidP="00DC7335" w:rsidR="00DC7335" w:rsidRPr="00DC7335">
            <w:pPr>
              <w:jc w:val="both"/>
              <w:rPr>
                <w:rFonts w:hAnsi="Cambria" w:ascii="Cambria"/>
                <w:bCs/>
              </w:rPr>
            </w:pPr>
            <w:r w:rsidRPr="00DC7335">
              <w:rPr>
                <w:rFonts w:hAnsi="Cambria" w:ascii="Cambria"/>
                <w:bCs/>
              </w:rPr>
              <w:t>Red</w:t>
            </w:r>
          </w:p>
          <w:p w:rsidRDefault="00DC7335" w:rsidP="00DC7335" w:rsidR="00DC7335" w:rsidRPr="00DC7335">
            <w:pPr>
              <w:jc w:val="both"/>
              <w:rPr>
                <w:rFonts w:hAnsi="Cambria" w:ascii="Cambria"/>
                <w:bCs/>
              </w:rPr>
            </w:pPr>
            <w:r w:rsidRPr="00DC7335">
              <w:rPr>
                <w:rFonts w:hAnsi="Cambria" w:ascii="Cambria"/>
                <w:bCs/>
              </w:rPr>
              <w:t>br.</w:t>
            </w:r>
          </w:p>
        </w:tc>
        <w:tc>
          <w:tcPr>
            <w:tcW w:type="dxa" w:w="5584"/>
          </w:tcPr>
          <w:p w:rsidRDefault="00DC7335" w:rsidP="00DC7335" w:rsidR="00DC7335" w:rsidRPr="00DC7335">
            <w:pPr>
              <w:jc w:val="both"/>
              <w:rPr>
                <w:rFonts w:hAnsi="Cambria" w:ascii="Cambria"/>
                <w:bCs/>
              </w:rPr>
            </w:pPr>
            <w:r w:rsidRPr="00DC7335">
              <w:rPr>
                <w:rFonts w:hAnsi="Cambria" w:ascii="Cambria"/>
                <w:bCs/>
              </w:rPr>
              <w:t xml:space="preserve">Opis </w:t>
            </w:r>
          </w:p>
        </w:tc>
        <w:tc>
          <w:tcPr>
            <w:tcW w:type="dxa" w:w="2980"/>
          </w:tcPr>
          <w:p w:rsidRDefault="00DC7335" w:rsidP="00DC7335" w:rsidR="00DC7335" w:rsidRPr="00DC7335">
            <w:pPr>
              <w:jc w:val="both"/>
              <w:rPr>
                <w:rFonts w:hAnsi="Cambria" w:ascii="Cambria"/>
                <w:bCs/>
              </w:rPr>
            </w:pPr>
            <w:r w:rsidRPr="00DC7335">
              <w:rPr>
                <w:rFonts w:hAnsi="Cambria" w:ascii="Cambria"/>
                <w:bCs/>
              </w:rPr>
              <w:t>Iznos primitka u HRK</w:t>
            </w:r>
          </w:p>
        </w:tc>
      </w:tr>
      <w:tr w:rsidTr="003C0BB6" w:rsidR="00DC7335" w:rsidRPr="00DC7335">
        <w:trPr>
          <w:trHeight w:val="270"/>
        </w:trPr>
        <w:tc>
          <w:tcPr>
            <w:tcW w:type="dxa" w:w="616"/>
            <w:tcBorders>
              <w:bottom w:space="0" w:sz="4" w:color="auto" w:val="single"/>
            </w:tcBorders>
          </w:tcPr>
          <w:p w:rsidRDefault="00DC7335" w:rsidP="00DC7335" w:rsidR="00DC7335" w:rsidRPr="00DC7335">
            <w:pPr>
              <w:jc w:val="both"/>
              <w:rPr>
                <w:rFonts w:hAnsi="Cambria" w:ascii="Cambria"/>
                <w:bCs/>
              </w:rPr>
            </w:pPr>
            <w:r w:rsidRPr="00DC7335">
              <w:rPr>
                <w:rFonts w:hAnsi="Cambria" w:ascii="Cambria"/>
                <w:bCs/>
              </w:rPr>
              <w:t>1.</w:t>
            </w:r>
          </w:p>
        </w:tc>
        <w:tc>
          <w:tcPr>
            <w:tcW w:type="dxa" w:w="5584"/>
            <w:tcBorders>
              <w:bottom w:space="0" w:sz="4" w:color="auto" w:val="single"/>
            </w:tcBorders>
          </w:tcPr>
          <w:p w:rsidRDefault="00DC7335" w:rsidP="00DC7335" w:rsidR="00DC7335" w:rsidRPr="00DC7335">
            <w:pPr>
              <w:jc w:val="both"/>
              <w:rPr>
                <w:rFonts w:hAnsi="Cambria" w:ascii="Cambria"/>
                <w:bCs/>
              </w:rPr>
            </w:pPr>
            <w:r w:rsidRPr="00DC7335">
              <w:rPr>
                <w:rFonts w:hAnsi="Cambria" w:ascii="Cambria"/>
                <w:bCs/>
              </w:rPr>
              <w:t>Primici s osnova  uspjeha</w:t>
            </w:r>
            <w:r w:rsidR="00295ADF">
              <w:rPr>
                <w:rFonts w:hAnsi="Cambria" w:ascii="Cambria"/>
                <w:bCs/>
              </w:rPr>
              <w:t xml:space="preserve"> u parničnom postupku broj P-4584/2008</w:t>
            </w:r>
            <w:r w:rsidRPr="00DC7335">
              <w:rPr>
                <w:rFonts w:hAnsi="Cambria" w:ascii="Cambria"/>
                <w:bCs/>
              </w:rPr>
              <w:t xml:space="preserve"> pred Trgovačkim </w:t>
            </w:r>
            <w:r w:rsidR="00295ADF">
              <w:rPr>
                <w:rFonts w:hAnsi="Cambria" w:ascii="Cambria"/>
                <w:bCs/>
              </w:rPr>
              <w:t>sudom u Zagrebu</w:t>
            </w:r>
            <w:r w:rsidRPr="00DC7335">
              <w:rPr>
                <w:rFonts w:hAnsi="Cambria" w:ascii="Cambria"/>
                <w:bCs/>
              </w:rPr>
              <w:t xml:space="preserve"> (naplata presude p</w:t>
            </w:r>
            <w:r w:rsidR="00295ADF">
              <w:rPr>
                <w:rFonts w:hAnsi="Cambria" w:ascii="Cambria"/>
                <w:bCs/>
              </w:rPr>
              <w:t xml:space="preserve">utem depozitnog računa Trgovačkoga suda u Zagrebu </w:t>
            </w:r>
            <w:r w:rsidRPr="00DC7335">
              <w:rPr>
                <w:rFonts w:hAnsi="Cambria" w:ascii="Cambria"/>
                <w:bCs/>
              </w:rPr>
              <w:t>)</w:t>
            </w:r>
          </w:p>
        </w:tc>
        <w:tc>
          <w:tcPr>
            <w:tcW w:type="dxa" w:w="2980"/>
            <w:tcBorders>
              <w:bottom w:space="0" w:sz="4" w:color="auto" w:val="single"/>
              <w:right w:space="0" w:sz="4" w:color="auto" w:val="single"/>
            </w:tcBorders>
          </w:tcPr>
          <w:p w:rsidRDefault="00295ADF" w:rsidP="00295ADF" w:rsidR="00DC7335" w:rsidRPr="00DC7335">
            <w:pPr>
              <w:jc w:val="right"/>
              <w:rPr>
                <w:rFonts w:hAnsi="Cambria" w:ascii="Cambria"/>
                <w:bCs/>
              </w:rPr>
            </w:pPr>
            <w:r>
              <w:rPr>
                <w:rFonts w:hAnsi="Cambria" w:ascii="Cambria"/>
                <w:bCs/>
              </w:rPr>
              <w:t>129.083,90</w:t>
            </w:r>
          </w:p>
        </w:tc>
      </w:tr>
      <w:tr w:rsidTr="003C0BB6" w:rsidR="00DC7335" w:rsidRPr="00DC7335">
        <w:trPr>
          <w:trHeight w:val="135"/>
        </w:trPr>
        <w:tc>
          <w:tcPr>
            <w:tcW w:type="dxa" w:w="6200"/>
            <w:gridSpan w:val="2"/>
            <w:tcBorders>
              <w:bottom w:space="0" w:sz="4" w:color="auto" w:val="single"/>
            </w:tcBorders>
          </w:tcPr>
          <w:p w:rsidRDefault="00DC7335" w:rsidP="00DC7335" w:rsidR="00DC7335" w:rsidRPr="00DC7335">
            <w:pPr>
              <w:jc w:val="both"/>
              <w:rPr>
                <w:rFonts w:hAnsi="Cambria" w:ascii="Cambria"/>
                <w:bCs/>
              </w:rPr>
            </w:pPr>
            <w:r w:rsidRPr="00DC7335">
              <w:rPr>
                <w:rFonts w:hAnsi="Cambria" w:ascii="Cambria"/>
                <w:bCs/>
              </w:rPr>
              <w:t>UKUPNO:</w:t>
            </w:r>
          </w:p>
        </w:tc>
        <w:tc>
          <w:tcPr>
            <w:tcW w:type="dxa" w:w="2980"/>
            <w:tcBorders>
              <w:bottom w:space="0" w:sz="4" w:color="auto" w:val="single"/>
              <w:right w:space="0" w:sz="4" w:color="auto" w:val="single"/>
            </w:tcBorders>
          </w:tcPr>
          <w:p w:rsidRDefault="00295ADF" w:rsidP="00295ADF" w:rsidR="00DC7335" w:rsidRPr="00DC7335">
            <w:pPr>
              <w:jc w:val="right"/>
              <w:rPr>
                <w:rFonts w:hAnsi="Cambria" w:ascii="Cambria"/>
                <w:bCs/>
              </w:rPr>
            </w:pPr>
            <w:r>
              <w:rPr>
                <w:rFonts w:hAnsi="Cambria" w:ascii="Cambria"/>
                <w:bCs/>
              </w:rPr>
              <w:t>129.083,90</w:t>
            </w:r>
          </w:p>
        </w:tc>
      </w:tr>
    </w:tbl>
    <w:p w:rsidRDefault="00DC7335" w:rsidP="00DC7335" w:rsidR="00DC7335" w:rsidRPr="00DC7335">
      <w:pPr>
        <w:jc w:val="both"/>
        <w:rPr>
          <w:rFonts w:hAnsi="Cambria" w:ascii="Cambria"/>
        </w:rPr>
      </w:pPr>
    </w:p>
    <w:p w:rsidRDefault="00295ADF" w:rsidP="00295ADF" w:rsidR="00295ADF" w:rsidRPr="00295ADF">
      <w:pPr>
        <w:jc w:val="both"/>
        <w:rPr>
          <w:rFonts w:hAnsi="Cambria" w:ascii="Cambria"/>
        </w:rPr>
      </w:pPr>
      <w:r w:rsidRPr="00295ADF">
        <w:rPr>
          <w:rFonts w:hAnsi="Cambria" w:ascii="Cambria"/>
        </w:rPr>
        <w:lastRenderedPageBreak/>
        <w:t>Sukladno članku 13. st. 1. Uredbi o kriterijima i načinu obračuna i plaćanja nagrada stečajnim upraviteljima (NN 105/15), pretpostavka za utvrđivanje  nagrade stečajnog upravitelja je činjenica da je stečajni upravitelja nakon zaključenja stečajnoga postupka ostvario ukupni primitak s osnova naknadno pronađene stečajne mase u iznosu od 253.917,48 HRK, pa slijedom toga nagrada stečajnog upravitelja iznosi u postotku u odnosu na unovčenu stečajnu masu kako slijedi:</w:t>
      </w:r>
    </w:p>
    <w:p w:rsidRDefault="00295ADF" w:rsidP="00295ADF" w:rsidR="00295ADF" w:rsidRPr="00295ADF">
      <w:pPr>
        <w:jc w:val="both"/>
        <w:rPr>
          <w:rFonts w:hAnsi="Cambria" w:ascii="Cambria"/>
        </w:rPr>
      </w:pPr>
    </w:p>
    <w:p w:rsidRDefault="00295ADF" w:rsidP="00295ADF" w:rsidR="00295ADF">
      <w:pPr>
        <w:jc w:val="both"/>
        <w:rPr>
          <w:rFonts w:hAnsi="Cambria" w:ascii="Cambria"/>
          <w:b/>
        </w:rPr>
      </w:pPr>
      <w:r w:rsidRPr="00295ADF">
        <w:rPr>
          <w:rFonts w:hAnsi="Cambria" w:ascii="Cambria"/>
          <w:b/>
        </w:rPr>
        <w:t xml:space="preserve">Tablica 2. Prikaz izračuna bruto iznosa nagrade stečajnog upravitelja </w:t>
      </w:r>
    </w:p>
    <w:p w:rsidRDefault="00295ADF" w:rsidP="00295ADF" w:rsidR="00295ADF">
      <w:pPr>
        <w:jc w:val="both"/>
        <w:rPr>
          <w:rFonts w:hAnsi="Cambria" w:ascii="Cambria"/>
          <w:b/>
        </w:rPr>
      </w:pPr>
      <w:r>
        <w:rPr>
          <w:rFonts w:hAnsi="Cambria" w:ascii="Cambria"/>
          <w:b/>
        </w:rPr>
        <w:t xml:space="preserve">                      s</w:t>
      </w:r>
      <w:r w:rsidRPr="00295ADF">
        <w:rPr>
          <w:rFonts w:hAnsi="Cambria" w:ascii="Cambria"/>
          <w:b/>
        </w:rPr>
        <w:t>ukladno</w:t>
      </w:r>
      <w:r>
        <w:rPr>
          <w:rFonts w:hAnsi="Cambria" w:ascii="Cambria"/>
          <w:b/>
        </w:rPr>
        <w:t xml:space="preserve"> </w:t>
      </w:r>
      <w:r w:rsidRPr="00295ADF">
        <w:rPr>
          <w:rFonts w:hAnsi="Cambria" w:ascii="Cambria"/>
          <w:b/>
        </w:rPr>
        <w:t xml:space="preserve">čl. 7. Uredbe o kriterijima o načinu i obračunu i plaćanju </w:t>
      </w:r>
    </w:p>
    <w:p w:rsidRDefault="00295ADF" w:rsidP="00295ADF" w:rsidR="00295ADF" w:rsidRPr="00295ADF">
      <w:pPr>
        <w:ind w:right="-574"/>
        <w:jc w:val="both"/>
        <w:rPr>
          <w:rFonts w:hAnsi="Cambria" w:ascii="Cambria"/>
          <w:b/>
        </w:rPr>
      </w:pPr>
      <w:r>
        <w:rPr>
          <w:rFonts w:hAnsi="Cambria" w:ascii="Cambria"/>
          <w:b/>
        </w:rPr>
        <w:t xml:space="preserve">                    </w:t>
      </w:r>
      <w:r w:rsidRPr="00295ADF">
        <w:rPr>
          <w:rFonts w:hAnsi="Cambria" w:ascii="Cambria"/>
          <w:b/>
        </w:rPr>
        <w:t>nagrada stečajnim upraviteljima (NN 105/15)</w:t>
      </w:r>
    </w:p>
    <w:p w:rsidRDefault="00295ADF" w:rsidP="00295ADF" w:rsidR="00295ADF" w:rsidRPr="00295ADF">
      <w:pPr>
        <w:jc w:val="both"/>
        <w:rPr>
          <w:rFonts w:hAnsi="Cambria" w:ascii="Cambria"/>
        </w:rPr>
      </w:pPr>
    </w:p>
    <w:tbl>
      <w:tblPr>
        <w:tblW w:type="dxa" w:w="8683"/>
        <w:tblInd w:type="dxa" w:w="72"/>
        <w:tblLayout w:type="fixed"/>
        <w:tblLook w:val="01E0" w:noVBand="0" w:noHBand="0" w:lastColumn="1" w:firstColumn="1" w:lastRow="1" w:firstRow="1"/>
      </w:tblPr>
      <w:tblGrid>
        <w:gridCol w:w="4572"/>
        <w:gridCol w:w="992"/>
        <w:gridCol w:w="1701"/>
        <w:gridCol w:w="1418"/>
      </w:tblGrid>
      <w:tr w:rsidTr="00295ADF" w:rsidR="00295ADF" w:rsidRPr="00295ADF">
        <w:tc>
          <w:tcPr>
            <w:tcW w:type="dxa" w:w="4572"/>
          </w:tcPr>
          <w:p w:rsidRDefault="00295ADF" w:rsidP="00295ADF" w:rsidR="00295ADF" w:rsidRPr="00295ADF">
            <w:pPr>
              <w:jc w:val="both"/>
              <w:rPr>
                <w:rFonts w:hAnsi="Cambria" w:ascii="Cambria"/>
                <w:b/>
                <w:bCs/>
              </w:rPr>
            </w:pPr>
          </w:p>
        </w:tc>
        <w:tc>
          <w:tcPr>
            <w:tcW w:type="dxa" w:w="992"/>
          </w:tcPr>
          <w:p w:rsidRDefault="00295ADF" w:rsidP="00295ADF" w:rsidR="00295ADF" w:rsidRPr="00295ADF">
            <w:pPr>
              <w:jc w:val="both"/>
              <w:rPr>
                <w:rFonts w:hAnsi="Cambria" w:ascii="Cambria"/>
                <w:b/>
                <w:bCs/>
              </w:rPr>
            </w:pPr>
          </w:p>
        </w:tc>
        <w:tc>
          <w:tcPr>
            <w:tcW w:type="dxa" w:w="1701"/>
          </w:tcPr>
          <w:p w:rsidRDefault="00295ADF" w:rsidP="00295ADF" w:rsidR="00295ADF" w:rsidRPr="00295ADF">
            <w:pPr>
              <w:jc w:val="both"/>
              <w:rPr>
                <w:rFonts w:hAnsi="Cambria" w:ascii="Cambria"/>
                <w:b/>
                <w:bCs/>
              </w:rPr>
            </w:pPr>
          </w:p>
        </w:tc>
        <w:tc>
          <w:tcPr>
            <w:tcW w:type="dxa" w:w="1418"/>
          </w:tcPr>
          <w:p w:rsidRDefault="00295ADF" w:rsidP="00295ADF" w:rsidR="00295ADF" w:rsidRPr="00295ADF">
            <w:pPr>
              <w:jc w:val="both"/>
              <w:rPr>
                <w:rFonts w:hAnsi="Cambria" w:ascii="Cambria"/>
                <w:b/>
                <w:bCs/>
              </w:rPr>
            </w:pPr>
          </w:p>
        </w:tc>
      </w:tr>
      <w:tr w:rsidTr="00295ADF" w:rsidR="00295ADF" w:rsidRPr="00295ADF">
        <w:trPr>
          <w:trHeight w:val="450"/>
        </w:trPr>
        <w:tc>
          <w:tcPr>
            <w:tcW w:type="dxa" w:w="4572"/>
            <w:tcBorders>
              <w:top w:space="0" w:sz="4" w:color="auto" w:val="single"/>
              <w:left w:val="nil"/>
              <w:bottom w:val="nil"/>
              <w:right w:val="nil"/>
            </w:tcBorders>
            <w:hideMark/>
          </w:tcPr>
          <w:p w:rsidRDefault="00295ADF" w:rsidP="00295ADF" w:rsidR="00295ADF" w:rsidRPr="00295ADF">
            <w:pPr>
              <w:jc w:val="both"/>
              <w:rPr>
                <w:rFonts w:hAnsi="Cambria" w:ascii="Cambria"/>
                <w:bCs/>
              </w:rPr>
            </w:pPr>
            <w:r w:rsidRPr="00295ADF">
              <w:rPr>
                <w:rFonts w:hAnsi="Cambria" w:ascii="Cambria"/>
                <w:bCs/>
              </w:rPr>
              <w:t>Vrijednost unovčenja (kn)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val="nil"/>
              <w:right w:val="nil"/>
            </w:tcBorders>
            <w:hideMark/>
          </w:tcPr>
          <w:p w:rsidRDefault="00295ADF" w:rsidP="00295ADF" w:rsidR="00295ADF" w:rsidRPr="00295ADF">
            <w:pPr>
              <w:jc w:val="both"/>
              <w:rPr>
                <w:rFonts w:hAnsi="Cambria" w:ascii="Cambria"/>
                <w:bCs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val="nil"/>
              <w:bottom w:val="nil"/>
              <w:right w:val="nil"/>
            </w:tcBorders>
            <w:hideMark/>
          </w:tcPr>
          <w:p w:rsidRDefault="00295ADF" w:rsidP="00295ADF" w:rsidR="00295ADF" w:rsidRPr="00295ADF">
            <w:pPr>
              <w:jc w:val="both"/>
              <w:rPr>
                <w:rFonts w:hAnsi="Cambria" w:ascii="Cambria"/>
                <w:bCs/>
              </w:rPr>
            </w:pPr>
            <w:r w:rsidRPr="00295ADF">
              <w:rPr>
                <w:rFonts w:hAnsi="Cambria" w:ascii="Cambria"/>
                <w:bCs/>
              </w:rPr>
              <w:t>koeficijent prema Uredbi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val="nil"/>
              <w:right w:val="nil"/>
            </w:tcBorders>
            <w:hideMark/>
          </w:tcPr>
          <w:p w:rsidRDefault="00295ADF" w:rsidP="00295ADF" w:rsidR="00295ADF" w:rsidRPr="00295ADF">
            <w:pPr>
              <w:jc w:val="both"/>
              <w:rPr>
                <w:rFonts w:hAnsi="Cambria" w:ascii="Cambria"/>
                <w:bCs/>
              </w:rPr>
            </w:pPr>
            <w:r w:rsidRPr="00295ADF">
              <w:rPr>
                <w:rFonts w:hAnsi="Cambria" w:ascii="Cambria"/>
                <w:bCs/>
              </w:rPr>
              <w:t xml:space="preserve"> nagrada </w:t>
            </w:r>
          </w:p>
          <w:p w:rsidRDefault="00295ADF" w:rsidP="00295ADF" w:rsidR="00295ADF" w:rsidRPr="00295ADF">
            <w:pPr>
              <w:jc w:val="both"/>
              <w:rPr>
                <w:rFonts w:hAnsi="Cambria" w:ascii="Cambria"/>
                <w:bCs/>
              </w:rPr>
            </w:pPr>
            <w:r>
              <w:rPr>
                <w:rFonts w:hAnsi="Cambria" w:ascii="Cambria"/>
                <w:bCs/>
              </w:rPr>
              <w:t xml:space="preserve"> </w:t>
            </w:r>
            <w:r w:rsidRPr="00295ADF">
              <w:rPr>
                <w:rFonts w:hAnsi="Cambria" w:ascii="Cambria"/>
                <w:bCs/>
              </w:rPr>
              <w:t>bruto (kn)</w:t>
            </w:r>
          </w:p>
        </w:tc>
      </w:tr>
      <w:tr w:rsidTr="00295ADF" w:rsidR="00295ADF" w:rsidRPr="00295ADF">
        <w:trPr>
          <w:trHeight w:val="1110"/>
        </w:trPr>
        <w:tc>
          <w:tcPr>
            <w:tcW w:type="dxa" w:w="457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295ADF" w:rsidP="00295ADF" w:rsidR="00295ADF" w:rsidRPr="00295ADF">
            <w:pPr>
              <w:jc w:val="both"/>
              <w:rPr>
                <w:rFonts w:hAnsi="Cambria" w:ascii="Cambria"/>
                <w:bCs/>
              </w:rPr>
            </w:pPr>
            <w:r w:rsidRPr="00295ADF">
              <w:rPr>
                <w:rFonts w:hAnsi="Cambria" w:ascii="Cambria"/>
                <w:bCs/>
              </w:rPr>
              <w:t xml:space="preserve">                                                    do    100.000,00      na razliku od    100.000,01 do    </w:t>
            </w:r>
            <w:r>
              <w:rPr>
                <w:rFonts w:hAnsi="Cambria" w:ascii="Cambria"/>
                <w:bCs/>
              </w:rPr>
              <w:t>129.083,90 (29.083,89)</w:t>
            </w:r>
          </w:p>
          <w:p w:rsidRDefault="00295ADF" w:rsidP="00295ADF" w:rsidR="00295ADF" w:rsidRPr="00295ADF">
            <w:pPr>
              <w:jc w:val="both"/>
              <w:rPr>
                <w:rFonts w:hAnsi="Cambria" w:ascii="Cambria"/>
                <w:bCs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295ADF" w:rsidP="00295ADF" w:rsidR="00295ADF" w:rsidRPr="00295ADF">
            <w:pPr>
              <w:jc w:val="both"/>
              <w:rPr>
                <w:rFonts w:hAnsi="Cambria" w:ascii="Cambria"/>
                <w:bCs/>
              </w:rPr>
            </w:pPr>
          </w:p>
          <w:p w:rsidRDefault="00295ADF" w:rsidP="00295ADF" w:rsidR="00295ADF" w:rsidRPr="00295ADF">
            <w:pPr>
              <w:jc w:val="both"/>
              <w:rPr>
                <w:rFonts w:hAnsi="Cambria" w:ascii="Cambria"/>
                <w:bCs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295ADF" w:rsidP="00295ADF" w:rsidR="00295ADF" w:rsidRPr="00295ADF">
            <w:pPr>
              <w:jc w:val="both"/>
              <w:rPr>
                <w:rFonts w:hAnsi="Cambria" w:ascii="Cambria"/>
                <w:bCs/>
              </w:rPr>
            </w:pPr>
            <w:r w:rsidRPr="00295ADF">
              <w:rPr>
                <w:rFonts w:hAnsi="Cambria" w:ascii="Cambria"/>
                <w:bCs/>
              </w:rPr>
              <w:t>16 %</w:t>
            </w:r>
          </w:p>
          <w:p w:rsidRDefault="00295ADF" w:rsidP="00295ADF" w:rsidR="00295ADF" w:rsidRPr="00295ADF">
            <w:pPr>
              <w:jc w:val="both"/>
              <w:rPr>
                <w:rFonts w:hAnsi="Cambria" w:ascii="Cambria"/>
                <w:bCs/>
              </w:rPr>
            </w:pPr>
            <w:r w:rsidRPr="00295ADF">
              <w:rPr>
                <w:rFonts w:hAnsi="Cambria" w:ascii="Cambria"/>
                <w:bCs/>
              </w:rPr>
              <w:t>12 %</w:t>
            </w:r>
          </w:p>
          <w:p w:rsidRDefault="00295ADF" w:rsidP="00295ADF" w:rsidR="00295ADF" w:rsidRPr="00295ADF">
            <w:pPr>
              <w:jc w:val="both"/>
              <w:rPr>
                <w:rFonts w:hAnsi="Cambria" w:ascii="Cambria"/>
                <w:bCs/>
              </w:rPr>
            </w:pPr>
            <w:r w:rsidRPr="00295ADF">
              <w:rPr>
                <w:rFonts w:hAnsi="Cambria" w:ascii="Cambria"/>
                <w:bCs/>
              </w:rPr>
              <w:t xml:space="preserve"> 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295ADF" w:rsidP="00295ADF" w:rsidR="00295ADF" w:rsidRPr="00295ADF">
            <w:pPr>
              <w:jc w:val="both"/>
              <w:rPr>
                <w:rFonts w:hAnsi="Cambria" w:ascii="Cambria"/>
                <w:bCs/>
              </w:rPr>
            </w:pPr>
            <w:r w:rsidRPr="00295ADF">
              <w:rPr>
                <w:rFonts w:hAnsi="Cambria" w:ascii="Cambria"/>
                <w:bCs/>
              </w:rPr>
              <w:t>16.000,00</w:t>
            </w:r>
          </w:p>
          <w:p w:rsidRDefault="00295ADF" w:rsidP="00295ADF" w:rsidR="00295ADF" w:rsidRPr="00295ADF">
            <w:pPr>
              <w:jc w:val="both"/>
              <w:rPr>
                <w:rFonts w:hAnsi="Cambria" w:ascii="Cambria"/>
                <w:bCs/>
              </w:rPr>
            </w:pPr>
            <w:r>
              <w:rPr>
                <w:rFonts w:hAnsi="Cambria" w:ascii="Cambria"/>
                <w:bCs/>
              </w:rPr>
              <w:t xml:space="preserve">  3.490,07</w:t>
            </w:r>
          </w:p>
          <w:p w:rsidRDefault="00295ADF" w:rsidP="00295ADF" w:rsidR="00295ADF" w:rsidRPr="00295ADF">
            <w:pPr>
              <w:jc w:val="both"/>
              <w:rPr>
                <w:rFonts w:hAnsi="Cambria" w:ascii="Cambria"/>
                <w:bCs/>
              </w:rPr>
            </w:pPr>
          </w:p>
          <w:p w:rsidRDefault="00295ADF" w:rsidP="00295ADF" w:rsidR="00295ADF" w:rsidRPr="00295ADF">
            <w:pPr>
              <w:jc w:val="both"/>
              <w:rPr>
                <w:rFonts w:hAnsi="Cambria" w:ascii="Cambria"/>
                <w:bCs/>
              </w:rPr>
            </w:pPr>
            <w:r w:rsidRPr="00295ADF">
              <w:rPr>
                <w:rFonts w:hAnsi="Cambria" w:ascii="Cambria"/>
                <w:bCs/>
              </w:rPr>
              <w:t xml:space="preserve">          </w:t>
            </w:r>
          </w:p>
        </w:tc>
      </w:tr>
      <w:tr w:rsidTr="00295ADF" w:rsidR="00295ADF" w:rsidRPr="00295ADF">
        <w:trPr>
          <w:trHeight w:val="450"/>
        </w:trPr>
        <w:tc>
          <w:tcPr>
            <w:tcW w:type="dxa" w:w="4572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295ADF" w:rsidP="00295ADF" w:rsidR="00295ADF" w:rsidRPr="00295ADF">
            <w:pPr>
              <w:jc w:val="both"/>
              <w:rPr>
                <w:rFonts w:hAnsi="Cambria" w:ascii="Cambria"/>
                <w:b/>
                <w:bCs/>
              </w:rPr>
            </w:pPr>
            <w:r>
              <w:rPr>
                <w:rFonts w:hAnsi="Cambria" w:ascii="Cambria"/>
                <w:b/>
                <w:bCs/>
              </w:rPr>
              <w:t>129.083,90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295ADF" w:rsidP="00295ADF" w:rsidR="00295ADF" w:rsidRPr="00295ADF">
            <w:pPr>
              <w:jc w:val="both"/>
              <w:rPr>
                <w:rFonts w:hAnsi="Cambria" w:ascii="Cambria"/>
                <w:b/>
                <w:bCs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295ADF" w:rsidP="00295ADF" w:rsidR="00295ADF" w:rsidRPr="00295ADF">
            <w:pPr>
              <w:jc w:val="both"/>
              <w:rPr>
                <w:rFonts w:hAnsi="Cambria" w:ascii="Cambria"/>
                <w:b/>
                <w:bCs/>
              </w:rPr>
            </w:pPr>
            <w:r w:rsidRPr="00295ADF">
              <w:rPr>
                <w:rFonts w:hAnsi="Cambria" w:ascii="Cambria"/>
                <w:b/>
                <w:bCs/>
              </w:rPr>
              <w:t xml:space="preserve">         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295ADF" w:rsidP="00295ADF" w:rsidR="00295ADF" w:rsidRPr="00295ADF">
            <w:pPr>
              <w:jc w:val="both"/>
              <w:rPr>
                <w:rFonts w:hAnsi="Cambria" w:ascii="Cambria"/>
                <w:b/>
                <w:bCs/>
              </w:rPr>
            </w:pPr>
            <w:r>
              <w:rPr>
                <w:rFonts w:hAnsi="Cambria" w:ascii="Cambria"/>
                <w:b/>
                <w:bCs/>
              </w:rPr>
              <w:t>19.490,07</w:t>
            </w:r>
          </w:p>
        </w:tc>
      </w:tr>
    </w:tbl>
    <w:p w:rsidRDefault="00295ADF" w:rsidP="00295ADF" w:rsidR="00295ADF" w:rsidRPr="00295ADF">
      <w:pPr>
        <w:jc w:val="both"/>
        <w:rPr>
          <w:rFonts w:hAnsi="Cambria" w:ascii="Cambria"/>
        </w:rPr>
      </w:pPr>
    </w:p>
    <w:p w:rsidRDefault="00295ADF" w:rsidP="00295ADF" w:rsidR="00295ADF" w:rsidRPr="00295ADF">
      <w:pPr>
        <w:jc w:val="both"/>
        <w:rPr>
          <w:rFonts w:hAnsi="Cambria" w:ascii="Cambria"/>
        </w:rPr>
      </w:pPr>
      <w:r w:rsidRPr="00295ADF">
        <w:rPr>
          <w:rFonts w:hAnsi="Cambria" w:ascii="Cambria"/>
        </w:rPr>
        <w:t xml:space="preserve">Iznos od </w:t>
      </w:r>
      <w:r>
        <w:rPr>
          <w:rFonts w:hAnsi="Cambria" w:ascii="Cambria"/>
        </w:rPr>
        <w:t>19.490,07</w:t>
      </w:r>
      <w:r w:rsidRPr="00295ADF">
        <w:rPr>
          <w:rFonts w:hAnsi="Cambria" w:ascii="Cambria"/>
        </w:rPr>
        <w:t xml:space="preserve"> HRK predstavlja u smislu odredbe čl. 15. Uredbi o kriterijima i načinu obračuna i plaćanja nagrada stečajnim upraviteljima (NN 105/15)  bruto iznos, to jest iznos prije odbitka pripadajućih doprinosa iz osnovice, poreza ili drugih naknada (bruto 1). Kako je kod isplate drugoga dohotka, neophodno sukladno pozitivnim poreznim propisima</w:t>
      </w:r>
      <w:r>
        <w:rPr>
          <w:rFonts w:hAnsi="Cambria" w:ascii="Cambria"/>
        </w:rPr>
        <w:t>,</w:t>
      </w:r>
      <w:r w:rsidRPr="00295ADF">
        <w:rPr>
          <w:rFonts w:hAnsi="Cambria" w:ascii="Cambria"/>
        </w:rPr>
        <w:t xml:space="preserve"> obveza obračunati i doprinose na dohodak, a to je kod drugog dohotka, isključivo </w:t>
      </w:r>
      <w:r>
        <w:rPr>
          <w:rFonts w:hAnsi="Cambria" w:ascii="Cambria"/>
        </w:rPr>
        <w:t xml:space="preserve">predstavlja </w:t>
      </w:r>
      <w:r w:rsidRPr="00295ADF">
        <w:rPr>
          <w:rFonts w:hAnsi="Cambria" w:ascii="Cambria"/>
        </w:rPr>
        <w:t>doprinosi za zdravstveno osiguranje u iznosu od 7,5</w:t>
      </w:r>
      <w:r>
        <w:rPr>
          <w:rFonts w:hAnsi="Cambria" w:ascii="Cambria"/>
        </w:rPr>
        <w:t>% na osnovicu za obračun</w:t>
      </w:r>
      <w:r w:rsidRPr="00295ADF">
        <w:rPr>
          <w:rFonts w:hAnsi="Cambria" w:ascii="Cambria"/>
        </w:rPr>
        <w:t xml:space="preserve"> (bruto 1), što u ovome slučaju iznosi </w:t>
      </w:r>
      <w:r>
        <w:rPr>
          <w:rFonts w:hAnsi="Cambria" w:ascii="Cambria"/>
        </w:rPr>
        <w:t>19.490,07</w:t>
      </w:r>
      <w:r w:rsidRPr="00295ADF">
        <w:rPr>
          <w:rFonts w:hAnsi="Cambria" w:ascii="Cambria"/>
        </w:rPr>
        <w:t xml:space="preserve"> x 7,5% = </w:t>
      </w:r>
      <w:r w:rsidR="00AD79ED">
        <w:rPr>
          <w:rFonts w:hAnsi="Cambria" w:ascii="Cambria"/>
        </w:rPr>
        <w:t>1.461,76</w:t>
      </w:r>
      <w:r w:rsidRPr="00295ADF">
        <w:rPr>
          <w:rFonts w:hAnsi="Cambria" w:ascii="Cambria"/>
        </w:rPr>
        <w:t xml:space="preserve"> HRK, pa ukupni troškovi nagrade stečajnoga upravitelja (bruto 2) </w:t>
      </w:r>
      <w:r w:rsidRPr="00673119">
        <w:rPr>
          <w:rFonts w:hAnsi="Cambria" w:ascii="Cambria"/>
        </w:rPr>
        <w:t xml:space="preserve">iznose </w:t>
      </w:r>
      <w:r w:rsidR="00AD79ED" w:rsidRPr="00673119">
        <w:rPr>
          <w:rFonts w:hAnsi="Cambria" w:ascii="Cambria"/>
        </w:rPr>
        <w:t>20.951,83</w:t>
      </w:r>
      <w:r w:rsidRPr="00673119">
        <w:rPr>
          <w:rFonts w:hAnsi="Cambria" w:ascii="Cambria"/>
        </w:rPr>
        <w:t xml:space="preserve"> HRK</w:t>
      </w:r>
      <w:r w:rsidRPr="00295ADF">
        <w:rPr>
          <w:rFonts w:hAnsi="Cambria" w:ascii="Cambria"/>
        </w:rPr>
        <w:t>.</w:t>
      </w:r>
      <w:r w:rsidR="00AD79ED">
        <w:rPr>
          <w:rFonts w:hAnsi="Cambria" w:ascii="Cambria"/>
        </w:rPr>
        <w:t xml:space="preserve"> </w:t>
      </w:r>
      <w:r w:rsidRPr="00295ADF">
        <w:rPr>
          <w:rFonts w:hAnsi="Cambria" w:ascii="Cambria"/>
        </w:rPr>
        <w:t>Prema odredbama čl. 111.  Zakona o doprinosima  (NN od 84/08 do 143/14) obveznik obračuna i plaćanja doprinosa je isplatitelj primitka, u ovome slučaju Stečajna masa iza</w:t>
      </w:r>
      <w:r w:rsidR="00AD79ED">
        <w:rPr>
          <w:rFonts w:hAnsi="Cambria" w:ascii="Cambria"/>
        </w:rPr>
        <w:t xml:space="preserve"> </w:t>
      </w:r>
      <w:r w:rsidR="00AD79ED" w:rsidRPr="00AD79ED">
        <w:rPr>
          <w:rFonts w:hAnsi="Cambria" w:ascii="Cambria"/>
        </w:rPr>
        <w:t>AGRO-GRADNJA JASENOVAC</w:t>
      </w:r>
      <w:r w:rsidRPr="00295ADF">
        <w:rPr>
          <w:rFonts w:hAnsi="Cambria" w:ascii="Cambria"/>
        </w:rPr>
        <w:t xml:space="preserve"> d.o.o. u stečaju </w:t>
      </w:r>
    </w:p>
    <w:p w:rsidRDefault="00DC7335" w:rsidP="002F5F1B" w:rsidR="00DC7335">
      <w:pPr>
        <w:jc w:val="both"/>
        <w:rPr>
          <w:rFonts w:hAnsi="Cambria" w:ascii="Cambria"/>
        </w:rPr>
      </w:pPr>
    </w:p>
    <w:p w:rsidRDefault="00DC7335" w:rsidP="002F5F1B" w:rsidR="00DC7335">
      <w:pPr>
        <w:jc w:val="both"/>
        <w:rPr>
          <w:rFonts w:hAnsi="Cambria" w:ascii="Cambria"/>
        </w:rPr>
      </w:pPr>
    </w:p>
    <w:p w:rsidRDefault="00AD79ED" w:rsidP="000079AF" w:rsidR="000079AF">
      <w:pPr>
        <w:jc w:val="both"/>
        <w:rPr>
          <w:rFonts w:hAnsi="Cambria" w:ascii="Cambria"/>
        </w:rPr>
      </w:pPr>
      <w:r>
        <w:rPr>
          <w:rFonts w:hAnsi="Cambria" w:ascii="Cambria"/>
        </w:rPr>
        <w:t>Nastavno na činjenice da je r</w:t>
      </w:r>
      <w:r w:rsidR="001D5484">
        <w:rPr>
          <w:rFonts w:hAnsi="Cambria" w:ascii="Cambria"/>
        </w:rPr>
        <w:t xml:space="preserve">ješenjem Trgovačkoga suda u Zagrebu, </w:t>
      </w:r>
      <w:r w:rsidR="001D5484" w:rsidRPr="001D5484">
        <w:rPr>
          <w:rFonts w:hAnsi="Cambria" w:ascii="Cambria"/>
        </w:rPr>
        <w:t>Stalna služba u Sisku br</w:t>
      </w:r>
      <w:r w:rsidR="001D5484">
        <w:rPr>
          <w:rFonts w:hAnsi="Cambria" w:ascii="Cambria"/>
        </w:rPr>
        <w:t>oj 3.St-174/12 s nadnevkom od 23</w:t>
      </w:r>
      <w:r w:rsidR="00DC7335">
        <w:rPr>
          <w:rFonts w:hAnsi="Cambria" w:ascii="Cambria"/>
        </w:rPr>
        <w:t>. t</w:t>
      </w:r>
      <w:r w:rsidR="001D5484" w:rsidRPr="001D5484">
        <w:rPr>
          <w:rFonts w:hAnsi="Cambria" w:ascii="Cambria"/>
        </w:rPr>
        <w:t xml:space="preserve">ravnja </w:t>
      </w:r>
      <w:r w:rsidR="001D5484">
        <w:rPr>
          <w:rFonts w:hAnsi="Cambria" w:ascii="Cambria"/>
        </w:rPr>
        <w:t>2012</w:t>
      </w:r>
      <w:r w:rsidR="001D5484" w:rsidRPr="001D5484">
        <w:rPr>
          <w:rFonts w:hAnsi="Cambria" w:ascii="Cambria"/>
        </w:rPr>
        <w:t>.godine</w:t>
      </w:r>
      <w:r>
        <w:rPr>
          <w:rFonts w:hAnsi="Cambria" w:ascii="Cambria"/>
        </w:rPr>
        <w:t xml:space="preserve">, otvoren </w:t>
      </w:r>
      <w:r w:rsidR="001D5484">
        <w:rPr>
          <w:rFonts w:hAnsi="Cambria" w:ascii="Cambria"/>
        </w:rPr>
        <w:t xml:space="preserve"> stečajni postupaka na</w:t>
      </w:r>
      <w:r w:rsidR="00E05995">
        <w:rPr>
          <w:rFonts w:hAnsi="Cambria" w:ascii="Cambria"/>
        </w:rPr>
        <w:t>d</w:t>
      </w:r>
      <w:r w:rsidR="001D5484">
        <w:rPr>
          <w:rFonts w:hAnsi="Cambria" w:ascii="Cambria"/>
        </w:rPr>
        <w:t xml:space="preserve"> dužnikom </w:t>
      </w:r>
      <w:r w:rsidR="001D5484" w:rsidRPr="001D5484">
        <w:rPr>
          <w:rFonts w:hAnsi="Cambria" w:ascii="Cambria"/>
        </w:rPr>
        <w:t>AGRO-GRADNJA JASENOVAC d.o.o</w:t>
      </w:r>
      <w:r w:rsidR="001D5484">
        <w:rPr>
          <w:rFonts w:hAnsi="Cambria" w:ascii="Cambria"/>
        </w:rPr>
        <w:t>, Jasenovac, Vladim</w:t>
      </w:r>
      <w:r>
        <w:rPr>
          <w:rFonts w:hAnsi="Cambria" w:ascii="Cambria"/>
        </w:rPr>
        <w:t>ira Nazora 25, OIB:55180915072, te je d</w:t>
      </w:r>
      <w:r w:rsidR="001D5484">
        <w:rPr>
          <w:rFonts w:hAnsi="Cambria" w:ascii="Cambria"/>
        </w:rPr>
        <w:t>ana 29</w:t>
      </w:r>
      <w:r>
        <w:rPr>
          <w:rFonts w:hAnsi="Cambria" w:ascii="Cambria"/>
        </w:rPr>
        <w:t xml:space="preserve">. lipnja 2012.godine, održano </w:t>
      </w:r>
      <w:r w:rsidR="001D5484">
        <w:rPr>
          <w:rFonts w:hAnsi="Cambria" w:ascii="Cambria"/>
        </w:rPr>
        <w:t xml:space="preserve"> ispitno izvještajno ročište, </w:t>
      </w:r>
      <w:r>
        <w:rPr>
          <w:rFonts w:hAnsi="Cambria" w:ascii="Cambria"/>
        </w:rPr>
        <w:t xml:space="preserve">a isti je rješenjem broj </w:t>
      </w:r>
      <w:r w:rsidR="00E05995">
        <w:rPr>
          <w:rFonts w:hAnsi="Cambria" w:ascii="Cambria"/>
        </w:rPr>
        <w:t>St-174/12 od 05. travnja 2013. g</w:t>
      </w:r>
      <w:r>
        <w:rPr>
          <w:rFonts w:hAnsi="Cambria" w:ascii="Cambria"/>
        </w:rPr>
        <w:t>odine</w:t>
      </w:r>
      <w:r w:rsidR="00E05995">
        <w:rPr>
          <w:rFonts w:hAnsi="Cambria" w:ascii="Cambria"/>
        </w:rPr>
        <w:t>,</w:t>
      </w:r>
      <w:r>
        <w:rPr>
          <w:rFonts w:hAnsi="Cambria" w:ascii="Cambria"/>
        </w:rPr>
        <w:t xml:space="preserve"> obustavljen i zaključen temeljem odredbi čl. 203. Stečajnoga zakona (NN 44/96 do 133/12) zbog nedostatnosti stečajne mase za pokriće </w:t>
      </w:r>
      <w:r w:rsidR="00E05995">
        <w:rPr>
          <w:rFonts w:hAnsi="Cambria" w:ascii="Cambria"/>
        </w:rPr>
        <w:t xml:space="preserve">troškova </w:t>
      </w:r>
      <w:r>
        <w:rPr>
          <w:rFonts w:hAnsi="Cambria" w:ascii="Cambria"/>
        </w:rPr>
        <w:t>stečajnoga postupka</w:t>
      </w:r>
      <w:r w:rsidR="000079AF">
        <w:rPr>
          <w:rFonts w:hAnsi="Cambria" w:ascii="Cambria"/>
        </w:rPr>
        <w:t>.</w:t>
      </w:r>
    </w:p>
    <w:p w:rsidRDefault="000079AF" w:rsidP="000079AF" w:rsidR="000079AF">
      <w:pPr>
        <w:jc w:val="both"/>
        <w:rPr>
          <w:rFonts w:hAnsi="Cambria" w:ascii="Cambria"/>
        </w:rPr>
      </w:pPr>
    </w:p>
    <w:p w:rsidRDefault="000079AF" w:rsidP="000079AF" w:rsidR="000079AF" w:rsidRPr="000079AF">
      <w:pPr>
        <w:jc w:val="both"/>
        <w:rPr>
          <w:rFonts w:hAnsi="Cambria" w:ascii="Cambria"/>
        </w:rPr>
      </w:pPr>
      <w:r>
        <w:rPr>
          <w:rFonts w:hAnsi="Cambria" w:ascii="Cambria"/>
        </w:rPr>
        <w:t>Prema tada važećoj U</w:t>
      </w:r>
      <w:r w:rsidRPr="000079AF">
        <w:rPr>
          <w:rFonts w:hAnsi="Cambria" w:ascii="Cambria"/>
        </w:rPr>
        <w:t>redba o kriterijima i načinu obračuna i plaćanja nagrada stečajnim upraviteljima</w:t>
      </w:r>
      <w:r>
        <w:rPr>
          <w:rFonts w:hAnsi="Cambria" w:ascii="Cambria"/>
        </w:rPr>
        <w:t xml:space="preserve"> (NN</w:t>
      </w:r>
      <w:r w:rsidRPr="000079AF">
        <w:rPr>
          <w:rFonts w:hAnsi="Cambria" w:ascii="Cambria"/>
        </w:rPr>
        <w:t xml:space="preserve"> 189/03)</w:t>
      </w:r>
      <w:r>
        <w:rPr>
          <w:rFonts w:hAnsi="Cambria" w:ascii="Cambria"/>
        </w:rPr>
        <w:t>,  a sukladno čl. 9. Uredbe,  u slučaju  obustave i zaključenja stečajnoga postupak</w:t>
      </w:r>
      <w:r w:rsidRPr="000079AF">
        <w:rPr>
          <w:rFonts w:hAnsi="Cambria" w:ascii="Cambria"/>
        </w:rPr>
        <w:t xml:space="preserve"> zbog nedostatnosti </w:t>
      </w:r>
      <w:r>
        <w:rPr>
          <w:rFonts w:hAnsi="Cambria" w:ascii="Cambria"/>
        </w:rPr>
        <w:t xml:space="preserve">stečajne </w:t>
      </w:r>
      <w:r w:rsidRPr="000079AF">
        <w:rPr>
          <w:rFonts w:hAnsi="Cambria" w:ascii="Cambria"/>
        </w:rPr>
        <w:t>mase</w:t>
      </w:r>
      <w:r>
        <w:rPr>
          <w:rFonts w:hAnsi="Cambria" w:ascii="Cambria"/>
        </w:rPr>
        <w:t xml:space="preserve">, stečajnom </w:t>
      </w:r>
      <w:r>
        <w:rPr>
          <w:rFonts w:hAnsi="Cambria" w:ascii="Cambria"/>
        </w:rPr>
        <w:lastRenderedPageBreak/>
        <w:t xml:space="preserve">upravitelju </w:t>
      </w:r>
      <w:r w:rsidRPr="000079AF">
        <w:rPr>
          <w:rFonts w:hAnsi="Cambria" w:ascii="Cambria"/>
        </w:rPr>
        <w:t>pripada nagrada obračunata</w:t>
      </w:r>
      <w:r>
        <w:rPr>
          <w:rFonts w:hAnsi="Cambria" w:ascii="Cambria"/>
        </w:rPr>
        <w:t xml:space="preserve"> primjenom kriterija iz članka 7. stavka 1. iste Uredbe, uvećana za 50% do 100%, što u konačnici iznosi minimalno  neto iznos 15.000,00 kn </w:t>
      </w:r>
      <w:r w:rsidR="00E05995">
        <w:rPr>
          <w:rFonts w:hAnsi="Cambria" w:ascii="Cambria"/>
        </w:rPr>
        <w:t>od</w:t>
      </w:r>
      <w:r>
        <w:rPr>
          <w:rFonts w:hAnsi="Cambria" w:ascii="Cambria"/>
        </w:rPr>
        <w:t xml:space="preserve">nosno  maksimalno neto iznos 20.000,00 kn. </w:t>
      </w:r>
    </w:p>
    <w:p w:rsidRDefault="000079AF" w:rsidP="000079AF" w:rsidR="000079AF">
      <w:pPr>
        <w:jc w:val="both"/>
        <w:rPr>
          <w:rFonts w:hAnsi="Cambria" w:ascii="Cambria"/>
        </w:rPr>
      </w:pPr>
    </w:p>
    <w:p w:rsidRDefault="000079AF" w:rsidP="000079AF" w:rsidR="000079AF" w:rsidRPr="000079AF">
      <w:pPr>
        <w:jc w:val="both"/>
        <w:rPr>
          <w:rFonts w:hAnsi="Cambria" w:ascii="Cambria"/>
        </w:rPr>
      </w:pPr>
      <w:r>
        <w:rPr>
          <w:rFonts w:hAnsi="Cambria" w:ascii="Cambria"/>
        </w:rPr>
        <w:t xml:space="preserve">Stečajni upravitelj predlaže da stečajni sudac odredi nagradu stečajnoga upravitelja za obavljeni rad u stečajnom postupku nad stečajnim dužnikom </w:t>
      </w:r>
      <w:r w:rsidRPr="000079AF">
        <w:rPr>
          <w:rFonts w:hAnsi="Cambria" w:ascii="Cambria"/>
        </w:rPr>
        <w:t>AGRO-GRADNJA JASENOVAC d.o.o. u stečaju</w:t>
      </w:r>
      <w:r>
        <w:rPr>
          <w:rFonts w:hAnsi="Cambria" w:ascii="Cambria"/>
        </w:rPr>
        <w:t xml:space="preserve">, za vremenski period trajanja stečajnoga postupka od 23.04.2012.godine do </w:t>
      </w:r>
      <w:r w:rsidR="007E55D5">
        <w:rPr>
          <w:rFonts w:hAnsi="Cambria" w:ascii="Cambria"/>
        </w:rPr>
        <w:t xml:space="preserve">05.04.2013.godine </w:t>
      </w:r>
      <w:r w:rsidR="007E55D5" w:rsidRPr="00673119">
        <w:rPr>
          <w:rFonts w:hAnsi="Cambria" w:ascii="Cambria"/>
        </w:rPr>
        <w:t xml:space="preserve">u </w:t>
      </w:r>
      <w:r w:rsidR="00D50B26" w:rsidRPr="00673119">
        <w:rPr>
          <w:rFonts w:hAnsi="Cambria" w:ascii="Cambria"/>
        </w:rPr>
        <w:t xml:space="preserve">neto </w:t>
      </w:r>
      <w:r w:rsidR="007E55D5" w:rsidRPr="00673119">
        <w:rPr>
          <w:rFonts w:hAnsi="Cambria" w:ascii="Cambria"/>
        </w:rPr>
        <w:t>iznosu od 15.000,00 kn</w:t>
      </w:r>
      <w:r w:rsidR="007E55D5">
        <w:rPr>
          <w:rFonts w:hAnsi="Cambria" w:ascii="Cambria"/>
        </w:rPr>
        <w:t xml:space="preserve"> uvećano za javna davanja (doprinose i poreze)</w:t>
      </w:r>
      <w:r w:rsidR="00D50B26">
        <w:rPr>
          <w:rFonts w:hAnsi="Cambria" w:ascii="Cambria"/>
        </w:rPr>
        <w:t xml:space="preserve"> što </w:t>
      </w:r>
      <w:r w:rsidR="00D50B26" w:rsidRPr="00673119">
        <w:rPr>
          <w:rFonts w:hAnsi="Cambria" w:ascii="Cambria"/>
        </w:rPr>
        <w:t>ukupno</w:t>
      </w:r>
      <w:r w:rsidR="007E55D5" w:rsidRPr="00673119">
        <w:rPr>
          <w:rFonts w:hAnsi="Cambria" w:ascii="Cambria"/>
        </w:rPr>
        <w:t xml:space="preserve"> </w:t>
      </w:r>
      <w:r w:rsidR="00D50B26" w:rsidRPr="00673119">
        <w:rPr>
          <w:rFonts w:hAnsi="Cambria" w:ascii="Cambria"/>
        </w:rPr>
        <w:t xml:space="preserve">iznosi </w:t>
      </w:r>
      <w:r w:rsidR="007E55D5" w:rsidRPr="00673119">
        <w:rPr>
          <w:rFonts w:hAnsi="Cambria" w:ascii="Cambria"/>
        </w:rPr>
        <w:t>27.839,55 HRK.</w:t>
      </w:r>
      <w:r w:rsidR="007E55D5">
        <w:rPr>
          <w:rFonts w:hAnsi="Cambria" w:ascii="Cambria"/>
        </w:rPr>
        <w:t xml:space="preserve"> </w:t>
      </w:r>
    </w:p>
    <w:p w:rsidRDefault="000079AF" w:rsidP="000079AF" w:rsidR="000079AF" w:rsidRPr="000079AF">
      <w:pPr>
        <w:jc w:val="both"/>
        <w:rPr>
          <w:rFonts w:hAnsi="Cambria" w:ascii="Cambria"/>
        </w:rPr>
      </w:pPr>
    </w:p>
    <w:p w:rsidRDefault="000079AF" w:rsidP="000079AF" w:rsidR="000079AF" w:rsidRPr="000079AF">
      <w:pPr>
        <w:jc w:val="both"/>
        <w:rPr>
          <w:rFonts w:hAnsi="Cambria" w:ascii="Cambria"/>
        </w:rPr>
      </w:pPr>
    </w:p>
    <w:p w:rsidRDefault="007E55D5" w:rsidP="007E55D5" w:rsidR="007E55D5" w:rsidRPr="007E55D5">
      <w:pPr>
        <w:jc w:val="both"/>
        <w:rPr>
          <w:rFonts w:hAnsi="Cambria" w:ascii="Cambria"/>
        </w:rPr>
      </w:pPr>
      <w:r w:rsidRPr="007E55D5">
        <w:rPr>
          <w:rFonts w:hAnsi="Cambria" w:ascii="Cambria"/>
        </w:rPr>
        <w:t>Slijedom gore iznijetoga  stečajni upravitelj moli,  da stečajni sudac sukladno čl. 94. st. 2. Stečajnoga zakona (NN 71/15) i čl. 7. i čl. 13. Uredbi o kriterijima i načinu obračuna i plaćanja nagrada stečajnim upraviteljima (NN 105/2015)</w:t>
      </w:r>
      <w:r w:rsidR="00E05995">
        <w:rPr>
          <w:rFonts w:hAnsi="Cambria" w:ascii="Cambria"/>
        </w:rPr>
        <w:t xml:space="preserve">, te čl. 9. </w:t>
      </w:r>
      <w:r w:rsidR="00E05995" w:rsidRPr="00E05995">
        <w:rPr>
          <w:rFonts w:hAnsi="Cambria" w:ascii="Cambria"/>
        </w:rPr>
        <w:t>U</w:t>
      </w:r>
      <w:r w:rsidR="00E05995">
        <w:rPr>
          <w:rFonts w:hAnsi="Cambria" w:ascii="Cambria"/>
        </w:rPr>
        <w:t>redbe</w:t>
      </w:r>
      <w:r w:rsidR="00E05995" w:rsidRPr="00E05995">
        <w:rPr>
          <w:rFonts w:hAnsi="Cambria" w:ascii="Cambria"/>
        </w:rPr>
        <w:t xml:space="preserve"> o kriterijima i načinu obračuna i plaćanja nagrada stečajnim upraviteljima (NN 189/03)</w:t>
      </w:r>
      <w:r w:rsidR="00E05995">
        <w:rPr>
          <w:rFonts w:hAnsi="Cambria" w:ascii="Cambria"/>
        </w:rPr>
        <w:t xml:space="preserve">, </w:t>
      </w:r>
      <w:r w:rsidRPr="007E55D5">
        <w:rPr>
          <w:rFonts w:hAnsi="Cambria" w:ascii="Cambria"/>
        </w:rPr>
        <w:t xml:space="preserve"> odredi rješenjem nagradu stečajnoga upravitelja</w:t>
      </w:r>
      <w:r w:rsidR="00D50B26">
        <w:rPr>
          <w:rFonts w:hAnsi="Cambria" w:ascii="Cambria"/>
        </w:rPr>
        <w:t xml:space="preserve"> za obavljene poslove nastavka stečajnoga postupaka (iznos od 20.951,83 kn) kao i obavljene poslove provedbe stečajnoga postupka (iznos od 27.839,55 kn)</w:t>
      </w:r>
      <w:r w:rsidRPr="007E55D5">
        <w:rPr>
          <w:rFonts w:hAnsi="Cambria" w:ascii="Cambria"/>
        </w:rPr>
        <w:t xml:space="preserve">, </w:t>
      </w:r>
      <w:r w:rsidR="00E05995">
        <w:rPr>
          <w:rFonts w:hAnsi="Cambria" w:ascii="Cambria"/>
        </w:rPr>
        <w:t xml:space="preserve">zbrojem </w:t>
      </w:r>
      <w:r w:rsidR="00D50B26">
        <w:rPr>
          <w:rFonts w:hAnsi="Cambria" w:ascii="Cambria"/>
        </w:rPr>
        <w:t xml:space="preserve">tih </w:t>
      </w:r>
      <w:r w:rsidR="00E05995">
        <w:rPr>
          <w:rFonts w:hAnsi="Cambria" w:ascii="Cambria"/>
        </w:rPr>
        <w:t xml:space="preserve">dvaju </w:t>
      </w:r>
      <w:r w:rsidR="00D50B26">
        <w:rPr>
          <w:rFonts w:hAnsi="Cambria" w:ascii="Cambria"/>
        </w:rPr>
        <w:t xml:space="preserve"> </w:t>
      </w:r>
      <w:r w:rsidR="00E05995">
        <w:rPr>
          <w:rFonts w:hAnsi="Cambria" w:ascii="Cambria"/>
        </w:rPr>
        <w:t xml:space="preserve">  iznos</w:t>
      </w:r>
      <w:r w:rsidR="00D50B26">
        <w:rPr>
          <w:rFonts w:hAnsi="Cambria" w:ascii="Cambria"/>
        </w:rPr>
        <w:t>a,</w:t>
      </w:r>
      <w:r w:rsidR="00E05995">
        <w:rPr>
          <w:rFonts w:hAnsi="Cambria" w:ascii="Cambria"/>
        </w:rPr>
        <w:t xml:space="preserve"> što ukupno iznosi</w:t>
      </w:r>
      <w:r w:rsidRPr="007E55D5">
        <w:rPr>
          <w:rFonts w:hAnsi="Cambria" w:ascii="Cambria"/>
        </w:rPr>
        <w:t xml:space="preserve"> </w:t>
      </w:r>
      <w:r w:rsidR="00D50B26">
        <w:rPr>
          <w:rFonts w:hAnsi="Cambria" w:ascii="Cambria"/>
        </w:rPr>
        <w:t>bruto nagrada stečajnoga upravitelja u iznosu od</w:t>
      </w:r>
      <w:r w:rsidR="00E05995">
        <w:rPr>
          <w:rFonts w:hAnsi="Cambria" w:ascii="Cambria"/>
          <w:b/>
        </w:rPr>
        <w:t xml:space="preserve"> 48.791,38</w:t>
      </w:r>
      <w:r w:rsidRPr="007E55D5">
        <w:rPr>
          <w:rFonts w:hAnsi="Cambria" w:ascii="Cambria"/>
          <w:b/>
        </w:rPr>
        <w:t xml:space="preserve"> HRK</w:t>
      </w:r>
      <w:r w:rsidR="00E05995">
        <w:rPr>
          <w:rFonts w:hAnsi="Cambria" w:ascii="Cambria"/>
        </w:rPr>
        <w:t>.</w:t>
      </w:r>
    </w:p>
    <w:p w:rsidRDefault="000079AF" w:rsidP="000079AF" w:rsidR="000079AF">
      <w:pPr>
        <w:jc w:val="both"/>
        <w:rPr>
          <w:rFonts w:hAnsi="Cambria" w:ascii="Cambria"/>
        </w:rPr>
      </w:pPr>
    </w:p>
    <w:p w:rsidRDefault="007E55D5" w:rsidP="007E55D5" w:rsidR="007E55D5" w:rsidRPr="007E55D5">
      <w:pPr>
        <w:jc w:val="right"/>
        <w:rPr>
          <w:rFonts w:hAnsi="Cambria" w:ascii="Cambria"/>
        </w:rPr>
      </w:pPr>
      <w:r w:rsidRPr="007E55D5">
        <w:rPr>
          <w:rFonts w:hAnsi="Cambria" w:ascii="Cambria"/>
        </w:rPr>
        <w:t>Stečajni upravitelj</w:t>
      </w:r>
    </w:p>
    <w:p w:rsidRDefault="007E55D5" w:rsidP="007E55D5" w:rsidR="007E55D5">
      <w:pPr>
        <w:jc w:val="right"/>
        <w:rPr>
          <w:rFonts w:hAnsi="Cambria" w:ascii="Cambria"/>
        </w:rPr>
      </w:pPr>
      <w:r w:rsidRPr="007E55D5">
        <w:rPr>
          <w:rFonts w:hAnsi="Cambria" w:ascii="Cambria"/>
        </w:rPr>
        <w:t>Mato Čičak, dipl. oec.</w:t>
      </w:r>
    </w:p>
    <w:p w:rsidRDefault="00E05995" w:rsidP="007E55D5" w:rsidR="00E05995" w:rsidRPr="007E55D5">
      <w:pPr>
        <w:jc w:val="right"/>
        <w:rPr>
          <w:rFonts w:hAnsi="Cambria" w:ascii="Cambria"/>
        </w:rPr>
      </w:pPr>
    </w:p>
    <w:p w:rsidRDefault="007E55D5" w:rsidP="007E55D5" w:rsidR="007E55D5" w:rsidRPr="000079AF">
      <w:pPr>
        <w:jc w:val="right"/>
        <w:rPr>
          <w:rFonts w:hAnsi="Cambria" w:ascii="Cambria"/>
        </w:rPr>
      </w:pPr>
    </w:p>
    <w:p w:rsidRDefault="00E05995" w:rsidP="00E05995" w:rsidR="00E05995" w:rsidRPr="00E05995">
      <w:pPr>
        <w:jc w:val="both"/>
        <w:rPr>
          <w:rFonts w:hAnsi="Cambria" w:ascii="Cambria"/>
          <w:i/>
        </w:rPr>
      </w:pPr>
      <w:r>
        <w:rPr>
          <w:rFonts w:hAnsi="Cambria" w:ascii="Cambria"/>
          <w:i/>
        </w:rPr>
        <w:t>-</w:t>
      </w:r>
      <w:r w:rsidRPr="00E05995">
        <w:rPr>
          <w:rFonts w:hAnsi="Cambria" w:ascii="Cambria"/>
          <w:i/>
        </w:rPr>
        <w:t xml:space="preserve">u privitku podneska preračunat iznos bruto nagrade na neto iznos koji se isplaćuje stečajnom upravitelju sukladno odredbama </w:t>
      </w:r>
      <w:r>
        <w:rPr>
          <w:rFonts w:hAnsi="Cambria" w:ascii="Cambria"/>
          <w:i/>
        </w:rPr>
        <w:t xml:space="preserve">čl. 39. i  40. </w:t>
      </w:r>
      <w:r w:rsidRPr="00E05995">
        <w:rPr>
          <w:rFonts w:hAnsi="Cambria" w:ascii="Cambria"/>
          <w:i/>
        </w:rPr>
        <w:t>Zakona o porezu na dohodak</w:t>
      </w:r>
      <w:r>
        <w:rPr>
          <w:rFonts w:hAnsi="Cambria" w:ascii="Cambria"/>
          <w:i/>
        </w:rPr>
        <w:t xml:space="preserve"> (NN 115/16).</w:t>
      </w:r>
    </w:p>
    <w:p w:rsidRDefault="003D6BF6" w:rsidP="002F5F1B" w:rsidR="003D6BF6">
      <w:pPr>
        <w:jc w:val="both"/>
        <w:rPr>
          <w:rFonts w:hAnsi="Cambria" w:ascii="Cambria"/>
        </w:rPr>
      </w:pPr>
    </w:p>
    <w:p w:rsidRDefault="00D72106" w:rsidP="002F5F1B" w:rsidR="00D72106">
      <w:pPr>
        <w:jc w:val="both"/>
        <w:rPr>
          <w:rFonts w:hAnsi="Cambria" w:ascii="Cambria"/>
        </w:rPr>
      </w:pPr>
    </w:p>
    <w:p w:rsidRDefault="00D72106" w:rsidP="002F5F1B" w:rsidR="00D72106">
      <w:pPr>
        <w:jc w:val="both"/>
        <w:rPr>
          <w:rFonts w:hAnsi="Cambria" w:ascii="Cambria"/>
        </w:rPr>
      </w:pPr>
    </w:p>
    <w:p w:rsidRDefault="00D72106" w:rsidP="002F5F1B" w:rsidR="00D72106">
      <w:pPr>
        <w:jc w:val="both"/>
        <w:rPr>
          <w:rFonts w:hAnsi="Cambria" w:ascii="Cambria"/>
        </w:rPr>
      </w:pPr>
    </w:p>
    <w:p w:rsidRDefault="00D72106" w:rsidP="002F5F1B" w:rsidR="00D72106">
      <w:pPr>
        <w:jc w:val="both"/>
        <w:rPr>
          <w:rFonts w:hAnsi="Cambria" w:ascii="Cambria"/>
        </w:rPr>
      </w:pPr>
    </w:p>
    <w:p w:rsidRDefault="00D72106" w:rsidP="002F5F1B" w:rsidR="00D72106">
      <w:pPr>
        <w:jc w:val="both"/>
        <w:rPr>
          <w:rFonts w:hAnsi="Cambria" w:ascii="Cambria"/>
        </w:rPr>
      </w:pPr>
    </w:p>
    <w:p w:rsidRDefault="00D72106" w:rsidP="002F5F1B" w:rsidR="00D72106">
      <w:pPr>
        <w:jc w:val="both"/>
        <w:rPr>
          <w:rFonts w:hAnsi="Cambria" w:ascii="Cambria"/>
        </w:rPr>
      </w:pPr>
    </w:p>
    <w:p w:rsidRDefault="00D72106" w:rsidP="002F5F1B" w:rsidR="00D72106">
      <w:pPr>
        <w:jc w:val="both"/>
        <w:rPr>
          <w:rFonts w:hAnsi="Cambria" w:ascii="Cambria"/>
        </w:rPr>
      </w:pPr>
    </w:p>
    <w:p w:rsidRDefault="00D72106" w:rsidP="002F5F1B" w:rsidR="00D72106">
      <w:pPr>
        <w:jc w:val="both"/>
        <w:rPr>
          <w:rFonts w:hAnsi="Cambria" w:ascii="Cambria"/>
        </w:rPr>
      </w:pPr>
    </w:p>
    <w:p w:rsidRDefault="00D72106" w:rsidP="002F5F1B" w:rsidR="00D72106">
      <w:pPr>
        <w:jc w:val="both"/>
        <w:rPr>
          <w:rFonts w:hAnsi="Cambria" w:ascii="Cambria"/>
        </w:rPr>
      </w:pPr>
    </w:p>
    <w:p w:rsidRDefault="00D72106" w:rsidP="002F5F1B" w:rsidR="00D72106">
      <w:pPr>
        <w:jc w:val="both"/>
        <w:rPr>
          <w:rFonts w:hAnsi="Cambria" w:ascii="Cambria"/>
        </w:rPr>
      </w:pPr>
    </w:p>
    <w:p w:rsidRDefault="00D72106" w:rsidP="002F5F1B" w:rsidR="00D72106">
      <w:pPr>
        <w:jc w:val="both"/>
        <w:rPr>
          <w:rFonts w:hAnsi="Cambria" w:ascii="Cambria"/>
        </w:rPr>
      </w:pPr>
    </w:p>
    <w:p w:rsidRDefault="00D72106" w:rsidP="002F5F1B" w:rsidR="00D72106">
      <w:pPr>
        <w:jc w:val="both"/>
        <w:rPr>
          <w:rFonts w:hAnsi="Cambria" w:ascii="Cambria"/>
        </w:rPr>
      </w:pPr>
    </w:p>
    <w:p w:rsidRDefault="00D72106" w:rsidP="002F5F1B" w:rsidR="00D72106">
      <w:pPr>
        <w:jc w:val="both"/>
        <w:rPr>
          <w:rFonts w:hAnsi="Cambria" w:ascii="Cambria"/>
        </w:rPr>
      </w:pPr>
    </w:p>
    <w:p w:rsidRDefault="00D72106" w:rsidP="002F5F1B" w:rsidR="00D72106">
      <w:pPr>
        <w:jc w:val="both"/>
        <w:rPr>
          <w:rFonts w:hAnsi="Cambria" w:ascii="Cambria"/>
        </w:rPr>
      </w:pPr>
    </w:p>
    <w:p w:rsidRDefault="00D72106" w:rsidP="002F5F1B" w:rsidR="00D72106">
      <w:pPr>
        <w:jc w:val="both"/>
        <w:rPr>
          <w:rFonts w:hAnsi="Cambria" w:ascii="Cambria"/>
        </w:rPr>
      </w:pPr>
    </w:p>
    <w:p w:rsidRDefault="00D72106" w:rsidP="002F5F1B" w:rsidR="00D72106">
      <w:pPr>
        <w:jc w:val="both"/>
        <w:rPr>
          <w:rFonts w:hAnsi="Cambria" w:ascii="Cambria"/>
        </w:rPr>
      </w:pPr>
    </w:p>
    <w:p w:rsidRDefault="00AD79ED" w:rsidP="00052ECE" w:rsidR="00AD79ED">
      <w:pPr>
        <w:jc w:val="both"/>
        <w:rPr>
          <w:rFonts w:hAnsi="Cambria" w:ascii="Cambria"/>
        </w:rPr>
      </w:pPr>
    </w:p>
    <w:p w:rsidRDefault="00AD79ED" w:rsidP="00052ECE" w:rsidR="00AD79ED">
      <w:pPr>
        <w:jc w:val="both"/>
        <w:rPr>
          <w:rFonts w:hAnsi="Cambria" w:ascii="Cambria"/>
        </w:rPr>
      </w:pPr>
    </w:p>
    <w:p w:rsidRDefault="00D72106" w:rsidP="00D72106" w:rsidR="00D72106">
      <w:pPr>
        <w:jc w:val="right"/>
        <w:rPr>
          <w:rFonts w:cs="Arial" w:hAnsi="Cambria" w:ascii="Cambria"/>
          <w:b/>
        </w:rPr>
      </w:pPr>
      <w:r>
        <w:rPr>
          <w:rFonts w:cs="Arial" w:hAnsi="Cambria" w:ascii="Cambria"/>
          <w:b/>
        </w:rPr>
        <w:lastRenderedPageBreak/>
        <w:t>St-194/12</w:t>
      </w:r>
    </w:p>
    <w:p w:rsidRDefault="00D72106" w:rsidP="00D72106" w:rsidR="00D72106">
      <w:pPr>
        <w:rPr>
          <w:rFonts w:cs="Arial" w:hAnsi="Cambria" w:ascii="Cambria"/>
          <w:b/>
        </w:rPr>
      </w:pPr>
      <w:r>
        <w:rPr>
          <w:rFonts w:cs="Arial" w:hAnsi="Cambria" w:ascii="Cambria"/>
          <w:b/>
        </w:rPr>
        <w:t>Stečajni upravitelj</w:t>
      </w:r>
    </w:p>
    <w:p w:rsidRDefault="00D72106" w:rsidP="00D72106" w:rsidR="00D72106">
      <w:pPr>
        <w:rPr>
          <w:rFonts w:cs="Arial" w:hAnsi="Cambria" w:ascii="Cambria"/>
        </w:rPr>
      </w:pPr>
      <w:r>
        <w:rPr>
          <w:rFonts w:cs="Arial" w:hAnsi="Cambria" w:ascii="Cambria"/>
        </w:rPr>
        <w:t>Mato Čičak, OIB 63670108668</w:t>
      </w:r>
    </w:p>
    <w:p w:rsidRDefault="00D72106" w:rsidP="00D72106" w:rsidR="00D72106">
      <w:pPr>
        <w:rPr>
          <w:rFonts w:cs="Arial" w:hAnsi="Cambria" w:ascii="Cambria"/>
        </w:rPr>
      </w:pPr>
      <w:r>
        <w:rPr>
          <w:rFonts w:cs="Arial" w:hAnsi="Cambria" w:ascii="Cambria"/>
        </w:rPr>
        <w:t>10412 Donja Lomnica – Velika Gorica</w:t>
      </w:r>
    </w:p>
    <w:p w:rsidRDefault="00D72106" w:rsidP="00D72106" w:rsidR="00D72106">
      <w:pPr>
        <w:rPr>
          <w:rFonts w:cs="Arial" w:hAnsi="Cambria" w:ascii="Cambria"/>
        </w:rPr>
      </w:pPr>
      <w:r>
        <w:rPr>
          <w:rFonts w:cs="Arial" w:hAnsi="Cambria" w:ascii="Cambria"/>
        </w:rPr>
        <w:t>II.odv. Deverićeve 5</w:t>
      </w:r>
    </w:p>
    <w:p w:rsidRDefault="00D72106" w:rsidP="00D72106" w:rsidR="00D72106">
      <w:pPr>
        <w:rPr>
          <w:rFonts w:cs="Arial" w:hAnsi="Cambria" w:ascii="Cambria"/>
        </w:rPr>
      </w:pPr>
    </w:p>
    <w:p w:rsidRDefault="00D72106" w:rsidP="00D72106" w:rsidR="00D72106">
      <w:pPr>
        <w:rPr>
          <w:rFonts w:cs="Arial" w:hAnsi="Cambria" w:ascii="Cambria"/>
        </w:rPr>
      </w:pPr>
    </w:p>
    <w:p w:rsidRDefault="00D72106" w:rsidP="00D72106" w:rsidR="00D72106">
      <w:pPr>
        <w:jc w:val="both"/>
        <w:rPr>
          <w:rFonts w:cs="Arial" w:hAnsi="Cambria" w:ascii="Cambria"/>
          <w:b/>
        </w:rPr>
      </w:pPr>
      <w:r>
        <w:rPr>
          <w:rFonts w:cs="Arial" w:hAnsi="Cambria" w:ascii="Cambria"/>
        </w:rPr>
        <w:t xml:space="preserve">PREDMET: </w:t>
      </w:r>
      <w:r>
        <w:rPr>
          <w:rFonts w:cs="Arial" w:hAnsi="Cambria" w:ascii="Cambria"/>
          <w:b/>
        </w:rPr>
        <w:t xml:space="preserve">Obračun s bruto iznosa na neto iznos nagrade  stečajnog upravitelj </w:t>
      </w:r>
    </w:p>
    <w:p w:rsidRDefault="00D72106" w:rsidP="00D72106" w:rsidR="00D72106">
      <w:pPr>
        <w:jc w:val="both"/>
        <w:rPr>
          <w:rFonts w:cs="Arial" w:hAnsi="Cambria" w:ascii="Cambria"/>
          <w:b/>
        </w:rPr>
      </w:pPr>
      <w:r>
        <w:rPr>
          <w:rFonts w:cs="Arial" w:hAnsi="Cambria" w:ascii="Cambria"/>
          <w:b/>
        </w:rPr>
        <w:t xml:space="preserve">                    u predmetu Stečajna masa iza AGRO-GRADNJA JASENOVAC d.o.o. u </w:t>
      </w:r>
    </w:p>
    <w:p w:rsidRDefault="00D72106" w:rsidP="00D72106" w:rsidR="00D72106">
      <w:pPr>
        <w:jc w:val="both"/>
        <w:rPr>
          <w:rFonts w:cs="Arial" w:hAnsi="Cambria" w:ascii="Cambria"/>
          <w:b/>
        </w:rPr>
      </w:pPr>
      <w:r>
        <w:rPr>
          <w:rFonts w:cs="Arial" w:hAnsi="Cambria" w:ascii="Cambria"/>
          <w:b/>
        </w:rPr>
        <w:t xml:space="preserve">                    stečaju  sukladno  Zakonu o  porezu na dohodak s  osnova primitka </w:t>
      </w:r>
    </w:p>
    <w:p w:rsidRDefault="00D72106" w:rsidP="00D72106" w:rsidR="00D72106">
      <w:pPr>
        <w:jc w:val="both"/>
        <w:rPr>
          <w:rFonts w:cs="Arial" w:hAnsi="Cambria" w:ascii="Cambria"/>
          <w:b/>
        </w:rPr>
      </w:pPr>
      <w:r>
        <w:rPr>
          <w:rFonts w:cs="Arial" w:hAnsi="Cambria" w:ascii="Cambria"/>
          <w:b/>
        </w:rPr>
        <w:t xml:space="preserve">                    drugog dohotka</w:t>
      </w:r>
    </w:p>
    <w:p w:rsidRDefault="00D72106" w:rsidP="00D72106" w:rsidR="00D72106">
      <w:pPr>
        <w:rPr>
          <w:rFonts w:cs="Arial" w:hAnsi="Cambria" w:ascii="Cambria"/>
        </w:rPr>
      </w:pPr>
      <w:r>
        <w:rPr>
          <w:rFonts w:cs="Arial" w:hAnsi="Cambria" w:ascii="Cambria"/>
        </w:rPr>
        <w:t xml:space="preserve">                    </w:t>
      </w:r>
    </w:p>
    <w:tbl>
      <w:tblPr>
        <w:tblW w:type="auto" w:w="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78"/>
        <w:gridCol w:w="6430"/>
        <w:gridCol w:w="1640"/>
      </w:tblGrid>
      <w:tr w:rsidTr="00D72106" w:rsidR="00D72106">
        <w:trPr>
          <w:trHeight w:val="300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2106" w:rsidR="00D72106">
            <w:pPr>
              <w:rPr>
                <w:rFonts w:cs="Arial" w:hAnsi="Cambria" w:ascii="Cambria"/>
                <w:b/>
                <w:sz w:val="22"/>
                <w:szCs w:val="22"/>
              </w:rPr>
            </w:pPr>
            <w:r>
              <w:rPr>
                <w:rFonts w:cs="Arial" w:hAnsi="Cambria" w:ascii="Cambria"/>
                <w:b/>
                <w:sz w:val="22"/>
                <w:szCs w:val="22"/>
              </w:rPr>
              <w:t>red.</w:t>
            </w:r>
          </w:p>
          <w:p w:rsidRDefault="00D72106" w:rsidR="00D72106">
            <w:pPr>
              <w:rPr>
                <w:rFonts w:cs="Arial" w:hAnsi="Cambria" w:ascii="Cambria"/>
                <w:b/>
                <w:sz w:val="22"/>
                <w:szCs w:val="22"/>
              </w:rPr>
            </w:pPr>
            <w:r>
              <w:rPr>
                <w:rFonts w:cs="Arial" w:hAnsi="Cambria" w:ascii="Cambria"/>
                <w:b/>
                <w:sz w:val="22"/>
                <w:szCs w:val="22"/>
              </w:rPr>
              <w:t>br.</w:t>
            </w:r>
          </w:p>
        </w:tc>
        <w:tc>
          <w:tcPr>
            <w:tcW w:type="dxa" w:w="6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2106" w:rsidR="00D72106">
            <w:pPr>
              <w:rPr>
                <w:rFonts w:cs="Arial" w:hAnsi="Cambria" w:ascii="Cambria"/>
                <w:b/>
                <w:sz w:val="22"/>
                <w:szCs w:val="22"/>
              </w:rPr>
            </w:pPr>
            <w:r>
              <w:rPr>
                <w:rFonts w:cs="Arial" w:hAnsi="Cambria" w:ascii="Cambria"/>
                <w:b/>
                <w:sz w:val="22"/>
                <w:szCs w:val="22"/>
              </w:rPr>
              <w:t>opis</w:t>
            </w:r>
          </w:p>
        </w:tc>
        <w:tc>
          <w:tcPr>
            <w:tcW w:type="dxa" w:w="1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2106" w:rsidR="00D72106">
            <w:pPr>
              <w:jc w:val="right"/>
              <w:rPr>
                <w:rFonts w:cs="Arial" w:hAnsi="Cambria" w:ascii="Cambria"/>
                <w:b/>
                <w:sz w:val="22"/>
                <w:szCs w:val="22"/>
              </w:rPr>
            </w:pPr>
            <w:r>
              <w:rPr>
                <w:rFonts w:cs="Arial" w:hAnsi="Cambria" w:ascii="Cambria"/>
                <w:b/>
                <w:sz w:val="22"/>
                <w:szCs w:val="22"/>
              </w:rPr>
              <w:t>iznos</w:t>
            </w:r>
          </w:p>
        </w:tc>
      </w:tr>
      <w:tr w:rsidTr="00D72106" w:rsidR="00D72106">
        <w:trPr>
          <w:trHeight w:val="495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72106" w:rsidR="00D72106">
            <w:pPr>
              <w:rPr>
                <w:rFonts w:cs="Arial" w:hAnsi="Cambria" w:ascii="Cambria"/>
                <w:sz w:val="22"/>
                <w:szCs w:val="22"/>
              </w:rPr>
            </w:pPr>
          </w:p>
          <w:p w:rsidRDefault="00D72106" w:rsidR="00D72106">
            <w:pPr>
              <w:rPr>
                <w:rFonts w:cs="Arial" w:hAnsi="Cambria" w:ascii="Cambria"/>
                <w:sz w:val="22"/>
                <w:szCs w:val="22"/>
              </w:rPr>
            </w:pPr>
            <w:r>
              <w:rPr>
                <w:rFonts w:cs="Arial" w:hAnsi="Cambria" w:ascii="Cambria"/>
                <w:sz w:val="22"/>
                <w:szCs w:val="22"/>
              </w:rPr>
              <w:t>1.</w:t>
            </w:r>
          </w:p>
        </w:tc>
        <w:tc>
          <w:tcPr>
            <w:tcW w:type="dxa" w:w="6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72106" w:rsidR="00D72106">
            <w:pPr>
              <w:rPr>
                <w:rFonts w:cs="Arial" w:hAnsi="Cambria" w:ascii="Cambria"/>
                <w:sz w:val="22"/>
                <w:szCs w:val="22"/>
              </w:rPr>
            </w:pPr>
          </w:p>
          <w:p w:rsidRDefault="00D72106" w:rsidR="00D72106">
            <w:pPr>
              <w:rPr>
                <w:rFonts w:cs="Arial" w:hAnsi="Cambria" w:ascii="Cambria"/>
                <w:sz w:val="22"/>
                <w:szCs w:val="22"/>
              </w:rPr>
            </w:pPr>
            <w:r>
              <w:rPr>
                <w:rFonts w:cs="Arial" w:hAnsi="Cambria" w:ascii="Cambria"/>
                <w:sz w:val="22"/>
                <w:szCs w:val="22"/>
              </w:rPr>
              <w:t>nagrada   stečajnog upravitelja – BRUTO 2</w:t>
            </w:r>
          </w:p>
        </w:tc>
        <w:tc>
          <w:tcPr>
            <w:tcW w:type="dxa" w:w="1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72106" w:rsidR="00D72106">
            <w:pPr>
              <w:jc w:val="right"/>
              <w:rPr>
                <w:rFonts w:cs="Arial" w:hAnsi="Cambria" w:ascii="Cambria"/>
                <w:sz w:val="22"/>
                <w:szCs w:val="22"/>
              </w:rPr>
            </w:pPr>
          </w:p>
          <w:p w:rsidRDefault="00D72106" w:rsidR="00D72106">
            <w:pPr>
              <w:jc w:val="right"/>
              <w:rPr>
                <w:rFonts w:cs="Arial" w:hAnsi="Cambria" w:ascii="Cambria"/>
                <w:sz w:val="22"/>
                <w:szCs w:val="22"/>
              </w:rPr>
            </w:pPr>
            <w:r>
              <w:rPr>
                <w:rFonts w:cs="Arial" w:hAnsi="Cambria" w:ascii="Cambria"/>
                <w:sz w:val="22"/>
                <w:szCs w:val="22"/>
              </w:rPr>
              <w:t>48.791,38</w:t>
            </w:r>
          </w:p>
        </w:tc>
      </w:tr>
      <w:tr w:rsidTr="00D72106" w:rsidR="00D72106">
        <w:trPr>
          <w:trHeight w:val="525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72106" w:rsidR="00D72106">
            <w:pPr>
              <w:rPr>
                <w:rFonts w:cs="Arial" w:hAnsi="Cambria" w:ascii="Cambria"/>
                <w:sz w:val="22"/>
                <w:szCs w:val="22"/>
              </w:rPr>
            </w:pPr>
          </w:p>
          <w:p w:rsidRDefault="00D72106" w:rsidR="00D72106">
            <w:pPr>
              <w:rPr>
                <w:rFonts w:cs="Arial" w:hAnsi="Cambria" w:ascii="Cambria"/>
                <w:sz w:val="22"/>
                <w:szCs w:val="22"/>
              </w:rPr>
            </w:pPr>
          </w:p>
        </w:tc>
        <w:tc>
          <w:tcPr>
            <w:tcW w:type="dxa" w:w="6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72106" w:rsidR="00D72106">
            <w:pPr>
              <w:rPr>
                <w:rFonts w:cs="Arial" w:hAnsi="Cambria" w:ascii="Cambria"/>
                <w:sz w:val="22"/>
                <w:szCs w:val="22"/>
              </w:rPr>
            </w:pPr>
          </w:p>
          <w:p w:rsidRDefault="00D72106" w:rsidR="00D72106">
            <w:pPr>
              <w:rPr>
                <w:rFonts w:cs="Arial" w:hAnsi="Cambria" w:ascii="Cambria"/>
                <w:sz w:val="22"/>
                <w:szCs w:val="22"/>
              </w:rPr>
            </w:pPr>
            <w:r>
              <w:rPr>
                <w:rFonts w:cs="Arial" w:hAnsi="Cambria" w:ascii="Cambria"/>
                <w:sz w:val="22"/>
                <w:szCs w:val="22"/>
              </w:rPr>
              <w:t>OBRAČUN POREZA I DOPRINOSA NA DRUGI DOHODAK</w:t>
            </w:r>
          </w:p>
          <w:p w:rsidRDefault="00D72106" w:rsidR="00D72106">
            <w:pPr>
              <w:rPr>
                <w:rFonts w:cs="Arial" w:hAnsi="Cambria" w:ascii="Cambria"/>
                <w:sz w:val="22"/>
                <w:szCs w:val="22"/>
              </w:rPr>
            </w:pPr>
            <w:r>
              <w:rPr>
                <w:rFonts w:cs="Arial" w:hAnsi="Cambria" w:ascii="Cambria"/>
                <w:sz w:val="22"/>
                <w:szCs w:val="22"/>
              </w:rPr>
              <w:t>(čl. 32 i 48. Zakona o porezu na dohodak NN 73/08 )</w:t>
            </w:r>
          </w:p>
        </w:tc>
        <w:tc>
          <w:tcPr>
            <w:tcW w:type="dxa" w:w="1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72106" w:rsidR="00D72106">
            <w:pPr>
              <w:jc w:val="right"/>
              <w:rPr>
                <w:rFonts w:cs="Arial" w:hAnsi="Cambria" w:ascii="Cambria"/>
                <w:sz w:val="22"/>
                <w:szCs w:val="22"/>
              </w:rPr>
            </w:pPr>
          </w:p>
          <w:p w:rsidRDefault="00D72106" w:rsidR="00D72106">
            <w:pPr>
              <w:jc w:val="right"/>
              <w:rPr>
                <w:rFonts w:cs="Arial" w:hAnsi="Cambria" w:ascii="Cambria"/>
                <w:sz w:val="22"/>
                <w:szCs w:val="22"/>
              </w:rPr>
            </w:pPr>
          </w:p>
        </w:tc>
      </w:tr>
      <w:tr w:rsidTr="00D72106" w:rsidR="00D72106">
        <w:trPr>
          <w:trHeight w:val="525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72106" w:rsidR="00D72106">
            <w:pPr>
              <w:rPr>
                <w:rFonts w:cs="Arial" w:hAnsi="Cambria" w:ascii="Cambria"/>
                <w:sz w:val="22"/>
                <w:szCs w:val="22"/>
              </w:rPr>
            </w:pPr>
          </w:p>
          <w:p w:rsidRDefault="00D72106" w:rsidR="00D72106">
            <w:pPr>
              <w:rPr>
                <w:rFonts w:cs="Arial" w:hAnsi="Cambria" w:ascii="Cambria"/>
                <w:sz w:val="22"/>
                <w:szCs w:val="22"/>
              </w:rPr>
            </w:pPr>
            <w:r>
              <w:rPr>
                <w:rFonts w:cs="Arial" w:hAnsi="Cambria" w:ascii="Cambria"/>
                <w:sz w:val="22"/>
                <w:szCs w:val="22"/>
              </w:rPr>
              <w:t>2.</w:t>
            </w:r>
          </w:p>
        </w:tc>
        <w:tc>
          <w:tcPr>
            <w:tcW w:type="dxa" w:w="6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2106" w:rsidR="00D72106">
            <w:pPr>
              <w:pStyle w:val="t-12-9-fett-s"/>
            </w:pPr>
            <w:r>
              <w:rPr>
                <w:rFonts w:cs="Arial" w:hAnsi="Cambria" w:ascii="Cambria"/>
                <w:sz w:val="22"/>
                <w:szCs w:val="22"/>
              </w:rPr>
              <w:t xml:space="preserve">osnovica za obračun  doprinosa za mirovinsko osiguranje – BRUTO 1 – utvrđena temeljem čl. 15. Uredbe </w:t>
            </w:r>
            <w:r>
              <w:t>o kriterijima i načinu obračuna i plaćanja nagrade stečajnim upraviteljima</w:t>
            </w:r>
          </w:p>
        </w:tc>
        <w:tc>
          <w:tcPr>
            <w:tcW w:type="dxa" w:w="1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2106" w:rsidR="00D72106">
            <w:pPr>
              <w:jc w:val="right"/>
              <w:rPr>
                <w:rFonts w:cs="Arial" w:hAnsi="Cambria" w:ascii="Cambria"/>
                <w:sz w:val="22"/>
                <w:szCs w:val="22"/>
              </w:rPr>
            </w:pPr>
            <w:r>
              <w:rPr>
                <w:rFonts w:cs="Arial" w:hAnsi="Cambria" w:ascii="Cambria"/>
                <w:sz w:val="22"/>
                <w:szCs w:val="22"/>
              </w:rPr>
              <w:t>45.387,33</w:t>
            </w:r>
          </w:p>
        </w:tc>
      </w:tr>
      <w:tr w:rsidTr="00D72106" w:rsidR="00D72106">
        <w:trPr>
          <w:trHeight w:val="540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72106" w:rsidR="00D72106">
            <w:pPr>
              <w:rPr>
                <w:rFonts w:cs="Arial" w:hAnsi="Cambria" w:ascii="Cambria"/>
                <w:sz w:val="22"/>
                <w:szCs w:val="22"/>
              </w:rPr>
            </w:pPr>
          </w:p>
          <w:p w:rsidRDefault="00D72106" w:rsidR="00D72106">
            <w:pPr>
              <w:rPr>
                <w:rFonts w:cs="Arial" w:hAnsi="Cambria" w:ascii="Cambria"/>
                <w:sz w:val="22"/>
                <w:szCs w:val="22"/>
              </w:rPr>
            </w:pPr>
            <w:r>
              <w:rPr>
                <w:rFonts w:cs="Arial" w:hAnsi="Cambria" w:ascii="Cambria"/>
                <w:sz w:val="22"/>
                <w:szCs w:val="22"/>
              </w:rPr>
              <w:t>3.</w:t>
            </w:r>
          </w:p>
        </w:tc>
        <w:tc>
          <w:tcPr>
            <w:tcW w:type="dxa" w:w="6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2106" w:rsidR="00D72106">
            <w:pPr>
              <w:rPr>
                <w:rFonts w:cs="Arial" w:hAnsi="Cambria" w:ascii="Cambria"/>
                <w:sz w:val="22"/>
                <w:szCs w:val="22"/>
              </w:rPr>
            </w:pPr>
            <w:r>
              <w:rPr>
                <w:rFonts w:cs="Arial" w:hAnsi="Cambria" w:ascii="Cambria"/>
                <w:sz w:val="22"/>
                <w:szCs w:val="22"/>
              </w:rPr>
              <w:t>mirovinsko 1.stup (7,5%)</w:t>
            </w:r>
          </w:p>
          <w:p w:rsidRDefault="00D72106" w:rsidR="00D72106">
            <w:pPr>
              <w:rPr>
                <w:rFonts w:cs="Arial" w:hAnsi="Cambria" w:ascii="Cambria"/>
                <w:sz w:val="22"/>
                <w:szCs w:val="22"/>
              </w:rPr>
            </w:pPr>
            <w:r>
              <w:rPr>
                <w:rFonts w:cs="Arial" w:hAnsi="Cambria" w:ascii="Cambria"/>
                <w:sz w:val="22"/>
                <w:szCs w:val="22"/>
              </w:rPr>
              <w:t>mirovinsko 2.stup ( 2,5%)</w:t>
            </w:r>
          </w:p>
        </w:tc>
        <w:tc>
          <w:tcPr>
            <w:tcW w:type="dxa" w:w="1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2106" w:rsidR="00D72106">
            <w:pPr>
              <w:jc w:val="right"/>
              <w:rPr>
                <w:rFonts w:cs="Arial" w:hAnsi="Cambria" w:ascii="Cambria"/>
                <w:sz w:val="22"/>
                <w:szCs w:val="22"/>
              </w:rPr>
            </w:pPr>
            <w:r>
              <w:rPr>
                <w:rFonts w:cs="Arial" w:hAnsi="Cambria" w:ascii="Cambria"/>
                <w:sz w:val="22"/>
                <w:szCs w:val="22"/>
              </w:rPr>
              <w:t>3.404,05</w:t>
            </w:r>
          </w:p>
          <w:p w:rsidRDefault="00D72106" w:rsidR="00D72106">
            <w:pPr>
              <w:jc w:val="right"/>
              <w:rPr>
                <w:rFonts w:cs="Arial" w:hAnsi="Cambria" w:ascii="Cambria"/>
                <w:sz w:val="22"/>
                <w:szCs w:val="22"/>
              </w:rPr>
            </w:pPr>
            <w:r>
              <w:rPr>
                <w:rFonts w:cs="Arial" w:hAnsi="Cambria" w:ascii="Cambria"/>
                <w:sz w:val="22"/>
                <w:szCs w:val="22"/>
              </w:rPr>
              <w:t>1.134,68</w:t>
            </w:r>
          </w:p>
        </w:tc>
      </w:tr>
      <w:tr w:rsidTr="00D72106" w:rsidR="00D72106">
        <w:trPr>
          <w:trHeight w:val="525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72106" w:rsidR="00D72106">
            <w:pPr>
              <w:rPr>
                <w:rFonts w:cs="Arial" w:hAnsi="Cambria" w:ascii="Cambria"/>
                <w:sz w:val="22"/>
                <w:szCs w:val="22"/>
              </w:rPr>
            </w:pPr>
          </w:p>
          <w:p w:rsidRDefault="00D72106" w:rsidR="00D72106">
            <w:pPr>
              <w:rPr>
                <w:rFonts w:cs="Arial" w:hAnsi="Cambria" w:ascii="Cambria"/>
                <w:sz w:val="22"/>
                <w:szCs w:val="22"/>
              </w:rPr>
            </w:pPr>
            <w:r>
              <w:rPr>
                <w:rFonts w:cs="Arial" w:hAnsi="Cambria" w:ascii="Cambria"/>
                <w:sz w:val="22"/>
                <w:szCs w:val="22"/>
              </w:rPr>
              <w:t>4.</w:t>
            </w:r>
          </w:p>
        </w:tc>
        <w:tc>
          <w:tcPr>
            <w:tcW w:type="dxa" w:w="6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72106" w:rsidR="00D72106">
            <w:pPr>
              <w:rPr>
                <w:rFonts w:cs="Arial" w:hAnsi="Cambria" w:ascii="Cambria"/>
                <w:sz w:val="22"/>
                <w:szCs w:val="22"/>
              </w:rPr>
            </w:pPr>
          </w:p>
          <w:p w:rsidRDefault="00D72106" w:rsidR="00D72106">
            <w:pPr>
              <w:rPr>
                <w:rFonts w:cs="Arial" w:hAnsi="Cambria" w:ascii="Cambria"/>
                <w:b/>
                <w:sz w:val="22"/>
                <w:szCs w:val="22"/>
              </w:rPr>
            </w:pPr>
            <w:r>
              <w:rPr>
                <w:rFonts w:cs="Arial" w:hAnsi="Cambria" w:ascii="Cambria"/>
                <w:sz w:val="22"/>
                <w:szCs w:val="22"/>
              </w:rPr>
              <w:t>dohodak ( red.br. 2 – 3= 4 )</w:t>
            </w:r>
          </w:p>
        </w:tc>
        <w:tc>
          <w:tcPr>
            <w:tcW w:type="dxa" w:w="1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72106" w:rsidR="00D72106">
            <w:pPr>
              <w:jc w:val="right"/>
              <w:rPr>
                <w:rFonts w:cs="Arial" w:hAnsi="Cambria" w:ascii="Cambria"/>
                <w:sz w:val="22"/>
                <w:szCs w:val="22"/>
              </w:rPr>
            </w:pPr>
          </w:p>
          <w:p w:rsidRDefault="00D72106" w:rsidR="00D72106">
            <w:pPr>
              <w:jc w:val="right"/>
              <w:rPr>
                <w:rFonts w:cs="Arial" w:hAnsi="Cambria" w:ascii="Cambria"/>
                <w:sz w:val="22"/>
                <w:szCs w:val="22"/>
              </w:rPr>
            </w:pPr>
            <w:r>
              <w:rPr>
                <w:rFonts w:cs="Arial" w:hAnsi="Cambria" w:ascii="Cambria"/>
                <w:sz w:val="22"/>
                <w:szCs w:val="22"/>
              </w:rPr>
              <w:t>40.848,60</w:t>
            </w:r>
          </w:p>
        </w:tc>
      </w:tr>
      <w:tr w:rsidTr="00D72106" w:rsidR="00D72106">
        <w:trPr>
          <w:trHeight w:val="720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72106" w:rsidR="00D72106">
            <w:pPr>
              <w:rPr>
                <w:rFonts w:cs="Arial" w:hAnsi="Cambria" w:ascii="Cambria"/>
                <w:sz w:val="22"/>
                <w:szCs w:val="22"/>
              </w:rPr>
            </w:pPr>
          </w:p>
          <w:p w:rsidRDefault="00D72106" w:rsidR="00D72106">
            <w:pPr>
              <w:rPr>
                <w:rFonts w:cs="Arial" w:hAnsi="Cambria" w:ascii="Cambria"/>
                <w:sz w:val="22"/>
                <w:szCs w:val="22"/>
              </w:rPr>
            </w:pPr>
          </w:p>
          <w:p w:rsidRDefault="00D72106" w:rsidR="00D72106">
            <w:pPr>
              <w:rPr>
                <w:rFonts w:cs="Arial" w:hAnsi="Cambria" w:ascii="Cambria"/>
                <w:sz w:val="22"/>
                <w:szCs w:val="22"/>
              </w:rPr>
            </w:pPr>
            <w:r>
              <w:rPr>
                <w:rFonts w:cs="Arial" w:hAnsi="Cambria" w:ascii="Cambria"/>
                <w:sz w:val="22"/>
                <w:szCs w:val="22"/>
              </w:rPr>
              <w:t>5.</w:t>
            </w:r>
          </w:p>
        </w:tc>
        <w:tc>
          <w:tcPr>
            <w:tcW w:type="dxa" w:w="6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72106" w:rsidR="00D72106">
            <w:pPr>
              <w:rPr>
                <w:rFonts w:cs="Arial" w:hAnsi="Cambria" w:ascii="Cambria"/>
                <w:sz w:val="22"/>
                <w:szCs w:val="22"/>
              </w:rPr>
            </w:pPr>
          </w:p>
          <w:p w:rsidRDefault="00D72106" w:rsidR="00D72106">
            <w:pPr>
              <w:rPr>
                <w:rFonts w:cs="Arial" w:hAnsi="Cambria" w:ascii="Cambria"/>
                <w:sz w:val="22"/>
                <w:szCs w:val="22"/>
              </w:rPr>
            </w:pPr>
            <w:r>
              <w:rPr>
                <w:rFonts w:cs="Arial" w:hAnsi="Cambria" w:ascii="Cambria"/>
                <w:sz w:val="22"/>
                <w:szCs w:val="22"/>
              </w:rPr>
              <w:t>porez ( br. 4 * 24% )</w:t>
            </w:r>
          </w:p>
          <w:p w:rsidRDefault="00D72106" w:rsidR="00D72106">
            <w:pPr>
              <w:rPr>
                <w:rFonts w:cs="Arial" w:hAnsi="Cambria" w:ascii="Cambria"/>
                <w:sz w:val="22"/>
                <w:szCs w:val="22"/>
              </w:rPr>
            </w:pPr>
            <w:r>
              <w:rPr>
                <w:rFonts w:cs="Arial" w:hAnsi="Cambria" w:ascii="Cambria"/>
                <w:sz w:val="22"/>
                <w:szCs w:val="22"/>
              </w:rPr>
              <w:t>prirez ( br. 5* 12%) (grad Velika Gorica)( NN 115/01)</w:t>
            </w:r>
          </w:p>
        </w:tc>
        <w:tc>
          <w:tcPr>
            <w:tcW w:type="dxa" w:w="1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72106" w:rsidR="00D72106">
            <w:pPr>
              <w:jc w:val="right"/>
              <w:rPr>
                <w:rFonts w:cs="Arial" w:hAnsi="Cambria" w:ascii="Cambria"/>
                <w:sz w:val="22"/>
                <w:szCs w:val="22"/>
              </w:rPr>
            </w:pPr>
          </w:p>
          <w:p w:rsidRDefault="00D72106" w:rsidR="00D72106">
            <w:pPr>
              <w:jc w:val="right"/>
              <w:rPr>
                <w:rFonts w:cs="Arial" w:hAnsi="Cambria" w:ascii="Cambria"/>
                <w:sz w:val="22"/>
                <w:szCs w:val="22"/>
              </w:rPr>
            </w:pPr>
            <w:r>
              <w:rPr>
                <w:rFonts w:cs="Arial" w:hAnsi="Cambria" w:ascii="Cambria"/>
                <w:sz w:val="22"/>
                <w:szCs w:val="22"/>
              </w:rPr>
              <w:t>9.803,66</w:t>
            </w:r>
          </w:p>
          <w:p w:rsidRDefault="00D72106" w:rsidR="00D72106">
            <w:pPr>
              <w:jc w:val="right"/>
              <w:rPr>
                <w:rFonts w:cs="Arial" w:hAnsi="Cambria" w:ascii="Cambria"/>
                <w:sz w:val="22"/>
                <w:szCs w:val="22"/>
              </w:rPr>
            </w:pPr>
            <w:r>
              <w:rPr>
                <w:rFonts w:cs="Arial" w:hAnsi="Cambria" w:ascii="Cambria"/>
                <w:sz w:val="22"/>
                <w:szCs w:val="22"/>
              </w:rPr>
              <w:t>1.176,44</w:t>
            </w:r>
          </w:p>
        </w:tc>
      </w:tr>
      <w:tr w:rsidTr="00D72106" w:rsidR="00D72106">
        <w:trPr>
          <w:trHeight w:val="465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72106" w:rsidR="00D72106">
            <w:pPr>
              <w:rPr>
                <w:rFonts w:cs="Arial" w:hAnsi="Cambria" w:ascii="Cambria"/>
                <w:sz w:val="22"/>
                <w:szCs w:val="22"/>
              </w:rPr>
            </w:pPr>
          </w:p>
          <w:p w:rsidRDefault="00D72106" w:rsidR="00D72106">
            <w:pPr>
              <w:rPr>
                <w:rFonts w:cs="Arial" w:hAnsi="Cambria" w:ascii="Cambria"/>
                <w:sz w:val="22"/>
                <w:szCs w:val="22"/>
              </w:rPr>
            </w:pPr>
            <w:r>
              <w:rPr>
                <w:rFonts w:cs="Arial" w:hAnsi="Cambria" w:ascii="Cambria"/>
                <w:sz w:val="22"/>
                <w:szCs w:val="22"/>
              </w:rPr>
              <w:t>6.</w:t>
            </w:r>
          </w:p>
        </w:tc>
        <w:tc>
          <w:tcPr>
            <w:tcW w:type="dxa" w:w="6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72106" w:rsidR="00D72106">
            <w:pPr>
              <w:rPr>
                <w:rFonts w:cs="Arial" w:hAnsi="Cambria" w:ascii="Cambria"/>
                <w:sz w:val="22"/>
                <w:szCs w:val="22"/>
              </w:rPr>
            </w:pPr>
          </w:p>
          <w:p w:rsidRDefault="00D72106" w:rsidR="00D72106">
            <w:pPr>
              <w:rPr>
                <w:rFonts w:cs="Arial" w:hAnsi="Cambria" w:ascii="Cambria"/>
                <w:sz w:val="22"/>
                <w:szCs w:val="22"/>
              </w:rPr>
            </w:pPr>
            <w:r>
              <w:rPr>
                <w:rFonts w:cs="Arial" w:hAnsi="Cambria" w:ascii="Cambria"/>
                <w:sz w:val="22"/>
                <w:szCs w:val="22"/>
              </w:rPr>
              <w:t xml:space="preserve">ukupno porez i prirez </w:t>
            </w:r>
          </w:p>
        </w:tc>
        <w:tc>
          <w:tcPr>
            <w:tcW w:type="dxa" w:w="1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72106" w:rsidR="00D72106">
            <w:pPr>
              <w:jc w:val="right"/>
              <w:rPr>
                <w:rFonts w:cs="Arial" w:hAnsi="Cambria" w:ascii="Cambria"/>
                <w:sz w:val="22"/>
                <w:szCs w:val="22"/>
              </w:rPr>
            </w:pPr>
          </w:p>
          <w:p w:rsidRDefault="00D72106" w:rsidR="00D72106">
            <w:pPr>
              <w:jc w:val="right"/>
              <w:rPr>
                <w:rFonts w:cs="Arial" w:hAnsi="Cambria" w:ascii="Cambria"/>
                <w:sz w:val="22"/>
                <w:szCs w:val="22"/>
              </w:rPr>
            </w:pPr>
            <w:r>
              <w:rPr>
                <w:rFonts w:cs="Arial" w:hAnsi="Cambria" w:ascii="Cambria"/>
                <w:sz w:val="22"/>
                <w:szCs w:val="22"/>
              </w:rPr>
              <w:t>10.980,10</w:t>
            </w:r>
          </w:p>
        </w:tc>
      </w:tr>
      <w:tr w:rsidTr="00D72106" w:rsidR="00D72106">
        <w:trPr>
          <w:trHeight w:val="540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72106" w:rsidR="00D72106">
            <w:pPr>
              <w:rPr>
                <w:rFonts w:cs="Arial" w:hAnsi="Cambria" w:ascii="Cambria"/>
                <w:b/>
                <w:sz w:val="22"/>
                <w:szCs w:val="22"/>
              </w:rPr>
            </w:pPr>
          </w:p>
          <w:p w:rsidRDefault="00D72106" w:rsidR="00D72106">
            <w:pPr>
              <w:rPr>
                <w:rFonts w:cs="Arial" w:hAnsi="Cambria" w:ascii="Cambria"/>
                <w:b/>
                <w:sz w:val="22"/>
                <w:szCs w:val="22"/>
              </w:rPr>
            </w:pPr>
            <w:r>
              <w:rPr>
                <w:rFonts w:cs="Arial" w:hAnsi="Cambria" w:ascii="Cambria"/>
                <w:b/>
                <w:sz w:val="22"/>
                <w:szCs w:val="22"/>
              </w:rPr>
              <w:t>7.</w:t>
            </w:r>
          </w:p>
        </w:tc>
        <w:tc>
          <w:tcPr>
            <w:tcW w:type="dxa" w:w="6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72106" w:rsidR="00D72106">
            <w:pPr>
              <w:rPr>
                <w:rFonts w:cs="Arial" w:hAnsi="Cambria" w:ascii="Cambria"/>
                <w:b/>
                <w:sz w:val="22"/>
                <w:szCs w:val="22"/>
              </w:rPr>
            </w:pPr>
          </w:p>
          <w:p w:rsidRDefault="00D72106" w:rsidR="00D72106">
            <w:pPr>
              <w:rPr>
                <w:rFonts w:cs="Arial" w:hAnsi="Cambria" w:ascii="Cambria"/>
                <w:b/>
                <w:sz w:val="22"/>
                <w:szCs w:val="22"/>
              </w:rPr>
            </w:pPr>
            <w:r>
              <w:rPr>
                <w:rFonts w:cs="Arial" w:hAnsi="Cambria" w:ascii="Cambria"/>
                <w:b/>
                <w:sz w:val="22"/>
                <w:szCs w:val="22"/>
              </w:rPr>
              <w:t>neto primitak (red.br. 4 – 6)</w:t>
            </w:r>
          </w:p>
        </w:tc>
        <w:tc>
          <w:tcPr>
            <w:tcW w:type="dxa" w:w="1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72106" w:rsidR="00D72106">
            <w:pPr>
              <w:jc w:val="right"/>
              <w:rPr>
                <w:rFonts w:cs="Arial" w:hAnsi="Cambria" w:ascii="Cambria"/>
                <w:b/>
                <w:sz w:val="22"/>
                <w:szCs w:val="22"/>
              </w:rPr>
            </w:pPr>
          </w:p>
          <w:p w:rsidRDefault="00D72106" w:rsidR="00D72106">
            <w:pPr>
              <w:jc w:val="right"/>
              <w:rPr>
                <w:rFonts w:cs="Arial" w:hAnsi="Cambria" w:ascii="Cambria"/>
                <w:b/>
                <w:sz w:val="22"/>
                <w:szCs w:val="22"/>
              </w:rPr>
            </w:pPr>
            <w:r>
              <w:rPr>
                <w:rFonts w:cs="Arial" w:hAnsi="Cambria" w:ascii="Cambria"/>
                <w:b/>
                <w:sz w:val="22"/>
                <w:szCs w:val="22"/>
              </w:rPr>
              <w:t>29.868,50</w:t>
            </w:r>
          </w:p>
        </w:tc>
      </w:tr>
      <w:tr w:rsidTr="00D72106" w:rsidR="00D72106">
        <w:trPr>
          <w:trHeight w:val="525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72106" w:rsidR="00D72106">
            <w:pPr>
              <w:rPr>
                <w:rFonts w:cs="Arial" w:hAnsi="Cambria" w:ascii="Cambria"/>
                <w:sz w:val="22"/>
                <w:szCs w:val="22"/>
              </w:rPr>
            </w:pPr>
          </w:p>
        </w:tc>
        <w:tc>
          <w:tcPr>
            <w:tcW w:type="dxa" w:w="6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72106" w:rsidR="00D72106">
            <w:pPr>
              <w:rPr>
                <w:rFonts w:cs="Arial" w:hAnsi="Cambria" w:ascii="Cambria"/>
                <w:sz w:val="22"/>
                <w:szCs w:val="22"/>
              </w:rPr>
            </w:pPr>
          </w:p>
          <w:p w:rsidRDefault="00D72106" w:rsidR="00D72106">
            <w:pPr>
              <w:rPr>
                <w:rFonts w:cs="Arial" w:hAnsi="Cambria" w:ascii="Cambria"/>
                <w:sz w:val="22"/>
                <w:szCs w:val="22"/>
              </w:rPr>
            </w:pPr>
          </w:p>
          <w:p w:rsidRDefault="00D72106" w:rsidR="00D72106">
            <w:pPr>
              <w:rPr>
                <w:rFonts w:cs="Arial" w:hAnsi="Cambria" w:ascii="Cambria"/>
                <w:sz w:val="22"/>
                <w:szCs w:val="22"/>
              </w:rPr>
            </w:pPr>
            <w:r>
              <w:rPr>
                <w:rFonts w:cs="Arial" w:hAnsi="Cambria" w:ascii="Cambria"/>
                <w:sz w:val="22"/>
                <w:szCs w:val="22"/>
              </w:rPr>
              <w:t>doprinosi na drugi dohodak</w:t>
            </w:r>
          </w:p>
        </w:tc>
        <w:tc>
          <w:tcPr>
            <w:tcW w:type="dxa" w:w="1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72106" w:rsidR="00D72106">
            <w:pPr>
              <w:jc w:val="right"/>
              <w:rPr>
                <w:rFonts w:cs="Arial" w:hAnsi="Cambria" w:ascii="Cambria"/>
                <w:sz w:val="22"/>
                <w:szCs w:val="22"/>
              </w:rPr>
            </w:pPr>
          </w:p>
        </w:tc>
      </w:tr>
      <w:tr w:rsidTr="00D72106" w:rsidR="00D72106">
        <w:trPr>
          <w:trHeight w:val="705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72106" w:rsidR="00D72106">
            <w:pPr>
              <w:rPr>
                <w:rFonts w:cs="Arial" w:hAnsi="Cambria" w:ascii="Cambria"/>
                <w:sz w:val="22"/>
                <w:szCs w:val="22"/>
              </w:rPr>
            </w:pPr>
          </w:p>
          <w:p w:rsidRDefault="00D72106" w:rsidR="00D72106">
            <w:pPr>
              <w:rPr>
                <w:rFonts w:cs="Arial" w:hAnsi="Cambria" w:ascii="Cambria"/>
                <w:sz w:val="22"/>
                <w:szCs w:val="22"/>
              </w:rPr>
            </w:pPr>
            <w:r>
              <w:rPr>
                <w:rFonts w:cs="Arial" w:hAnsi="Cambria" w:ascii="Cambria"/>
                <w:sz w:val="22"/>
                <w:szCs w:val="22"/>
              </w:rPr>
              <w:t>8.</w:t>
            </w:r>
          </w:p>
        </w:tc>
        <w:tc>
          <w:tcPr>
            <w:tcW w:type="dxa" w:w="6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72106" w:rsidR="00D72106">
            <w:pPr>
              <w:rPr>
                <w:rFonts w:cs="Arial" w:hAnsi="Cambria" w:ascii="Cambria"/>
                <w:sz w:val="22"/>
                <w:szCs w:val="22"/>
              </w:rPr>
            </w:pPr>
          </w:p>
          <w:p w:rsidRDefault="00D72106" w:rsidR="00D72106">
            <w:pPr>
              <w:rPr>
                <w:rFonts w:cs="Arial" w:hAnsi="Cambria" w:ascii="Cambria"/>
                <w:sz w:val="22"/>
                <w:szCs w:val="22"/>
              </w:rPr>
            </w:pPr>
            <w:r>
              <w:rPr>
                <w:rFonts w:cs="Arial" w:hAnsi="Cambria" w:ascii="Cambria"/>
                <w:sz w:val="22"/>
                <w:szCs w:val="22"/>
              </w:rPr>
              <w:t>doprinos za zdravstveno osiguranje ( 45.387,33 * 7,5%)</w:t>
            </w:r>
          </w:p>
        </w:tc>
        <w:tc>
          <w:tcPr>
            <w:tcW w:type="dxa" w:w="1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72106" w:rsidR="00D72106">
            <w:pPr>
              <w:jc w:val="right"/>
              <w:rPr>
                <w:rFonts w:cs="Arial" w:hAnsi="Cambria" w:ascii="Cambria"/>
                <w:sz w:val="22"/>
                <w:szCs w:val="22"/>
              </w:rPr>
            </w:pPr>
          </w:p>
          <w:p w:rsidRDefault="00D72106" w:rsidR="00D72106">
            <w:pPr>
              <w:jc w:val="right"/>
              <w:rPr>
                <w:rFonts w:cs="Arial" w:hAnsi="Cambria" w:ascii="Cambria"/>
                <w:sz w:val="22"/>
                <w:szCs w:val="22"/>
              </w:rPr>
            </w:pPr>
            <w:r>
              <w:rPr>
                <w:rFonts w:cs="Arial" w:hAnsi="Cambria" w:ascii="Cambria"/>
                <w:sz w:val="22"/>
                <w:szCs w:val="22"/>
              </w:rPr>
              <w:t>3.404,05</w:t>
            </w:r>
          </w:p>
        </w:tc>
      </w:tr>
      <w:tr w:rsidTr="00D72106" w:rsidR="00D72106">
        <w:trPr>
          <w:trHeight w:val="480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72106" w:rsidR="00D72106">
            <w:pPr>
              <w:rPr>
                <w:rFonts w:cs="Arial" w:hAnsi="Cambria" w:ascii="Cambria"/>
                <w:sz w:val="22"/>
                <w:szCs w:val="22"/>
              </w:rPr>
            </w:pPr>
          </w:p>
          <w:p w:rsidRDefault="00D72106" w:rsidR="00D72106">
            <w:pPr>
              <w:rPr>
                <w:rFonts w:cs="Arial" w:hAnsi="Cambria" w:ascii="Cambria"/>
                <w:sz w:val="22"/>
                <w:szCs w:val="22"/>
              </w:rPr>
            </w:pPr>
            <w:r>
              <w:rPr>
                <w:rFonts w:cs="Arial" w:hAnsi="Cambria" w:ascii="Cambria"/>
                <w:sz w:val="22"/>
                <w:szCs w:val="22"/>
              </w:rPr>
              <w:t>9.</w:t>
            </w:r>
          </w:p>
        </w:tc>
        <w:tc>
          <w:tcPr>
            <w:tcW w:type="dxa" w:w="6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72106" w:rsidR="00D72106">
            <w:pPr>
              <w:rPr>
                <w:rFonts w:cs="Arial" w:hAnsi="Cambria" w:ascii="Cambria"/>
                <w:sz w:val="22"/>
                <w:szCs w:val="22"/>
              </w:rPr>
            </w:pPr>
          </w:p>
          <w:p w:rsidRDefault="00D72106" w:rsidR="00D72106">
            <w:pPr>
              <w:rPr>
                <w:rFonts w:cs="Arial" w:hAnsi="Cambria" w:ascii="Cambria"/>
                <w:sz w:val="22"/>
                <w:szCs w:val="22"/>
              </w:rPr>
            </w:pPr>
            <w:r>
              <w:rPr>
                <w:rFonts w:cs="Arial" w:hAnsi="Cambria" w:ascii="Cambria"/>
                <w:sz w:val="22"/>
                <w:szCs w:val="22"/>
              </w:rPr>
              <w:t>ukupni trošak isplatitelja ( 1 + 8 = 9 ) – BRUTO 2</w:t>
            </w:r>
          </w:p>
          <w:p w:rsidRDefault="00D72106" w:rsidR="00D72106">
            <w:pPr>
              <w:rPr>
                <w:rFonts w:cs="Arial" w:hAnsi="Cambria" w:ascii="Cambria"/>
                <w:sz w:val="22"/>
                <w:szCs w:val="22"/>
              </w:rPr>
            </w:pPr>
          </w:p>
        </w:tc>
        <w:tc>
          <w:tcPr>
            <w:tcW w:type="dxa" w:w="1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72106" w:rsidR="00D72106">
            <w:pPr>
              <w:jc w:val="right"/>
              <w:rPr>
                <w:rFonts w:cs="Arial" w:hAnsi="Cambria" w:ascii="Cambria"/>
                <w:sz w:val="22"/>
                <w:szCs w:val="22"/>
              </w:rPr>
            </w:pPr>
          </w:p>
          <w:p w:rsidRDefault="00D72106" w:rsidR="00D72106">
            <w:pPr>
              <w:jc w:val="right"/>
              <w:rPr>
                <w:rFonts w:cs="Arial" w:hAnsi="Cambria" w:ascii="Cambria"/>
                <w:sz w:val="22"/>
                <w:szCs w:val="22"/>
              </w:rPr>
            </w:pPr>
            <w:r>
              <w:rPr>
                <w:rFonts w:cs="Arial" w:hAnsi="Cambria" w:ascii="Cambria"/>
                <w:sz w:val="22"/>
                <w:szCs w:val="22"/>
              </w:rPr>
              <w:t>48.791,38</w:t>
            </w:r>
          </w:p>
        </w:tc>
      </w:tr>
      <w:tr w:rsidTr="00D72106" w:rsidR="00D72106">
        <w:trPr>
          <w:trHeight w:val="510"/>
        </w:trPr>
        <w:tc>
          <w:tcPr>
            <w:tcW w:type="dxa" w:w="9000"/>
            <w:gridSpan w:val="3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D72106" w:rsidR="00D72106">
            <w:pPr>
              <w:rPr>
                <w:rFonts w:cs="Arial" w:hAnsi="Cambria" w:ascii="Cambria"/>
                <w:sz w:val="22"/>
                <w:szCs w:val="22"/>
              </w:rPr>
            </w:pPr>
          </w:p>
          <w:p w:rsidRDefault="00D72106" w:rsidR="00D72106">
            <w:pPr>
              <w:rPr>
                <w:rFonts w:cs="Arial" w:hAnsi="Cambria" w:ascii="Cambria"/>
                <w:sz w:val="22"/>
                <w:szCs w:val="22"/>
              </w:rPr>
            </w:pPr>
          </w:p>
          <w:p w:rsidRDefault="00D72106" w:rsidR="00D72106">
            <w:pPr>
              <w:jc w:val="right"/>
              <w:rPr>
                <w:rFonts w:cs="Arial" w:hAnsi="Cambria" w:ascii="Cambria"/>
                <w:sz w:val="22"/>
                <w:szCs w:val="22"/>
              </w:rPr>
            </w:pPr>
          </w:p>
          <w:p w:rsidRDefault="00D72106" w:rsidR="00D72106">
            <w:pPr>
              <w:jc w:val="center"/>
              <w:rPr>
                <w:rFonts w:cs="Arial" w:hAnsi="Cambria" w:ascii="Cambria"/>
                <w:sz w:val="22"/>
                <w:szCs w:val="22"/>
              </w:rPr>
            </w:pPr>
          </w:p>
        </w:tc>
      </w:tr>
    </w:tbl>
    <w:p w:rsidRDefault="00D72106" w:rsidP="00D72106" w:rsidR="00D72106">
      <w:pPr>
        <w:rPr>
          <w:rFonts w:cs="Arial" w:hAnsi="Arial" w:ascii="Arial"/>
          <w:sz w:val="22"/>
          <w:szCs w:val="22"/>
        </w:rPr>
      </w:pPr>
    </w:p>
    <w:p w:rsidRDefault="00AD79ED" w:rsidP="00052ECE" w:rsidR="00AD79ED">
      <w:pPr>
        <w:jc w:val="both"/>
        <w:rPr>
          <w:rFonts w:hAnsi="Cambria" w:ascii="Cambria"/>
        </w:rPr>
      </w:pPr>
    </w:p>
    <w:sectPr w:rsidSect="00D05250" w:rsidR="00AD79ED">
      <w:footerReference w:type="even" r:id="rId9"/>
      <w:footerReference w:type="default" r:id="rId10"/>
      <w:pgSz w:h="15840" w:w="12240"/>
      <w:pgMar w:gutter="0" w:footer="708" w:header="708" w:left="1800" w:bottom="1276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1984" w:rsidR="008B1984">
      <w:r>
        <w:separator/>
      </w:r>
    </w:p>
  </w:endnote>
  <w:endnote w:id="0" w:type="continuationSeparator">
    <w:p w:rsidRDefault="008B1984" w:rsidR="008B19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582" w:rsidP="00E3373C" w:rsidR="0075758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57582" w:rsidP="00EA5B34" w:rsidR="0075758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582" w:rsidP="00E3373C" w:rsidR="0075758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210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57582" w:rsidP="00EA5B34" w:rsidR="0075758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1984" w:rsidR="008B1984">
      <w:r>
        <w:separator/>
      </w:r>
    </w:p>
  </w:footnote>
  <w:footnote w:id="0" w:type="continuationSeparator">
    <w:p w:rsidRDefault="008B1984" w:rsidR="008B198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3695A"/>
    <w:multiLevelType w:val="hybridMultilevel"/>
    <w:tmpl w:val="F0B2A484"/>
    <w:lvl w:tplc="824650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56C21E8"/>
    <w:multiLevelType w:val="hybridMultilevel"/>
    <w:tmpl w:val="200CDAB6"/>
    <w:lvl w:tplc="6D3AE8E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4314B812" w:ilvl="1">
      <w:start w:val="1"/>
      <w:numFmt w:val="decimal"/>
      <w:lvlText w:val="%2)"/>
      <w:lvlJc w:val="left"/>
      <w:pPr>
        <w:tabs>
          <w:tab w:pos="1080" w:val="num"/>
        </w:tabs>
        <w:ind w:hanging="360" w:left="1080"/>
      </w:pPr>
      <w:rPr>
        <w:b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71D1315"/>
    <w:multiLevelType w:val="hybridMultilevel"/>
    <w:tmpl w:val="887A18B6"/>
    <w:lvl w:tplc="04090001" w:ilvl="0">
      <w:start w:val="1"/>
      <w:numFmt w:val="bullet"/>
      <w:lvlText w:val=""/>
      <w:lvlJc w:val="left"/>
      <w:pPr>
        <w:tabs>
          <w:tab w:pos="540" w:val="num"/>
        </w:tabs>
        <w:ind w:hanging="360" w:left="54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260" w:val="num"/>
        </w:tabs>
        <w:ind w:hanging="360" w:left="126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980" w:val="num"/>
        </w:tabs>
        <w:ind w:hanging="360" w:left="19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700" w:val="num"/>
        </w:tabs>
        <w:ind w:hanging="360" w:left="27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420" w:val="num"/>
        </w:tabs>
        <w:ind w:hanging="360" w:left="342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140" w:val="num"/>
        </w:tabs>
        <w:ind w:hanging="360" w:left="41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860" w:val="num"/>
        </w:tabs>
        <w:ind w:hanging="360" w:left="48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580" w:val="num"/>
        </w:tabs>
        <w:ind w:hanging="360" w:left="558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300" w:val="num"/>
        </w:tabs>
        <w:ind w:hanging="360" w:left="6300"/>
      </w:pPr>
      <w:rPr>
        <w:rFonts w:hAnsi="Wingdings" w:ascii="Wingdings" w:hint="default"/>
      </w:rPr>
    </w:lvl>
  </w:abstractNum>
  <w:abstractNum w:abstractNumId="3">
    <w:nsid w:val="07742F14"/>
    <w:multiLevelType w:val="hybridMultilevel"/>
    <w:tmpl w:val="33DE1DD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9A10BE7"/>
    <w:multiLevelType w:val="hybridMultilevel"/>
    <w:tmpl w:val="B388E53A"/>
    <w:lvl w:tplc="6D3AE8E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02E560A"/>
    <w:multiLevelType w:val="hybridMultilevel"/>
    <w:tmpl w:val="55E49EA0"/>
    <w:lvl w:tplc="965E0A9C" w:ilvl="0">
      <w:numFmt w:val="bullet"/>
      <w:lvlText w:val="-"/>
      <w:lvlJc w:val="left"/>
      <w:pPr>
        <w:ind w:hanging="360" w:left="720"/>
      </w:pPr>
      <w:rPr>
        <w:rFonts w:cs="Times New Roman" w:eastAsia="Times New Roman" w:hAnsi="Cambria" w:ascii="Cambri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5EB06F4"/>
    <w:multiLevelType w:val="hybridMultilevel"/>
    <w:tmpl w:val="67024D6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78D23F1"/>
    <w:multiLevelType w:val="hybridMultilevel"/>
    <w:tmpl w:val="875A1674"/>
    <w:lvl w:tplc="6D3AE8E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1A8B03E5"/>
    <w:multiLevelType w:val="hybridMultilevel"/>
    <w:tmpl w:val="5F5CCB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EDB6E8C"/>
    <w:multiLevelType w:val="hybridMultilevel"/>
    <w:tmpl w:val="7A7E918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45C4BEE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F30352E"/>
    <w:multiLevelType w:val="hybridMultilevel"/>
    <w:tmpl w:val="DE84F3AE"/>
    <w:lvl w:tplc="824650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FB93F5C"/>
    <w:multiLevelType w:val="hybridMultilevel"/>
    <w:tmpl w:val="EC96C04A"/>
    <w:lvl w:tplc="334089B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3C74AB8"/>
    <w:multiLevelType w:val="hybridMultilevel"/>
    <w:tmpl w:val="88CA1904"/>
    <w:lvl w:tplc="824650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2594471C"/>
    <w:multiLevelType w:val="hybridMultilevel"/>
    <w:tmpl w:val="9EFCBADE"/>
    <w:lvl w:tplc="041A0003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BEA7249"/>
    <w:multiLevelType w:val="hybridMultilevel"/>
    <w:tmpl w:val="385EBBB0"/>
    <w:lvl w:tplc="6D3AE8E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2E606428"/>
    <w:multiLevelType w:val="hybridMultilevel"/>
    <w:tmpl w:val="7ABABA1E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6">
    <w:nsid w:val="2F6A3185"/>
    <w:multiLevelType w:val="hybridMultilevel"/>
    <w:tmpl w:val="0ACEDE5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3AC0732"/>
    <w:multiLevelType w:val="hybridMultilevel"/>
    <w:tmpl w:val="893EAAB2"/>
    <w:lvl w:tplc="824650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38CA5213"/>
    <w:multiLevelType w:val="hybridMultilevel"/>
    <w:tmpl w:val="59DE2F86"/>
    <w:lvl w:tplc="0409000F" w:ilvl="0">
      <w:start w:val="2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9A6474F"/>
    <w:multiLevelType w:val="hybridMultilevel"/>
    <w:tmpl w:val="BDAE6E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AAF146B"/>
    <w:multiLevelType w:val="hybridMultilevel"/>
    <w:tmpl w:val="8F7851D6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3CBB16AE"/>
    <w:multiLevelType w:val="hybridMultilevel"/>
    <w:tmpl w:val="BF825FDE"/>
    <w:lvl w:tplc="0409000F" w:ilvl="0">
      <w:start w:val="1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F4163DE"/>
    <w:multiLevelType w:val="hybridMultilevel"/>
    <w:tmpl w:val="8E84FF4C"/>
    <w:lvl w:tplc="09F451AC" w:ilvl="0">
      <w:start w:val="1"/>
      <w:numFmt w:val="bullet"/>
      <w:lvlText w:val="-"/>
      <w:lvlJc w:val="left"/>
      <w:pPr>
        <w:ind w:hanging="360" w:left="525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85"/>
      </w:pPr>
      <w:rPr>
        <w:rFonts w:hAnsi="Wingdings" w:ascii="Wingdings" w:hint="default"/>
      </w:rPr>
    </w:lvl>
  </w:abstractNum>
  <w:abstractNum w:abstractNumId="23">
    <w:nsid w:val="41A51853"/>
    <w:multiLevelType w:val="hybridMultilevel"/>
    <w:tmpl w:val="DDB29B8C"/>
    <w:lvl w:tplc="041A0003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4D8245DD"/>
    <w:multiLevelType w:val="hybridMultilevel"/>
    <w:tmpl w:val="4086E8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4EFB3DEA"/>
    <w:multiLevelType w:val="hybridMultilevel"/>
    <w:tmpl w:val="D7404FE8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F6A66B2"/>
    <w:multiLevelType w:val="hybridMultilevel"/>
    <w:tmpl w:val="161C7150"/>
    <w:lvl w:tplc="824650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7">
    <w:nsid w:val="518A6962"/>
    <w:multiLevelType w:val="hybridMultilevel"/>
    <w:tmpl w:val="D82463E6"/>
    <w:lvl w:tplc="F732D0E6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8">
    <w:nsid w:val="54E401D4"/>
    <w:multiLevelType w:val="hybridMultilevel"/>
    <w:tmpl w:val="DCBCDB20"/>
    <w:lvl w:tplc="FFF60DE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55A2823"/>
    <w:multiLevelType w:val="hybridMultilevel"/>
    <w:tmpl w:val="6E08B15C"/>
    <w:lvl w:tplc="D45C4B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7813A44"/>
    <w:multiLevelType w:val="hybridMultilevel"/>
    <w:tmpl w:val="EE92F2B2"/>
    <w:lvl w:tplc="824650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1">
    <w:nsid w:val="5D4A35D0"/>
    <w:multiLevelType w:val="hybridMultilevel"/>
    <w:tmpl w:val="C4F6CAB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7B05B33"/>
    <w:multiLevelType w:val="hybridMultilevel"/>
    <w:tmpl w:val="26D4138E"/>
    <w:lvl w:tplc="F7B8E63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7FC57119"/>
    <w:multiLevelType w:val="hybridMultilevel"/>
    <w:tmpl w:val="28E430B6"/>
    <w:lvl w:tplc="041A0003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29"/>
  </w:num>
  <w:num w:numId="3">
    <w:abstractNumId w:val="3"/>
  </w:num>
  <w:num w:numId="4">
    <w:abstractNumId w:val="16"/>
  </w:num>
  <w:num w:numId="5">
    <w:abstractNumId w:val="11"/>
  </w:num>
  <w:num w:numId="6">
    <w:abstractNumId w:val="25"/>
  </w:num>
  <w:num w:numId="7">
    <w:abstractNumId w:val="21"/>
  </w:num>
  <w:num w:numId="8">
    <w:abstractNumId w:val="18"/>
  </w:num>
  <w:num w:numId="9">
    <w:abstractNumId w:val="28"/>
  </w:num>
  <w:num w:numId="10">
    <w:abstractNumId w:val="15"/>
  </w:num>
  <w:num w:numId="11">
    <w:abstractNumId w:val="19"/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</w:num>
  <w:num w:numId="14">
    <w:abstractNumId w:val="31"/>
  </w:num>
  <w:num w:numId="15">
    <w:abstractNumId w:val="20"/>
  </w:num>
  <w:num w:numId="16">
    <w:abstractNumId w:val="2"/>
  </w:num>
  <w:num w:numId="17">
    <w:abstractNumId w:val="24"/>
  </w:num>
  <w:num w:numId="18">
    <w:abstractNumId w:val="32"/>
  </w:num>
  <w:num w:numId="19">
    <w:abstractNumId w:val="8"/>
  </w:num>
  <w:num w:numId="2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0"/>
  </w:num>
  <w:num w:numId="32">
    <w:abstractNumId w:val="33"/>
  </w:num>
  <w:num w:numId="33">
    <w:abstractNumId w:val="13"/>
  </w:num>
  <w:num w:numId="34">
    <w:abstractNumId w:val="23"/>
  </w:num>
  <w:num w:numId="35">
    <w:abstractNumId w:val="6"/>
  </w:num>
  <w:num w:numId="3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5107"/>
    <w:rsid w:val="000001F7"/>
    <w:rsid w:val="00006598"/>
    <w:rsid w:val="000079AF"/>
    <w:rsid w:val="00012DB8"/>
    <w:rsid w:val="000225C4"/>
    <w:rsid w:val="00023B13"/>
    <w:rsid w:val="00052ECE"/>
    <w:rsid w:val="00062A75"/>
    <w:rsid w:val="0007657B"/>
    <w:rsid w:val="00077923"/>
    <w:rsid w:val="00077AB0"/>
    <w:rsid w:val="000801E2"/>
    <w:rsid w:val="00087427"/>
    <w:rsid w:val="000A6B70"/>
    <w:rsid w:val="000C6B92"/>
    <w:rsid w:val="000D68CE"/>
    <w:rsid w:val="000E5326"/>
    <w:rsid w:val="000F7DE8"/>
    <w:rsid w:val="00101E56"/>
    <w:rsid w:val="00102929"/>
    <w:rsid w:val="00103E42"/>
    <w:rsid w:val="00104C27"/>
    <w:rsid w:val="001339D9"/>
    <w:rsid w:val="00145D77"/>
    <w:rsid w:val="001472E3"/>
    <w:rsid w:val="00147B8C"/>
    <w:rsid w:val="00151857"/>
    <w:rsid w:val="00152D3B"/>
    <w:rsid w:val="00163C00"/>
    <w:rsid w:val="0016650F"/>
    <w:rsid w:val="00174647"/>
    <w:rsid w:val="00177508"/>
    <w:rsid w:val="00181455"/>
    <w:rsid w:val="001860DA"/>
    <w:rsid w:val="001969CB"/>
    <w:rsid w:val="001A4EE9"/>
    <w:rsid w:val="001C5F2F"/>
    <w:rsid w:val="001D5484"/>
    <w:rsid w:val="001D797B"/>
    <w:rsid w:val="001E2F5E"/>
    <w:rsid w:val="00200CA1"/>
    <w:rsid w:val="00243711"/>
    <w:rsid w:val="002477E6"/>
    <w:rsid w:val="00254534"/>
    <w:rsid w:val="00273066"/>
    <w:rsid w:val="00273201"/>
    <w:rsid w:val="00295959"/>
    <w:rsid w:val="00295ADF"/>
    <w:rsid w:val="00296CED"/>
    <w:rsid w:val="002E13A1"/>
    <w:rsid w:val="002E1ABF"/>
    <w:rsid w:val="002F5F1B"/>
    <w:rsid w:val="003024A8"/>
    <w:rsid w:val="003171CF"/>
    <w:rsid w:val="00342625"/>
    <w:rsid w:val="003434AF"/>
    <w:rsid w:val="00343F16"/>
    <w:rsid w:val="00344A5E"/>
    <w:rsid w:val="003508E5"/>
    <w:rsid w:val="00356561"/>
    <w:rsid w:val="00356A3B"/>
    <w:rsid w:val="00361C02"/>
    <w:rsid w:val="00365B95"/>
    <w:rsid w:val="00370BDC"/>
    <w:rsid w:val="00387D26"/>
    <w:rsid w:val="003B489C"/>
    <w:rsid w:val="003C0BB6"/>
    <w:rsid w:val="003D6BF6"/>
    <w:rsid w:val="003E294D"/>
    <w:rsid w:val="003F7957"/>
    <w:rsid w:val="00401125"/>
    <w:rsid w:val="004048D3"/>
    <w:rsid w:val="00420D01"/>
    <w:rsid w:val="00433415"/>
    <w:rsid w:val="0045732B"/>
    <w:rsid w:val="00460377"/>
    <w:rsid w:val="00470255"/>
    <w:rsid w:val="00471251"/>
    <w:rsid w:val="00482027"/>
    <w:rsid w:val="004C0288"/>
    <w:rsid w:val="004C183E"/>
    <w:rsid w:val="004E590C"/>
    <w:rsid w:val="004E67A2"/>
    <w:rsid w:val="004F0E29"/>
    <w:rsid w:val="004F73D4"/>
    <w:rsid w:val="00504CED"/>
    <w:rsid w:val="00526125"/>
    <w:rsid w:val="0052767D"/>
    <w:rsid w:val="00540BD9"/>
    <w:rsid w:val="005428D7"/>
    <w:rsid w:val="0055065D"/>
    <w:rsid w:val="0055402B"/>
    <w:rsid w:val="00557A73"/>
    <w:rsid w:val="0058344D"/>
    <w:rsid w:val="005853C8"/>
    <w:rsid w:val="0058680E"/>
    <w:rsid w:val="005A6C79"/>
    <w:rsid w:val="005B1B18"/>
    <w:rsid w:val="005B6F5C"/>
    <w:rsid w:val="005B7840"/>
    <w:rsid w:val="005C1E59"/>
    <w:rsid w:val="005E7E44"/>
    <w:rsid w:val="005F39D1"/>
    <w:rsid w:val="0060339C"/>
    <w:rsid w:val="0060693F"/>
    <w:rsid w:val="006069D8"/>
    <w:rsid w:val="0060790C"/>
    <w:rsid w:val="006138F0"/>
    <w:rsid w:val="00616CFC"/>
    <w:rsid w:val="00673119"/>
    <w:rsid w:val="006907F9"/>
    <w:rsid w:val="006A207F"/>
    <w:rsid w:val="006A31AE"/>
    <w:rsid w:val="006A7307"/>
    <w:rsid w:val="006D44AD"/>
    <w:rsid w:val="006D6237"/>
    <w:rsid w:val="006E13D3"/>
    <w:rsid w:val="006E67B4"/>
    <w:rsid w:val="006F7FB9"/>
    <w:rsid w:val="00700A69"/>
    <w:rsid w:val="007040CA"/>
    <w:rsid w:val="007177F6"/>
    <w:rsid w:val="00720807"/>
    <w:rsid w:val="007302D6"/>
    <w:rsid w:val="007400AD"/>
    <w:rsid w:val="007451F8"/>
    <w:rsid w:val="007556E4"/>
    <w:rsid w:val="007569B5"/>
    <w:rsid w:val="00757582"/>
    <w:rsid w:val="007601F7"/>
    <w:rsid w:val="0076462D"/>
    <w:rsid w:val="00772462"/>
    <w:rsid w:val="007738C6"/>
    <w:rsid w:val="00796555"/>
    <w:rsid w:val="007C0633"/>
    <w:rsid w:val="007D78A5"/>
    <w:rsid w:val="007E3B4E"/>
    <w:rsid w:val="007E55D5"/>
    <w:rsid w:val="007F675A"/>
    <w:rsid w:val="008011C8"/>
    <w:rsid w:val="00812041"/>
    <w:rsid w:val="0083173B"/>
    <w:rsid w:val="00884BC0"/>
    <w:rsid w:val="00887763"/>
    <w:rsid w:val="008963AC"/>
    <w:rsid w:val="008A3E3A"/>
    <w:rsid w:val="008B1984"/>
    <w:rsid w:val="008B78EF"/>
    <w:rsid w:val="008D59BD"/>
    <w:rsid w:val="008E7AA1"/>
    <w:rsid w:val="008F217F"/>
    <w:rsid w:val="0092067B"/>
    <w:rsid w:val="00922307"/>
    <w:rsid w:val="0094591C"/>
    <w:rsid w:val="00951BB0"/>
    <w:rsid w:val="00972668"/>
    <w:rsid w:val="0097346D"/>
    <w:rsid w:val="00974EFD"/>
    <w:rsid w:val="00975532"/>
    <w:rsid w:val="00981244"/>
    <w:rsid w:val="00981EAB"/>
    <w:rsid w:val="009A02EA"/>
    <w:rsid w:val="009A1CC0"/>
    <w:rsid w:val="009B33CC"/>
    <w:rsid w:val="009C5544"/>
    <w:rsid w:val="009F5CA6"/>
    <w:rsid w:val="009F6786"/>
    <w:rsid w:val="00A0309C"/>
    <w:rsid w:val="00A22FE6"/>
    <w:rsid w:val="00A61451"/>
    <w:rsid w:val="00A67A52"/>
    <w:rsid w:val="00A77302"/>
    <w:rsid w:val="00A776F7"/>
    <w:rsid w:val="00A84513"/>
    <w:rsid w:val="00A84C26"/>
    <w:rsid w:val="00A97228"/>
    <w:rsid w:val="00AC5107"/>
    <w:rsid w:val="00AD79ED"/>
    <w:rsid w:val="00B174EE"/>
    <w:rsid w:val="00B27ECD"/>
    <w:rsid w:val="00B40296"/>
    <w:rsid w:val="00B51CC4"/>
    <w:rsid w:val="00B558AE"/>
    <w:rsid w:val="00B82CD7"/>
    <w:rsid w:val="00BA38AD"/>
    <w:rsid w:val="00BB1C1B"/>
    <w:rsid w:val="00BD2DE4"/>
    <w:rsid w:val="00BD7DD3"/>
    <w:rsid w:val="00BE42F9"/>
    <w:rsid w:val="00BF1D1B"/>
    <w:rsid w:val="00C038A6"/>
    <w:rsid w:val="00C14688"/>
    <w:rsid w:val="00C17FD0"/>
    <w:rsid w:val="00C27F7E"/>
    <w:rsid w:val="00C30F67"/>
    <w:rsid w:val="00C41677"/>
    <w:rsid w:val="00C55A6C"/>
    <w:rsid w:val="00C72DB4"/>
    <w:rsid w:val="00C81996"/>
    <w:rsid w:val="00C840AD"/>
    <w:rsid w:val="00C94C0D"/>
    <w:rsid w:val="00CB10CF"/>
    <w:rsid w:val="00CB1282"/>
    <w:rsid w:val="00CD6B10"/>
    <w:rsid w:val="00CD7AC2"/>
    <w:rsid w:val="00D00121"/>
    <w:rsid w:val="00D00C34"/>
    <w:rsid w:val="00D03699"/>
    <w:rsid w:val="00D040DA"/>
    <w:rsid w:val="00D05250"/>
    <w:rsid w:val="00D27CDE"/>
    <w:rsid w:val="00D33B81"/>
    <w:rsid w:val="00D46FBA"/>
    <w:rsid w:val="00D50B26"/>
    <w:rsid w:val="00D56E3E"/>
    <w:rsid w:val="00D60591"/>
    <w:rsid w:val="00D613C5"/>
    <w:rsid w:val="00D6708F"/>
    <w:rsid w:val="00D72106"/>
    <w:rsid w:val="00D84FF1"/>
    <w:rsid w:val="00D97493"/>
    <w:rsid w:val="00DC7335"/>
    <w:rsid w:val="00DC7CC5"/>
    <w:rsid w:val="00DE02C1"/>
    <w:rsid w:val="00DE4F3C"/>
    <w:rsid w:val="00DE7B97"/>
    <w:rsid w:val="00DF13F1"/>
    <w:rsid w:val="00DF2497"/>
    <w:rsid w:val="00DF6FA1"/>
    <w:rsid w:val="00E05995"/>
    <w:rsid w:val="00E12DF4"/>
    <w:rsid w:val="00E16B49"/>
    <w:rsid w:val="00E308D6"/>
    <w:rsid w:val="00E3373C"/>
    <w:rsid w:val="00E33A8C"/>
    <w:rsid w:val="00E42EB9"/>
    <w:rsid w:val="00E50DE3"/>
    <w:rsid w:val="00E5715B"/>
    <w:rsid w:val="00E67104"/>
    <w:rsid w:val="00E67C2B"/>
    <w:rsid w:val="00E7199A"/>
    <w:rsid w:val="00E76DCA"/>
    <w:rsid w:val="00EA5B34"/>
    <w:rsid w:val="00EA686B"/>
    <w:rsid w:val="00ED3C98"/>
    <w:rsid w:val="00EE4FD7"/>
    <w:rsid w:val="00EF4ED3"/>
    <w:rsid w:val="00F11010"/>
    <w:rsid w:val="00F13177"/>
    <w:rsid w:val="00F249CC"/>
    <w:rsid w:val="00F3242D"/>
    <w:rsid w:val="00F7168D"/>
    <w:rsid w:val="00F75262"/>
    <w:rsid w:val="00F86E62"/>
    <w:rsid w:val="00F937CF"/>
    <w:rsid w:val="00FB5354"/>
    <w:rsid w:val="00FC1EFF"/>
    <w:rsid w:val="00FD48A4"/>
    <w:rsid w:val="00FF3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510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6A730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EA5B3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A5B34"/>
  </w:style>
  <w:style w:styleId="Tekstbalonia" w:type="paragraph">
    <w:name w:val="Balloon Text"/>
    <w:basedOn w:val="Normal"/>
    <w:semiHidden/>
    <w:rsid w:val="003B489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077AB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ijeloteksta" w:type="paragraph">
    <w:name w:val="Body Text"/>
    <w:basedOn w:val="Normal"/>
    <w:rsid w:val="006D44AD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D721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210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2106"/>
    <w:rPr>
      <w:rFonts w:hAnsi="Cambria" w:ascii="Cambria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2106"/>
    <w:rPr>
      <w:rFonts w:cs="Times New Roman" w:hAnsi="Cambria" w:ascii="Cambria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2106"/>
    <w:rPr>
      <w:rFonts w:cs="Times New Roman" w:hAnsi="Cambria" w:ascii="Cambria"/>
      <w:b w:val="false"/>
      <w:sz w:val="24"/>
      <w:bdr w:space="0" w:sz="0" w:color="auto" w:val="none"/>
      <w:shd w:fill="CCFFCC" w:color="auto" w:val="clear"/>
      <w:lang w:val="hr-HR"/>
    </w:rPr>
  </w:style>
  <w:style w:customStyle="true" w:styleId="t-12-9-fett-s" w:type="paragraph">
    <w:name w:val="t-12-9-fett-s"/>
    <w:basedOn w:val="Normal"/>
    <w:rsid w:val="00D72106"/>
    <w:pPr>
      <w:spacing w:afterAutospacing="true" w:after="100" w:beforeAutospacing="true" w:before="10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510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6A730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EA5B3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A5B34"/>
  </w:style>
  <w:style w:styleId="Tekstbalonia" w:type="paragraph">
    <w:name w:val="Balloon Text"/>
    <w:basedOn w:val="Normal"/>
    <w:semiHidden/>
    <w:rsid w:val="003B489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077A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ijeloteksta" w:type="paragraph">
    <w:name w:val="Body Text"/>
    <w:basedOn w:val="Normal"/>
    <w:rsid w:val="006D44AD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D721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210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2106"/>
    <w:rPr>
      <w:rFonts w:ascii="Cambria" w:hAnsi="Cambria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2106"/>
    <w:rPr>
      <w:rFonts w:ascii="Cambria" w:cs="Times New Roman" w:hAnsi="Cambria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2106"/>
    <w:rPr>
      <w:rFonts w:ascii="Cambria" w:cs="Times New Roman" w:hAnsi="Cambria"/>
      <w:b w:val="0"/>
      <w:sz w:val="24"/>
      <w:bdr w:color="auto" w:space="0" w:sz="0" w:val="none"/>
      <w:shd w:color="auto" w:fill="CCFFCC" w:val="clear"/>
      <w:lang w:val="hr-HR"/>
    </w:rPr>
  </w:style>
  <w:style w:customStyle="1" w:styleId="t-12-9-fett-s" w:type="paragraph">
    <w:name w:val="t-12-9-fett-s"/>
    <w:basedOn w:val="Normal"/>
    <w:rsid w:val="00D72106"/>
    <w:pPr>
      <w:spacing w:after="100" w:afterAutospacing="1" w:before="100" w:before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441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427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584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5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964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4391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221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975</properties:Words>
  <properties:Characters>5694</properties:Characters>
  <properties:Lines>252</properties:Lines>
  <properties:Paragraphs>94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ALFA – ADRIA d</vt:lpstr>
      <vt:lpstr>ALFA – ADRIA d</vt:lpstr>
    </vt:vector>
  </properties:TitlesOfParts>
  <properties:LinksUpToDate>false</properties:LinksUpToDate>
  <properties:CharactersWithSpaces>7061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2019-04-10T13:10:00Z</dcterms:created>
  <dc:creator>Jasenka</dc:creator>
  <cp:lastModifiedBy>Kristina Švajger</cp:lastModifiedBy>
  <cp:lastPrinted>2019-04-09T07:09:00Z</cp:lastPrinted>
  <dcterms:modified xmlns:xsi="http://www.w3.org/2001/XMLSchema-instance" xsi:type="dcterms:W3CDTF">2019-04-11T09:05:00Z</dcterms:modified>
  <cp:revision>3</cp:revision>
  <dc:title>ALFA – ADRIA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St-174/2012-54 / Podnesak - Prijedlog stečajnog upravitelja (prijedlog za određivanje nagrade, 9. 4.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