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4f37" w14:paraId="17c4f3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15C9" w:rsidP="00F115C9" w:rsidR="00F115C9" w:rsidRPr="00F115C9">
      <w:pPr>
        <w:spacing w:after="0"/>
        <w:rPr>
          <w:rFonts w:cs="Times New Roman" w:eastAsia="Times New Roman"/>
        </w:rPr>
      </w:pPr>
      <w:r w:rsidRPr="00F115C9">
        <w:rPr>
          <w:rFonts w:cs="Times New Roman" w:eastAsia="Times New Roman"/>
          <w:bCs/>
        </w:rPr>
        <w:t xml:space="preserve">     REPUBLIKA HRVATSKA                                         Poslovni b</w:t>
      </w:r>
      <w:r w:rsidRPr="00F115C9">
        <w:rPr>
          <w:rFonts w:cs="Times New Roman" w:eastAsia="Times New Roman"/>
        </w:rPr>
        <w:t>roj: 14. St-1829/2016-15</w:t>
      </w:r>
    </w:p>
    <w:p w:rsidRDefault="00F115C9" w:rsidP="00F115C9" w:rsidR="00F115C9" w:rsidRPr="00F115C9">
      <w:pPr>
        <w:spacing w:after="0"/>
        <w:rPr>
          <w:rFonts w:cs="Times New Roman" w:eastAsia="Times New Roman"/>
        </w:rPr>
      </w:pPr>
      <w:r w:rsidRPr="00F115C9">
        <w:rPr>
          <w:rFonts w:cs="Times New Roman" w:eastAsia="Times New Roman"/>
          <w:bCs/>
        </w:rPr>
        <w:t xml:space="preserve">  TRGOVAČKI SUD U SPLITU</w:t>
      </w:r>
    </w:p>
    <w:p w:rsidRDefault="00F115C9" w:rsidP="00F115C9" w:rsidR="00F115C9" w:rsidRPr="00F115C9">
      <w:pPr>
        <w:spacing w:after="0"/>
        <w:rPr>
          <w:rFonts w:cs="Times New Roman" w:eastAsia="Times New Roman"/>
        </w:rPr>
      </w:pPr>
      <w:proofErr w:type="spellStart"/>
      <w:r w:rsidRPr="00F115C9">
        <w:rPr>
          <w:rFonts w:cs="Times New Roman" w:eastAsia="Times New Roman"/>
        </w:rPr>
        <w:t>Sukoišanska</w:t>
      </w:r>
      <w:proofErr w:type="spellEnd"/>
      <w:r w:rsidRPr="00F115C9">
        <w:rPr>
          <w:rFonts w:cs="Times New Roman" w:eastAsia="Times New Roman"/>
        </w:rPr>
        <w:t xml:space="preserve"> 6. – 21 000  S P L I T</w:t>
      </w:r>
    </w:p>
    <w:p w:rsidRDefault="00F115C9" w:rsidP="00F115C9" w:rsidR="00F115C9" w:rsidRPr="00F115C9">
      <w:pPr>
        <w:spacing w:after="0"/>
        <w:rPr>
          <w:rFonts w:cs="Times New Roman" w:eastAsia="Times New Roman"/>
          <w:szCs w:val="20"/>
        </w:rPr>
      </w:pPr>
    </w:p>
    <w:p w:rsidRDefault="00F115C9" w:rsidP="00F115C9" w:rsidR="00F115C9" w:rsidRPr="00F115C9">
      <w:pPr>
        <w:spacing w:after="0"/>
        <w:rPr>
          <w:rFonts w:cs="Times New Roman" w:eastAsia="Times New Roman"/>
          <w:szCs w:val="20"/>
        </w:rPr>
      </w:pPr>
    </w:p>
    <w:p w:rsidRDefault="00F115C9" w:rsidP="00F115C9" w:rsidR="00F115C9" w:rsidRPr="00F115C9">
      <w:pPr>
        <w:keepNext/>
        <w:spacing w:after="0"/>
        <w:jc w:val="center"/>
        <w:outlineLvl w:val="1"/>
        <w:rPr>
          <w:rFonts w:cs="Times New Roman" w:eastAsia="Arial Unicode MS"/>
          <w:szCs w:val="20"/>
        </w:rPr>
      </w:pPr>
      <w:r w:rsidRPr="00F115C9">
        <w:rPr>
          <w:rFonts w:cs="Times New Roman" w:eastAsia="Arial Unicode MS"/>
          <w:szCs w:val="20"/>
        </w:rPr>
        <w:t>R E P U B L I K A     H R V A T S K A</w:t>
      </w:r>
    </w:p>
    <w:p w:rsidRDefault="00F115C9" w:rsidP="00F115C9" w:rsidR="00F115C9" w:rsidRPr="00F115C9">
      <w:pPr>
        <w:keepNext/>
        <w:spacing w:after="0"/>
        <w:jc w:val="center"/>
        <w:outlineLvl w:val="1"/>
        <w:rPr>
          <w:rFonts w:cs="Times New Roman" w:eastAsia="Arial Unicode MS"/>
          <w:szCs w:val="20"/>
        </w:rPr>
      </w:pPr>
    </w:p>
    <w:p w:rsidRDefault="00F115C9" w:rsidP="00F115C9" w:rsidR="00F115C9" w:rsidRPr="00F115C9">
      <w:pPr>
        <w:keepNext/>
        <w:spacing w:after="0"/>
        <w:jc w:val="center"/>
        <w:outlineLvl w:val="1"/>
        <w:rPr>
          <w:rFonts w:cs="Times New Roman" w:eastAsia="Arial Unicode MS"/>
          <w:bCs/>
          <w:szCs w:val="20"/>
        </w:rPr>
      </w:pPr>
      <w:r w:rsidRPr="00F115C9">
        <w:rPr>
          <w:rFonts w:cs="Times New Roman" w:eastAsia="Arial Unicode MS"/>
          <w:bCs/>
          <w:szCs w:val="20"/>
        </w:rPr>
        <w:t>R J E Š E N J E</w:t>
      </w:r>
    </w:p>
    <w:p w:rsidRDefault="00F115C9" w:rsidP="00F115C9" w:rsidR="00F115C9" w:rsidRPr="00F115C9">
      <w:pPr>
        <w:spacing w:after="0"/>
        <w:rPr>
          <w:rFonts w:cs="Times New Roman" w:eastAsia="Times New Roman"/>
          <w:szCs w:val="20"/>
        </w:rPr>
      </w:pPr>
    </w:p>
    <w:p w:rsidRDefault="00F115C9" w:rsidP="00F115C9" w:rsidR="00F115C9" w:rsidRPr="00F115C9">
      <w:pPr>
        <w:spacing w:after="0"/>
        <w:rPr>
          <w:rFonts w:cs="Times New Roman" w:eastAsia="Times New Roman"/>
          <w:szCs w:val="20"/>
        </w:rPr>
      </w:pP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ab/>
        <w:t xml:space="preserve">Trgovački sud u Splitu, po sudcu Jozi Ćaleti, u stečajnom postupku po prijedlogu Predlagatelja: REPUBLIKE HRVATSKE – Ministarstva financija, zastupane po Županijskome državnom odvjetništvu u Splitu (Predlagatelj), radi otvaranja stečajnog postupka nad trgovačkim društvom kao stečajnim Dužnikom: PIREX, d.o.o., OIB: 25681240895, Split, Solinska 2/c, (Dužnik, stečajni Dužnik), odlučujući o prijedlogu za otvaranje stečajnog postupka, nakon ročišta održanog 22. studenog 2018, 14. prosinca 2018, </w:t>
      </w:r>
      <w:proofErr w:type="spellStart"/>
      <w:r w:rsidRPr="00F115C9">
        <w:rPr>
          <w:rFonts w:cs="Times New Roman" w:eastAsia="Times New Roman"/>
          <w:lang w:eastAsia="hr-HR"/>
        </w:rPr>
        <w:t>izvanročišno</w:t>
      </w:r>
      <w:proofErr w:type="spellEnd"/>
      <w:r w:rsidRPr="00F115C9">
        <w:rPr>
          <w:rFonts w:cs="Times New Roman" w:eastAsia="Times New Roman"/>
          <w:lang w:eastAsia="hr-HR"/>
        </w:rPr>
        <w:t>,</w:t>
      </w: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center"/>
        <w:rPr>
          <w:rFonts w:cs="Times New Roman" w:eastAsia="Times New Roman"/>
        </w:rPr>
      </w:pPr>
      <w:r w:rsidRPr="00F115C9">
        <w:rPr>
          <w:rFonts w:cs="Times New Roman" w:eastAsia="Times New Roman"/>
        </w:rPr>
        <w:t>r i j e š i o    j e</w:t>
      </w:r>
    </w:p>
    <w:p w:rsidRDefault="00F115C9" w:rsidP="00F115C9" w:rsidR="00F115C9" w:rsidRPr="00F115C9">
      <w:pPr>
        <w:spacing w:after="0"/>
        <w:rPr>
          <w:rFonts w:cs="Times New Roman" w:eastAsia="Times New Roman"/>
        </w:rPr>
      </w:pPr>
    </w:p>
    <w:p w:rsidRDefault="00F115C9" w:rsidP="00F115C9" w:rsidR="00F115C9" w:rsidRPr="00F115C9">
      <w:pPr>
        <w:spacing w:after="0"/>
        <w:rPr>
          <w:rFonts w:cs="Times New Roman" w:eastAsia="Times New Roman"/>
        </w:rPr>
      </w:pPr>
    </w:p>
    <w:p w:rsidRDefault="00F115C9" w:rsidP="00F115C9" w:rsidR="00F115C9" w:rsidRPr="00F115C9">
      <w:pPr>
        <w:spacing w:after="0"/>
        <w:jc w:val="both"/>
        <w:rPr>
          <w:rFonts w:cs="Times New Roman" w:eastAsia="Times New Roman"/>
        </w:rPr>
      </w:pPr>
      <w:r w:rsidRPr="00F115C9">
        <w:rPr>
          <w:rFonts w:cs="Times New Roman" w:eastAsia="Times New Roman"/>
        </w:rPr>
        <w:t xml:space="preserve">          I. Otvara se stečajni postupak nad trgovačkim društvom kao stečajnim dužnikom: </w:t>
      </w:r>
      <w:r w:rsidRPr="00F115C9">
        <w:rPr>
          <w:rFonts w:cs="Times New Roman" w:eastAsia="Times New Roman"/>
          <w:lang w:eastAsia="hr-HR"/>
        </w:rPr>
        <w:t>PIREX, d.o.o., OIB: 25681240895, Split, Solinska 2/c.</w:t>
      </w:r>
      <w:r w:rsidRPr="00F115C9">
        <w:rPr>
          <w:rFonts w:cs="Times New Roman" w:eastAsia="Times New Roman"/>
        </w:rPr>
        <w:t xml:space="preserve"> Stečajni je postupak otvoren 14. prosinca 2018, u 13:00 sati.</w:t>
      </w:r>
    </w:p>
    <w:p w:rsidRDefault="00F115C9" w:rsidP="00F115C9" w:rsidR="00F115C9" w:rsidRPr="00F115C9">
      <w:pPr>
        <w:spacing w:after="0"/>
        <w:jc w:val="both"/>
        <w:rPr>
          <w:rFonts w:cs="Times New Roman" w:eastAsia="Times New Roman"/>
          <w:b/>
        </w:rPr>
      </w:pPr>
      <w:r w:rsidRPr="00F115C9">
        <w:rPr>
          <w:rFonts w:cs="Times New Roman" w:eastAsia="Times New Roman"/>
          <w:bCs/>
        </w:rPr>
        <w:t xml:space="preserve">          II.</w:t>
      </w:r>
      <w:r w:rsidRPr="00F115C9">
        <w:rPr>
          <w:rFonts w:cs="Times New Roman" w:eastAsia="Times New Roman"/>
        </w:rPr>
        <w:t xml:space="preserve">  Za stečajnog se upravitelja, temeljem članka 85, stavka 1, u vezi sa člankom 84, stavkom 1, Stečajnog zakona (</w:t>
      </w:r>
      <w:r w:rsidRPr="00F115C9">
        <w:rPr>
          <w:rFonts w:cs="Times New Roman" w:eastAsia="Times New Roman"/>
          <w:i/>
        </w:rPr>
        <w:t>Narodne novine</w:t>
      </w:r>
      <w:r w:rsidRPr="00F115C9">
        <w:rPr>
          <w:rFonts w:cs="Times New Roman" w:eastAsia="Times New Roman"/>
        </w:rPr>
        <w:t>, br.-i: 71/15. i 104/17, dalje: SZ), imenuje:</w:t>
      </w:r>
      <w:r w:rsidRPr="00F115C9">
        <w:rPr>
          <w:rFonts w:cs="Times New Roman" w:eastAsia="Times New Roman"/>
          <w:b/>
        </w:rPr>
        <w:t xml:space="preserve"> </w:t>
      </w:r>
      <w:r w:rsidRPr="00F115C9">
        <w:rPr>
          <w:rFonts w:cs="Times New Roman" w:eastAsia="Times New Roman"/>
          <w:lang w:eastAsia="hr-HR"/>
        </w:rPr>
        <w:t xml:space="preserve">Bože </w:t>
      </w:r>
      <w:proofErr w:type="spellStart"/>
      <w:r w:rsidRPr="00F115C9">
        <w:rPr>
          <w:rFonts w:cs="Times New Roman" w:eastAsia="Times New Roman"/>
          <w:lang w:eastAsia="hr-HR"/>
        </w:rPr>
        <w:t>Guvo</w:t>
      </w:r>
      <w:proofErr w:type="spellEnd"/>
      <w:r w:rsidRPr="00F115C9">
        <w:rPr>
          <w:rFonts w:cs="Times New Roman" w:eastAsia="Times New Roman"/>
          <w:lang w:eastAsia="hr-HR"/>
        </w:rPr>
        <w:t xml:space="preserve">, Split, </w:t>
      </w:r>
      <w:proofErr w:type="spellStart"/>
      <w:r w:rsidRPr="00F115C9">
        <w:rPr>
          <w:rFonts w:cs="Times New Roman" w:eastAsia="Times New Roman"/>
          <w:lang w:eastAsia="hr-HR"/>
        </w:rPr>
        <w:t>Smiljanićeva</w:t>
      </w:r>
      <w:proofErr w:type="spellEnd"/>
      <w:r w:rsidRPr="00F115C9">
        <w:rPr>
          <w:rFonts w:cs="Times New Roman" w:eastAsia="Times New Roman"/>
          <w:lang w:eastAsia="hr-HR"/>
        </w:rPr>
        <w:t xml:space="preserve"> 2, OIB: 55368811100. </w:t>
      </w:r>
    </w:p>
    <w:p w:rsidRDefault="00F115C9" w:rsidP="00F115C9" w:rsidR="00F115C9" w:rsidRPr="00F115C9">
      <w:pPr>
        <w:spacing w:after="0"/>
        <w:jc w:val="both"/>
        <w:rPr>
          <w:rFonts w:cs="Times New Roman" w:eastAsia="Times New Roman"/>
        </w:rPr>
      </w:pPr>
      <w:r w:rsidRPr="00F115C9">
        <w:rPr>
          <w:rFonts w:cs="Times New Roman" w:eastAsia="Times New Roman"/>
          <w:bCs/>
        </w:rPr>
        <w:t xml:space="preserve">          III.</w:t>
      </w:r>
      <w:r w:rsidRPr="00F115C9">
        <w:rPr>
          <w:rFonts w:cs="Times New Roman" w:eastAsia="Times New Roman"/>
        </w:rPr>
        <w:t xml:space="preserve">  Pozivaju se stečajni vjerovnici viših isplatnih redova iz članka 138, SZ, u roku od 60. dana od dana objave ovog Rješenja na mrežnoj stranici e-Oglasna ploča sudova, prijaviti vlastite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5045-3566-1829-16, uz naznaku svrhe plaćanja:" sudska pristojba za prijavu tražbine u predmetu: 14. St-1829/2016".</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bCs/>
          <w:lang w:eastAsia="hr-HR"/>
        </w:rPr>
        <w:t xml:space="preserve">          IV.</w:t>
      </w:r>
      <w:r w:rsidRPr="00F115C9">
        <w:rPr>
          <w:rFonts w:cs="Times New Roman" w:eastAsia="Times New Roman"/>
          <w:lang w:eastAsia="hr-HR"/>
        </w:rPr>
        <w:t xml:space="preserve">  Pozivaju se </w:t>
      </w:r>
      <w:proofErr w:type="spellStart"/>
      <w:r w:rsidRPr="00F115C9">
        <w:rPr>
          <w:rFonts w:cs="Times New Roman" w:eastAsia="Times New Roman"/>
          <w:lang w:eastAsia="hr-HR"/>
        </w:rPr>
        <w:t>razlučni</w:t>
      </w:r>
      <w:proofErr w:type="spellEnd"/>
      <w:r w:rsidRPr="00F115C9">
        <w:rPr>
          <w:rFonts w:cs="Times New Roman" w:eastAsia="Times New Roman"/>
          <w:lang w:eastAsia="hr-HR"/>
        </w:rPr>
        <w:t xml:space="preserve"> i izlučni vjerovnici, u roku od 60. dana od dana objave ovog Rješenja na mrežnoj stranici e-Oglasna ploča sudova, obavijestiti Stečajnog upravitelja o vlastitim pravima, sukladno odredbi članka 258, SZ. </w:t>
      </w:r>
    </w:p>
    <w:p w:rsidRDefault="00F115C9" w:rsidP="00F115C9" w:rsidR="00F115C9" w:rsidRPr="00F115C9">
      <w:pPr>
        <w:spacing w:after="0"/>
        <w:jc w:val="both"/>
        <w:rPr>
          <w:rFonts w:cs="Times New Roman" w:eastAsia="Times New Roman"/>
          <w:bCs/>
        </w:rPr>
      </w:pPr>
      <w:r w:rsidRPr="00F115C9">
        <w:rPr>
          <w:rFonts w:cs="Times New Roman" w:eastAsia="Times New Roman"/>
          <w:bCs/>
        </w:rPr>
        <w:t xml:space="preserve">          V.  Pozivaju se Dužnikovi dužnici svoje obveze prema stečajnom Dužniku bez odgode ispunjavati Stečajnom upravitelju za stečajnog Dužnika.</w:t>
      </w:r>
    </w:p>
    <w:p w:rsidRDefault="00F115C9" w:rsidP="00F115C9" w:rsidR="00F115C9" w:rsidRPr="00F115C9">
      <w:pPr>
        <w:spacing w:after="0"/>
        <w:jc w:val="both"/>
        <w:rPr>
          <w:rFonts w:cs="Times New Roman" w:eastAsia="Times New Roman"/>
        </w:rPr>
      </w:pPr>
      <w:r w:rsidRPr="00F115C9">
        <w:rPr>
          <w:rFonts w:cs="Times New Roman" w:eastAsia="Times New Roman"/>
          <w:bCs/>
        </w:rPr>
        <w:t xml:space="preserve">          VI.</w:t>
      </w:r>
      <w:r w:rsidRPr="00F115C9">
        <w:rPr>
          <w:rFonts w:cs="Times New Roman" w:eastAsia="Times New Roman"/>
        </w:rPr>
        <w:t xml:space="preserve">  Ispitno ročište na kojem će se ispitivati prijavljene tražbine određuje se za: četvrtak – 28. ožujka 2019, u 10:00 sati, u Trgovačkom sudu u Splitu, Split, </w:t>
      </w:r>
      <w:proofErr w:type="spellStart"/>
      <w:r w:rsidRPr="00F115C9">
        <w:rPr>
          <w:rFonts w:cs="Times New Roman" w:eastAsia="Times New Roman"/>
        </w:rPr>
        <w:t>Sukoišanska</w:t>
      </w:r>
      <w:proofErr w:type="spellEnd"/>
      <w:r w:rsidRPr="00F115C9">
        <w:rPr>
          <w:rFonts w:cs="Times New Roman" w:eastAsia="Times New Roman"/>
        </w:rPr>
        <w:t xml:space="preserve"> 6, soba broj: 121/I. kat, sudnica broj: 5. Odmah nakon Ispitnog ročišta, održat će se i Izvještajno ročište, na kojem će se, temeljem izvješća Stečajnog upravitelja, odlučivati o daljnjem tijeku postupka. </w:t>
      </w:r>
    </w:p>
    <w:p w:rsidRDefault="00F115C9" w:rsidP="00F115C9" w:rsidR="00F115C9" w:rsidRPr="00F115C9">
      <w:pPr>
        <w:spacing w:after="0"/>
        <w:jc w:val="both"/>
        <w:rPr>
          <w:rFonts w:cs="Times New Roman" w:eastAsia="Times New Roman"/>
          <w:bCs/>
        </w:rPr>
      </w:pPr>
      <w:r w:rsidRPr="00F115C9">
        <w:rPr>
          <w:rFonts w:cs="Times New Roman" w:eastAsia="Times New Roman"/>
        </w:rPr>
        <w:lastRenderedPageBreak/>
        <w:t xml:space="preserve">                                                                  - 2 -                     Poslovni broj: 14. St-1829/2016-15</w:t>
      </w:r>
    </w:p>
    <w:p w:rsidRDefault="00F115C9" w:rsidP="00F115C9" w:rsidR="00F115C9" w:rsidRPr="00F115C9">
      <w:pPr>
        <w:spacing w:after="0"/>
        <w:jc w:val="both"/>
        <w:rPr>
          <w:rFonts w:cs="Times New Roman" w:eastAsia="Times New Roman"/>
          <w:bCs/>
        </w:rPr>
      </w:pPr>
    </w:p>
    <w:p w:rsidRDefault="00F115C9" w:rsidP="00F115C9" w:rsidR="00F115C9" w:rsidRPr="00F115C9">
      <w:pPr>
        <w:spacing w:after="0"/>
        <w:jc w:val="both"/>
        <w:rPr>
          <w:rFonts w:cs="Times New Roman" w:eastAsia="Times New Roman"/>
          <w:bCs/>
        </w:rPr>
      </w:pPr>
    </w:p>
    <w:p w:rsidRDefault="00F115C9" w:rsidP="00F115C9" w:rsidR="00F115C9" w:rsidRPr="00F115C9">
      <w:pPr>
        <w:spacing w:after="0"/>
        <w:jc w:val="both"/>
        <w:rPr>
          <w:rFonts w:cs="Times New Roman" w:eastAsia="Times New Roman"/>
        </w:rPr>
      </w:pPr>
      <w:r w:rsidRPr="00F115C9">
        <w:rPr>
          <w:rFonts w:cs="Times New Roman" w:eastAsia="Times New Roman"/>
          <w:bCs/>
        </w:rPr>
        <w:t xml:space="preserve">          VII.</w:t>
      </w:r>
      <w:r w:rsidRPr="00F115C9">
        <w:rPr>
          <w:rFonts w:cs="Times New Roman" w:eastAsia="Times New Roman"/>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F115C9" w:rsidP="00F115C9" w:rsidR="00F115C9" w:rsidRPr="00F115C9">
      <w:pPr>
        <w:spacing w:after="0"/>
        <w:jc w:val="both"/>
        <w:rPr>
          <w:rFonts w:cs="Times New Roman" w:eastAsia="Times New Roman"/>
        </w:rPr>
      </w:pPr>
      <w:r w:rsidRPr="00F115C9">
        <w:rPr>
          <w:rFonts w:cs="Times New Roman" w:eastAsia="Times New Roman"/>
          <w:bCs/>
        </w:rPr>
        <w:t xml:space="preserve">          VIII.</w:t>
      </w:r>
      <w:r w:rsidRPr="00F115C9">
        <w:rPr>
          <w:rFonts w:cs="Times New Roman" w:eastAsia="Times New Roman"/>
        </w:rPr>
        <w:t xml:space="preserve"> </w:t>
      </w:r>
      <w:proofErr w:type="spellStart"/>
      <w:r w:rsidRPr="00F115C9">
        <w:rPr>
          <w:rFonts w:cs="Times New Roman" w:eastAsia="Times New Roman"/>
          <w:lang w:val="en-AU"/>
        </w:rPr>
        <w:t>Ovo</w:t>
      </w:r>
      <w:proofErr w:type="spellEnd"/>
      <w:r w:rsidRPr="00F115C9">
        <w:rPr>
          <w:rFonts w:cs="Times New Roman" w:eastAsia="Times New Roman"/>
        </w:rPr>
        <w:t xml:space="preserve"> ć</w:t>
      </w:r>
      <w:r w:rsidRPr="00F115C9">
        <w:rPr>
          <w:rFonts w:cs="Times New Roman" w:eastAsia="Times New Roman"/>
          <w:lang w:val="en-AU"/>
        </w:rPr>
        <w:t xml:space="preserve">e se </w:t>
      </w:r>
      <w:proofErr w:type="spellStart"/>
      <w:r w:rsidRPr="00F115C9">
        <w:rPr>
          <w:rFonts w:cs="Times New Roman" w:eastAsia="Times New Roman"/>
          <w:lang w:val="en-AU"/>
        </w:rPr>
        <w:t>Rje</w:t>
      </w:r>
      <w:proofErr w:type="spellEnd"/>
      <w:r w:rsidRPr="00F115C9">
        <w:rPr>
          <w:rFonts w:cs="Times New Roman" w:eastAsia="Times New Roman"/>
        </w:rPr>
        <w:t>š</w:t>
      </w:r>
      <w:proofErr w:type="spellStart"/>
      <w:r w:rsidRPr="00F115C9">
        <w:rPr>
          <w:rFonts w:cs="Times New Roman" w:eastAsia="Times New Roman"/>
          <w:lang w:val="en-AU"/>
        </w:rPr>
        <w:t>enje</w:t>
      </w:r>
      <w:proofErr w:type="spellEnd"/>
      <w:r w:rsidRPr="00F115C9">
        <w:rPr>
          <w:rFonts w:cs="Times New Roman" w:eastAsia="Times New Roman"/>
          <w:lang w:val="en-AU"/>
        </w:rPr>
        <w:t xml:space="preserve"> </w:t>
      </w:r>
      <w:proofErr w:type="spellStart"/>
      <w:r w:rsidRPr="00F115C9">
        <w:rPr>
          <w:rFonts w:cs="Times New Roman" w:eastAsia="Times New Roman"/>
          <w:lang w:val="en-AU"/>
        </w:rPr>
        <w:t>objaviti</w:t>
      </w:r>
      <w:proofErr w:type="spellEnd"/>
      <w:r w:rsidRPr="00F115C9">
        <w:rPr>
          <w:rFonts w:cs="Times New Roman" w:eastAsia="Times New Roman"/>
          <w:lang w:val="en-AU"/>
        </w:rPr>
        <w:t xml:space="preserve"> </w:t>
      </w:r>
      <w:proofErr w:type="spellStart"/>
      <w:r w:rsidRPr="00F115C9">
        <w:rPr>
          <w:rFonts w:cs="Times New Roman" w:eastAsia="Times New Roman"/>
          <w:lang w:val="en-AU"/>
        </w:rPr>
        <w:t>na</w:t>
      </w:r>
      <w:proofErr w:type="spellEnd"/>
      <w:r w:rsidRPr="00F115C9">
        <w:rPr>
          <w:rFonts w:cs="Times New Roman" w:eastAsia="Times New Roman"/>
        </w:rPr>
        <w:t xml:space="preserve"> mrežnoj stranici e-Oglasna ploča sudova, što svima zainteresiranima služi kao obavijest i poziv.</w:t>
      </w:r>
    </w:p>
    <w:p w:rsidRDefault="00F115C9" w:rsidP="00F115C9" w:rsidR="00F115C9" w:rsidRPr="00F115C9">
      <w:pPr>
        <w:spacing w:after="0"/>
        <w:rPr>
          <w:rFonts w:cs="Times New Roman" w:eastAsia="Times New Roman"/>
        </w:rPr>
      </w:pPr>
    </w:p>
    <w:p w:rsidRDefault="00F115C9" w:rsidP="00F115C9" w:rsidR="00F115C9" w:rsidRPr="00F115C9">
      <w:pPr>
        <w:spacing w:after="0"/>
        <w:rPr>
          <w:rFonts w:cs="Times New Roman" w:eastAsia="Times New Roman"/>
        </w:rPr>
      </w:pPr>
    </w:p>
    <w:p w:rsidRDefault="00F115C9" w:rsidP="00F115C9" w:rsidR="00F115C9" w:rsidRPr="00F115C9">
      <w:pPr>
        <w:spacing w:after="0"/>
        <w:jc w:val="center"/>
        <w:rPr>
          <w:rFonts w:cs="Times New Roman" w:eastAsia="Times New Roman"/>
        </w:rPr>
      </w:pPr>
      <w:r w:rsidRPr="00F115C9">
        <w:rPr>
          <w:rFonts w:cs="Times New Roman" w:eastAsia="Times New Roman"/>
        </w:rPr>
        <w:t>Obrazloženje</w:t>
      </w: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1) FINANCIJSKA AGENCIJA – RC SPLIT, Podružnica Split, Split, Mažuranićevo šetalište 24b, OIB: 85821130368. (dalje: FINA), temeljem članka 444, stavka 1, SZ, podnijela je ovom Sudu Zahtjev za provedbu skraćenoga stečajnog postupka (dalje: Zahtjev), od 28. listopada 2015. a u Sudu fizički zaprimljenom 03. studenog 2015, nad u uvodu i u točki I. izrijeke navedenim trgovačkim društvom kao stečajnim Dužnikom (dalje: Dužnik), ističući kako Dužnik: "Na dan 01. rujna 2015. dužnik u Očevidniku redoslijeda osnova za plaćanje ima evidentirane neizvršene osnove za plaćanje u neprekinutom razdoblju od 1793 dana, u ukupnom iznosu od 357.357,47 kn, u koji iznos je uračunata kamata i naknada Financijske agencije za provedbu ovrhe na novčanim sredstvima.“ FINA je u Zahtjevu istakla kako prema Obavijesti pribavljenoj od Hrvatskog zavoda za mirovinsko osiguranje Dužnik nema zaposlenih.</w:t>
      </w:r>
    </w:p>
    <w:p w:rsidRDefault="00F115C9" w:rsidP="00F115C9" w:rsidR="00F115C9" w:rsidRPr="00F115C9">
      <w:pPr>
        <w:spacing w:after="0"/>
        <w:jc w:val="both"/>
        <w:rPr>
          <w:rFonts w:cs="Times New Roman" w:eastAsia="Times New Roman"/>
        </w:rPr>
      </w:pPr>
      <w:r w:rsidRPr="00F115C9">
        <w:rPr>
          <w:rFonts w:cs="Times New Roman" w:eastAsia="Times New Roman"/>
          <w:lang w:eastAsia="hr-HR"/>
        </w:rPr>
        <w:t xml:space="preserve">          2) </w:t>
      </w:r>
      <w:r w:rsidRPr="00F115C9">
        <w:rPr>
          <w:rFonts w:cs="Times New Roman" w:eastAsia="Times New Roman"/>
        </w:rPr>
        <w:t>Postupajući po Zahtjevu FINA-e, Sud je na mrežnoj stranici e-Oglasna ploča sudova objavio Oglas od 17. veljače 2016, broj: St-1491/2015, sadržajno određenog i temeljem članaka 428–434, SZ, povodom kojeg Oglasa je uvodno navedeni Predlagatelj podnio Prijedlog za otvaranje stečajnog postupka nad Dužnikom (dalje: Prijedlog), ističući u Prijedlogu kako Republika Hrvatska, Ministarstvo financija, ima novčanu tražbinu prema Dužniku u iznosu od: 41.302,06 kuna a Dužnik raspolaže imovinom koja je dostatna za namirenje troškova kako prethodnoga tako i otvorenoga stečajnog postupka. Prijedlogu su priloženi dokazi o postojanju novčane tražbine Predlagatelja prema Dužniku i o postojanju imovine Dužnika. Povodom Prijedloga Predlagatelja, Sud je Rješenjem od 25 listopada 2018., broj gornji, pokrenuo prethodni postupak te za 22. studenog 2018</w:t>
      </w:r>
      <w:r w:rsidRPr="00F115C9">
        <w:rPr>
          <w:rFonts w:cs="Times New Roman" w:eastAsia="Times New Roman"/>
          <w:noProof/>
        </w:rPr>
        <w:t>. zakazao radi utvrđivanja uvjeta za otvaranje stečajnog postupka nad Dužnikom, na koje je ročište pozvan Predlagatelj te Dužnik i Damjan Debeljak kao direktor Dužnika te još i bivši direktor i udjeličar Dužnika Damir Marinović. Predlagatelj je pristupio na ročište i ustrajao u Prijedlogu. Dužnik, odnosno, direktor Dužnika na ročište nije pristupio a dostava poziva upućena osobno na adresu sjedišta Dužnika je vraćena neuručena s naznakom dostavne pošte: "OBAVIJEŠTEN NIJE PODIGAO POŠILJKU"</w:t>
      </w:r>
      <w:r w:rsidRPr="00F115C9">
        <w:rPr>
          <w:rFonts w:cs="Times New Roman" w:eastAsia="Times New Roman"/>
        </w:rPr>
        <w:t>. Za bivšeg direktora Dužnika Damira Marinovića je pošiljka vraćena neuručena s naznakom pošte: „ODSUTAN“, „OBAVIJEŠTEN“, „STAN ZATVOREN“, „NEPOZNAT“. Međutim, sukladno članku 12, SZ, objava na mrežnoj stranici e-Oglasna ploča sudova, smatra se kako je dostava obavljena svim sudionicima pa i onima za koje SZ propisuje posebnu dostavu.</w:t>
      </w:r>
      <w:r w:rsidRPr="00F115C9">
        <w:rPr>
          <w:rFonts w:cs="Times New Roman" w:eastAsia="Times New Roman"/>
          <w:lang w:eastAsia="hr-HR"/>
        </w:rPr>
        <w:t xml:space="preserve"> Pozvana FINA je Sudu dostavila potvrde o blokadi računa i novčanih sredstava Dužnika.</w:t>
      </w:r>
      <w:r w:rsidRPr="00F115C9">
        <w:rPr>
          <w:rFonts w:cs="Times New Roman" w:eastAsia="Times New Roman"/>
        </w:rPr>
        <w:t xml:space="preserve"> Zato je Sud ovo ročište i održao te na istome izveo dokaze koji se nalaze u spisu, pročitane su pribavljene potvrde FINA-e o nesolventnosti Dužnika kao i presuda ovog Suda od 24. veljače 2016, broj: P-114/2015. pa je nakon tako izvedenih dokaza – temeljem savjesne i brižljive ocjene svakog dokaza zasebno i svih</w:t>
      </w: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bCs/>
        </w:rPr>
      </w:pPr>
      <w:r w:rsidRPr="00F115C9">
        <w:rPr>
          <w:rFonts w:cs="Times New Roman" w:eastAsia="Times New Roman"/>
        </w:rPr>
        <w:t xml:space="preserve">                                                                  - 3 -                     Poslovni broj: 14. St-1829/2016-15</w:t>
      </w: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r w:rsidRPr="00F115C9">
        <w:rPr>
          <w:rFonts w:cs="Times New Roman" w:eastAsia="Times New Roman"/>
        </w:rPr>
        <w:t>dokaza zajedno a i temeljem rezultata cjelokupnog postupka (članak 8, Zakona o parničnom postupku ("Narodne novine" br.-i: 148/11.-pročišćeni tekst, 25/13. i 89/14.-Odluka USRH, br.: U-I-885/2013., dalje: ZPP) u vezi sa člankom 10, SZ – Sud riješio kao u izrijeci ovog Rješenja zbog niže navedenih razloga.</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3) Člankom 433. a u vezi sa člancima 444. i 429, SZ, propisano je: </w:t>
      </w: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center"/>
        <w:rPr>
          <w:rFonts w:cs="Times New Roman" w:eastAsia="Calibri"/>
          <w:iCs/>
          <w:color w:val="000000"/>
          <w:lang w:eastAsia="hr-HR"/>
        </w:rPr>
      </w:pPr>
      <w:r w:rsidRPr="00F115C9">
        <w:rPr>
          <w:rFonts w:cs="Times New Roman" w:eastAsia="Calibri"/>
          <w:iCs/>
          <w:color w:val="000000"/>
          <w:lang w:eastAsia="hr-HR"/>
        </w:rPr>
        <w:t>Obustava skraćenoga stečajnog postupka</w:t>
      </w:r>
    </w:p>
    <w:p w:rsidRDefault="00F115C9" w:rsidP="00F115C9" w:rsidR="00F115C9" w:rsidRPr="00F115C9">
      <w:pPr>
        <w:spacing w:after="0"/>
        <w:jc w:val="center"/>
        <w:rPr>
          <w:rFonts w:cs="Times New Roman" w:eastAsia="Calibri"/>
          <w:color w:val="000000"/>
          <w:lang w:eastAsia="hr-HR"/>
        </w:rPr>
      </w:pPr>
      <w:r w:rsidRPr="00F115C9">
        <w:rPr>
          <w:rFonts w:cs="Times New Roman" w:eastAsia="Calibri"/>
          <w:color w:val="000000"/>
          <w:lang w:eastAsia="hr-HR"/>
        </w:rPr>
        <w:t>Članak 433.</w:t>
      </w:r>
    </w:p>
    <w:p w:rsidRDefault="00F115C9" w:rsidP="00F115C9" w:rsidR="00F115C9" w:rsidRPr="00F115C9">
      <w:pPr>
        <w:spacing w:after="0"/>
        <w:jc w:val="both"/>
        <w:rPr>
          <w:rFonts w:cs="Times New Roman" w:eastAsia="Calibri"/>
          <w:color w:val="000000"/>
          <w:lang w:eastAsia="hr-HR"/>
        </w:rPr>
      </w:pPr>
    </w:p>
    <w:p w:rsidRDefault="00F115C9" w:rsidP="00F115C9" w:rsidR="00F115C9" w:rsidRPr="00F115C9">
      <w:pPr>
        <w:spacing w:after="0"/>
        <w:jc w:val="both"/>
        <w:rPr>
          <w:rFonts w:cs="Times New Roman" w:eastAsia="Calibri"/>
          <w:color w:val="000000"/>
          <w:lang w:eastAsia="hr-HR"/>
        </w:rPr>
      </w:pPr>
      <w:r w:rsidRPr="00F115C9">
        <w:rPr>
          <w:rFonts w:cs="Times New Roman" w:eastAsia="Calibri"/>
          <w:color w:val="000000"/>
          <w:lang w:eastAsia="hr-HR"/>
        </w:rPr>
        <w:t>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4) Sukladno ovoj odredbi članka 433. a u vezi sa člancima 444. i 429, SZ, pošto je skraćeni stečajni postupak pokrenut po Zahtjevu FINA-e nad Dužnikom obustavljen Rješenjem ovog Suda od 19. rujna 2016, broj: 14. St-1491/2015, to je Sud – utvrdivši pravno utemeljenom aktivnu legitimaciju Predlagatelja – proveo prethodni postupak, u kojem je utvrđeno postojanje stečajnog razloga nesposobnosti Dužnika za plaćanje. Aktivnu legitimaciju Predlagatelja je Sud utvrdio iz priloga koje je dostavljen uz Prijedlog: Stanje računa poreznog obveznika na dan 07. 03. 2016. koje je izdala Porezna uprava u Splitu kao državno tijelo u granicama vlastite nadležnosti i čije isprave predstavljaju javne isprave te dokazuju istinitost onoga što se u njima utvrđuje ili određuje (članak 230, stavak 1, ZPP-a) a iz koje je isprave utvrđeno kako Dužnik duguje Predlagatelju (RH – Ministarstvu financija) 41.302,06 kuna. Time je Predlagatelj učinio vjerojatnim postojanje vlastite tražbine prema Dužnika a što je prva propisana činjenica za otvoriti stečajni postupak, činjenica propisana člankom 109, stavcima 1. i 2, SZ, kojim je odredbama propisano kako je prijedlog za otvaranje stečajnog postupka ovlašten podnijeti vjerovnik ili dužnik, ako zakonom nije drukčije određeno te kako je vjerovnik ovlašten podnijeti prijedlog za otvaranje stečajnog postupka ako učini vjerojatnim postojanje svoje tražbine i stečajnog razloga.</w:t>
      </w:r>
    </w:p>
    <w:p w:rsidRDefault="00F115C9" w:rsidP="00F115C9" w:rsidR="00F115C9" w:rsidRPr="00F115C9">
      <w:pPr>
        <w:spacing w:after="0"/>
        <w:jc w:val="both"/>
        <w:rPr>
          <w:rFonts w:cs="Times New Roman" w:eastAsia="Times New Roman"/>
        </w:rPr>
      </w:pPr>
      <w:r w:rsidRPr="00F115C9">
        <w:rPr>
          <w:rFonts w:cs="Times New Roman" w:eastAsia="Times New Roman"/>
          <w:lang w:eastAsia="hr-HR"/>
        </w:rPr>
        <w:t xml:space="preserve">          5) Naime, z</w:t>
      </w:r>
      <w:r w:rsidRPr="00F115C9">
        <w:rPr>
          <w:rFonts w:cs="Times New Roman" w:eastAsia="Times New Roman"/>
        </w:rPr>
        <w:t>a otvoriti stečajni postupak nad Dužnikom, Sudu je potrebito utvrditi postojanje dviju činjenica: a) činjenicu ovlaštenog predlagatelja, aktivne legitimacije predlagatelja i b) činjenicu postojanja makar i jednog od zakonom propisanih stečajnih razloga a kao stečajni razlozi su člankom 5, SZ, propisani: nesposobnost za plaćanje, prezaduženost i tzv., prijeteća nesposobnost za plaćanje.</w:t>
      </w:r>
    </w:p>
    <w:p w:rsidRDefault="00F115C9" w:rsidP="00F115C9" w:rsidR="00F115C9" w:rsidRPr="00F115C9">
      <w:pPr>
        <w:spacing w:after="0"/>
        <w:jc w:val="both"/>
        <w:rPr>
          <w:rFonts w:cs="Times New Roman" w:eastAsia="Times New Roman"/>
          <w:lang w:eastAsia="hr-HR" w:val="fr-FR"/>
        </w:rPr>
      </w:pPr>
      <w:r w:rsidRPr="00F115C9">
        <w:rPr>
          <w:rFonts w:cs="Times New Roman" w:eastAsia="Times New Roman"/>
          <w:lang w:eastAsia="hr-HR"/>
        </w:rPr>
        <w:t xml:space="preserve">          6) Sud je utvrdio postojanje i stečajnog razloga i to baš stečajnog razloga nesposobnosti za plaćanje na strani Dužnika. To je Sud utvrdio čitanjem Potvrde o blokadi računa i novčanih sredstava, od 21. studenog 2018, koju je Sudu dostavila FINA za ročište održano 22. studenog 2018. a čitanjem koje Potvrde je utvrđeno kako je na računima i novčanim sredstvima Dužnika "(...) na dan izdavanja potvrde evidentirano je 2969 </w:t>
      </w:r>
      <w:proofErr w:type="spellStart"/>
      <w:r w:rsidRPr="00F115C9">
        <w:rPr>
          <w:rFonts w:cs="Times New Roman" w:eastAsia="Times New Roman"/>
          <w:lang w:eastAsia="hr-HR"/>
        </w:rPr>
        <w:t>dana.neprekidne</w:t>
      </w:r>
      <w:proofErr w:type="spellEnd"/>
      <w:r w:rsidRPr="00F115C9">
        <w:rPr>
          <w:rFonts w:cs="Times New Roman" w:eastAsia="Times New Roman"/>
          <w:lang w:eastAsia="hr-HR"/>
        </w:rPr>
        <w:t xml:space="preserve"> blokade (...) zbog nepodmirenih osnova za plaćanje evidentiranih u Očevidniku redoslijeda osnova za plaćanje. Nepodmirene obveze na dan izdavanja potvrde iznose 416.900,43 kn“. Time je utvrđeni stečajni razlog nesposobnosti za plaćanje Dužnika, propisan člankom 4. SZ. </w:t>
      </w:r>
      <w:r w:rsidRPr="00F115C9">
        <w:rPr>
          <w:rFonts w:cs="Times New Roman" w:eastAsia="Times New Roman"/>
          <w:lang w:eastAsia="hr-HR" w:val="fr-FR"/>
        </w:rPr>
        <w:t xml:space="preserve"> </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7) Iz navedenog slijedi kako su utvrđene obje činjenice za otvoriti stečajni postupak nad Dužnikom, tj. aktivna legitimacija Predlagatelja i stečajni razlog nesposobnosti za plaćanje na </w:t>
      </w: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bCs/>
        </w:rPr>
      </w:pPr>
      <w:r w:rsidRPr="00F115C9">
        <w:rPr>
          <w:rFonts w:cs="Times New Roman" w:eastAsia="Times New Roman"/>
        </w:rPr>
        <w:t xml:space="preserve">                                                                  - 4 -                     Poslovni broj: 14. St-1829/2016-15</w:t>
      </w: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8</w:t>
      </w:r>
      <w:r w:rsidRPr="00F115C9">
        <w:rPr>
          <w:rFonts w:cs="Times New Roman" w:eastAsia="Times New Roman"/>
          <w:b/>
          <w:lang w:eastAsia="hr-HR"/>
        </w:rPr>
        <w:t>)</w:t>
      </w:r>
      <w:r w:rsidRPr="00F115C9">
        <w:rPr>
          <w:rFonts w:cs="Times New Roman" w:eastAsia="Times New Roman"/>
          <w:lang w:eastAsia="hr-HR"/>
        </w:rPr>
        <w:t xml:space="preserve"> U odnosu na pasivno stajalište Dužnika u ovome postupku, Sud ističe kako je Dužnik i osobno pozvan na ročište za dan 22. studenog 2018. i to na adresu sjedišta Dužnika upisanu u sudskom registru a pošiljka se vratila neuručena uz naznaku dostavne pošte "OBAVIJEŠTENI NIJE PODIGAO POŠILJKU" i „NEPOZNAT“ a Dužnik je pozvan i preko mrežne stranice e-Oglasna ploča sudova sukladno članku 12, SZ, slijedom čega je Sud smatrao kako Dužniku nije potrebito postavljati privremenog zastupnika u ovome stečajnom postupku. Na navedeno ročište pozvani</w:t>
      </w:r>
      <w:r w:rsidRPr="00F115C9">
        <w:rPr>
          <w:rFonts w:cs="Times New Roman" w:eastAsia="Times New Roman"/>
          <w:noProof/>
        </w:rPr>
        <w:t xml:space="preserve"> bivši direktor i udjeličar Dužnika Damir Marinović na ročište nije pristupio a dostava poziva upućena je</w:t>
      </w:r>
      <w:r w:rsidRPr="00F115C9">
        <w:rPr>
          <w:rFonts w:cs="Times New Roman" w:eastAsia="Times New Roman"/>
        </w:rPr>
        <w:t xml:space="preserve"> za bivšeg direktora Dužnika Damira Marinovića je pošiljka vraćena neuručena s naznakom pošte: „ODSUTAN“, „OBAVIJEŠTEN“, „STAN ZATVOREN“, „NEPOZNAT“.</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9) U odnosu na osobu stečajnog upravitelja, Sud ističe kako je Stečajni upravitelj Bože </w:t>
      </w:r>
      <w:proofErr w:type="spellStart"/>
      <w:r w:rsidRPr="00F115C9">
        <w:rPr>
          <w:rFonts w:cs="Times New Roman" w:eastAsia="Times New Roman"/>
          <w:lang w:eastAsia="hr-HR"/>
        </w:rPr>
        <w:t>Guvo</w:t>
      </w:r>
      <w:proofErr w:type="spellEnd"/>
      <w:r w:rsidRPr="00F115C9">
        <w:rPr>
          <w:rFonts w:cs="Times New Roman" w:eastAsia="Times New Roman"/>
          <w:lang w:eastAsia="hr-HR"/>
        </w:rPr>
        <w:t xml:space="preserve">, </w:t>
      </w:r>
      <w:smartTag w:element="place" w:uri="urn:schemas-microsoft-com:office:smarttags">
        <w:smartTag w:element="City" w:uri="urn:schemas-microsoft-com:office:smarttags">
          <w:r w:rsidRPr="00F115C9">
            <w:rPr>
              <w:rFonts w:cs="Times New Roman" w:eastAsia="Times New Roman"/>
              <w:lang w:eastAsia="hr-HR"/>
            </w:rPr>
            <w:t>Split</w:t>
          </w:r>
        </w:smartTag>
      </w:smartTag>
      <w:r w:rsidRPr="00F115C9">
        <w:rPr>
          <w:rFonts w:cs="Times New Roman" w:eastAsia="Times New Roman"/>
          <w:lang w:eastAsia="hr-HR"/>
        </w:rPr>
        <w:t xml:space="preserve">, </w:t>
      </w:r>
      <w:proofErr w:type="spellStart"/>
      <w:r w:rsidRPr="00F115C9">
        <w:rPr>
          <w:rFonts w:cs="Times New Roman" w:eastAsia="Times New Roman"/>
          <w:lang w:eastAsia="hr-HR"/>
        </w:rPr>
        <w:t>Smiljanićeva</w:t>
      </w:r>
      <w:proofErr w:type="spellEnd"/>
      <w:r w:rsidRPr="00F115C9">
        <w:rPr>
          <w:rFonts w:cs="Times New Roman" w:eastAsia="Times New Roman"/>
          <w:lang w:eastAsia="hr-HR"/>
        </w:rPr>
        <w:t xml:space="preserve"> 2., OIB: 55368811100</w:t>
      </w:r>
      <w:r w:rsidRPr="00F115C9">
        <w:rPr>
          <w:rFonts w:cs="Times New Roman" w:eastAsia="Times New Roman"/>
        </w:rPr>
        <w:t xml:space="preserve">, </w:t>
      </w:r>
      <w:r w:rsidRPr="00F115C9">
        <w:rPr>
          <w:rFonts w:cs="Times New Roman" w:eastAsia="Times New Roman"/>
          <w:lang w:eastAsia="hr-HR"/>
        </w:rPr>
        <w:t xml:space="preserve">na tu funkciju imenovan prethodnim izborom po metodi slučajnog odabira sa Liste A stečajni upravitelja za područje nadležnosti ovog Suda, temeljem članka 85, stavka1, u vezi sa člankom 84, stavkom1, SZ. </w:t>
      </w:r>
    </w:p>
    <w:p w:rsidRDefault="00F115C9" w:rsidP="00F115C9" w:rsidR="00F115C9" w:rsidRPr="00F115C9">
      <w:pPr>
        <w:spacing w:after="0"/>
        <w:jc w:val="both"/>
        <w:rPr>
          <w:rFonts w:cs="Times New Roman" w:eastAsia="Times New Roman"/>
          <w:lang w:eastAsia="hr-HR"/>
        </w:rPr>
      </w:pPr>
      <w:r w:rsidRPr="00F115C9">
        <w:rPr>
          <w:rFonts w:cs="Times New Roman" w:eastAsia="Times New Roman"/>
          <w:lang w:eastAsia="hr-HR"/>
        </w:rPr>
        <w:t xml:space="preserve">          10) Zbog svih navedenih razloga i temeljem svih gore navedenih pozitivnih propisa, Sud je riješio kao u izrijeci Rješenja.</w:t>
      </w: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both"/>
        <w:rPr>
          <w:rFonts w:cs="Times New Roman" w:eastAsia="Times New Roman"/>
          <w:lang w:eastAsia="hr-HR"/>
        </w:rPr>
      </w:pPr>
    </w:p>
    <w:p w:rsidRDefault="00F115C9" w:rsidP="00F115C9" w:rsidR="00F115C9" w:rsidRPr="00F115C9">
      <w:pPr>
        <w:spacing w:after="0"/>
        <w:jc w:val="center"/>
        <w:rPr>
          <w:rFonts w:cs="Times New Roman" w:eastAsia="Times New Roman"/>
        </w:rPr>
      </w:pPr>
      <w:r w:rsidRPr="00F115C9">
        <w:rPr>
          <w:rFonts w:cs="Times New Roman" w:eastAsia="Times New Roman"/>
        </w:rPr>
        <w:t>Split, 14. prosinca 2018.</w:t>
      </w: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ind w:left="4248"/>
        <w:jc w:val="center"/>
        <w:rPr>
          <w:rFonts w:cs="Times New Roman" w:eastAsia="Times New Roman"/>
          <w:lang w:val="en-US"/>
        </w:rPr>
      </w:pPr>
      <w:r w:rsidRPr="00F115C9">
        <w:rPr>
          <w:rFonts w:cs="Times New Roman" w:eastAsia="Times New Roman"/>
        </w:rPr>
        <w:t xml:space="preserve">                                                                                                               </w:t>
      </w:r>
      <w:r w:rsidRPr="00F115C9">
        <w:rPr>
          <w:rFonts w:cs="Times New Roman" w:eastAsia="Times New Roman"/>
          <w:lang w:val="en-US"/>
        </w:rPr>
        <w:t>SUDAC</w:t>
      </w:r>
    </w:p>
    <w:p w:rsidRDefault="00F115C9" w:rsidP="00F115C9" w:rsidR="00F115C9" w:rsidRPr="00F115C9">
      <w:pPr>
        <w:spacing w:after="0"/>
        <w:ind w:left="4248"/>
        <w:jc w:val="center"/>
        <w:rPr>
          <w:rFonts w:cs="Times New Roman" w:eastAsia="Times New Roman"/>
          <w:lang w:val="en-US"/>
        </w:rPr>
      </w:pPr>
    </w:p>
    <w:p w:rsidRDefault="00F115C9" w:rsidP="00F115C9" w:rsidR="00F115C9" w:rsidRPr="00F115C9">
      <w:pPr>
        <w:spacing w:after="0"/>
        <w:ind w:left="4248"/>
        <w:jc w:val="center"/>
        <w:rPr>
          <w:rFonts w:cs="Times New Roman" w:eastAsia="Times New Roman"/>
          <w:lang w:val="en-US"/>
        </w:rPr>
      </w:pPr>
      <w:r w:rsidRPr="00F115C9">
        <w:rPr>
          <w:rFonts w:cs="Times New Roman" w:eastAsia="Times New Roman"/>
          <w:lang w:val="en-US"/>
        </w:rPr>
        <w:t xml:space="preserve">Jozo Ćaleta, </w:t>
      </w:r>
      <w:proofErr w:type="spellStart"/>
      <w:r w:rsidRPr="00F115C9">
        <w:rPr>
          <w:rFonts w:cs="Times New Roman" w:eastAsia="Times New Roman"/>
          <w:lang w:val="en-US"/>
        </w:rPr>
        <w:t>v.r</w:t>
      </w:r>
      <w:proofErr w:type="spellEnd"/>
      <w:r w:rsidRPr="00F115C9">
        <w:rPr>
          <w:rFonts w:cs="Times New Roman" w:eastAsia="Times New Roman"/>
          <w:lang w:val="en-US"/>
        </w:rPr>
        <w:t>.</w:t>
      </w:r>
    </w:p>
    <w:p w:rsidRDefault="00F115C9" w:rsidP="00F115C9" w:rsidR="00F115C9" w:rsidRPr="00F115C9">
      <w:pPr>
        <w:spacing w:after="0"/>
        <w:ind w:left="4248"/>
        <w:jc w:val="center"/>
        <w:rPr>
          <w:rFonts w:cs="Times New Roman" w:eastAsia="Times New Roman"/>
          <w:lang w:val="en-US"/>
        </w:rPr>
      </w:pPr>
      <w:proofErr w:type="spellStart"/>
      <w:r w:rsidRPr="00F115C9">
        <w:rPr>
          <w:rFonts w:cs="Times New Roman" w:eastAsia="Times New Roman"/>
          <w:lang w:val="en-US"/>
        </w:rPr>
        <w:t>za</w:t>
      </w:r>
      <w:proofErr w:type="spellEnd"/>
      <w:r w:rsidRPr="00F115C9">
        <w:rPr>
          <w:rFonts w:cs="Times New Roman" w:eastAsia="Times New Roman"/>
          <w:lang w:val="en-US"/>
        </w:rPr>
        <w:t xml:space="preserve"> </w:t>
      </w:r>
      <w:proofErr w:type="spellStart"/>
      <w:r w:rsidRPr="00F115C9">
        <w:rPr>
          <w:rFonts w:cs="Times New Roman" w:eastAsia="Times New Roman"/>
          <w:lang w:val="en-US"/>
        </w:rPr>
        <w:t>točnost</w:t>
      </w:r>
      <w:proofErr w:type="spellEnd"/>
      <w:r w:rsidRPr="00F115C9">
        <w:rPr>
          <w:rFonts w:cs="Times New Roman" w:eastAsia="Times New Roman"/>
          <w:lang w:val="en-US"/>
        </w:rPr>
        <w:t xml:space="preserve"> </w:t>
      </w:r>
      <w:proofErr w:type="spellStart"/>
      <w:r w:rsidRPr="00F115C9">
        <w:rPr>
          <w:rFonts w:cs="Times New Roman" w:eastAsia="Times New Roman"/>
          <w:lang w:val="en-US"/>
        </w:rPr>
        <w:t>otpravka-ovlašteni</w:t>
      </w:r>
      <w:proofErr w:type="spellEnd"/>
      <w:r w:rsidRPr="00F115C9">
        <w:rPr>
          <w:rFonts w:cs="Times New Roman" w:eastAsia="Times New Roman"/>
          <w:lang w:val="en-US"/>
        </w:rPr>
        <w:t xml:space="preserve"> </w:t>
      </w:r>
      <w:proofErr w:type="spellStart"/>
      <w:r w:rsidRPr="00F115C9">
        <w:rPr>
          <w:rFonts w:cs="Times New Roman" w:eastAsia="Times New Roman"/>
          <w:lang w:val="en-US"/>
        </w:rPr>
        <w:t>službenik</w:t>
      </w:r>
      <w:proofErr w:type="spellEnd"/>
    </w:p>
    <w:p w:rsidRDefault="00F115C9" w:rsidP="00F115C9" w:rsidR="00F115C9" w:rsidRPr="00F115C9">
      <w:pPr>
        <w:spacing w:after="0"/>
        <w:ind w:left="4248"/>
        <w:jc w:val="center"/>
        <w:rPr>
          <w:rFonts w:cs="Times New Roman" w:eastAsia="Times New Roman"/>
          <w:lang w:val="en-US"/>
        </w:rPr>
      </w:pPr>
      <w:r w:rsidRPr="00F115C9">
        <w:rPr>
          <w:rFonts w:cs="Times New Roman" w:eastAsia="Times New Roman"/>
          <w:lang w:val="en-US"/>
        </w:rPr>
        <w:t xml:space="preserve">Vesna </w:t>
      </w:r>
      <w:proofErr w:type="spellStart"/>
      <w:r w:rsidRPr="00F115C9">
        <w:rPr>
          <w:rFonts w:cs="Times New Roman" w:eastAsia="Times New Roman"/>
          <w:lang w:val="en-US"/>
        </w:rPr>
        <w:t>Čargo</w:t>
      </w:r>
      <w:proofErr w:type="spellEnd"/>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p>
    <w:p w:rsidRDefault="00F115C9" w:rsidP="00F115C9" w:rsidR="00F115C9" w:rsidRPr="00F115C9">
      <w:pPr>
        <w:spacing w:after="0"/>
        <w:jc w:val="both"/>
        <w:rPr>
          <w:rFonts w:cs="Times New Roman" w:eastAsia="Times New Roman"/>
        </w:rPr>
      </w:pPr>
      <w:r w:rsidRPr="00F115C9">
        <w:rPr>
          <w:rFonts w:cs="Times New Roman" w:eastAsia="Times New Roman"/>
        </w:rPr>
        <w:t xml:space="preserve">Pravna pouka: Protiv ovog Rješenja o otvaranju stečajnog postupka može izjaviti žalbu osoba ovlaštena za zastupanje Dužnika po zakonu a protiv ostalog dijela Rješenja osoba koja ima pravni interes i to u roku od osam (8) dana. Žalba se podnosi Trgovačkom sudu u Splitu, Split, </w:t>
      </w:r>
      <w:proofErr w:type="spellStart"/>
      <w:r w:rsidRPr="00F115C9">
        <w:rPr>
          <w:rFonts w:cs="Times New Roman" w:eastAsia="Times New Roman"/>
        </w:rPr>
        <w:t>Sukoišanska</w:t>
      </w:r>
      <w:proofErr w:type="spellEnd"/>
      <w:r w:rsidRPr="00F115C9">
        <w:rPr>
          <w:rFonts w:cs="Times New Roman" w:eastAsia="Times New Roman"/>
        </w:rPr>
        <w:t xml:space="preserve"> 6, u tri primjerka a o žalbi u drugom stupnju odlučuje Visoki trgovački sud Republike Hrvatske u Zagrebu.</w:t>
      </w:r>
    </w:p>
    <w:p w:rsidRDefault="00F115C9" w:rsidP="00F115C9" w:rsidR="00F115C9" w:rsidRPr="00F115C9">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5C9"/>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28249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St-1829/2016-15</izvorni_sadrzaj>
    <derivirana_varijabla naziv="DomainObject.Oznaka_1">St-1829/2016-15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St-1829/2016</izvorni_sadrzaj>
    <derivirana_varijabla naziv="DomainObject.Predmet.OznakaBroj_1">St-1829/2016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PIREX d.o.o. za trgovinu, projektiranje, nadzor i servisne usluge</izvorni_sadrzaj>
    <derivirana_varijabla naziv="DomainObject.Predmet.ProtustrankaFormated_1">  PIREX d.o.o. za trgovinu, projektiranje, nadzor i servisne usluge</derivirana_varijabla>
  </DomainObject.Predmet.ProtustrankaFormated>
  <DomainObject.Predmet.ProtustrankaFormatedOIB>
    <izvorni_sadrzaj>  PIREX d.o.o. za trgovinu, projektiranje, nadzor i servisne usluge, OIB 25681240895</izvorni_sadrzaj>
    <derivirana_varijabla naziv="DomainObject.Predmet.ProtustrankaFormatedOIB_1">  PIREX d.o.o. za trgovinu, projektiranje, nadzor i servisne usluge, OIB 25681240895</derivirana_varijabla>
  </DomainObject.Predmet.ProtustrankaFormatedOIB>
  <DomainObject.Predmet.ProtustrankaFormatedWithAdress>
    <izvorni_sadrzaj> PIREX d.o.o. za trgovinu, projektiranje, nadzor i servisne usluge, Solinska 2/c, 21000 Split</izvorni_sadrzaj>
    <derivirana_varijabla naziv="DomainObject.Predmet.ProtustrankaFormatedWithAdress_1"> PIREX d.o.o. za trgovinu, projektiranje, nadzor i servisne usluge, Solinska 2/c, 21000 Split</derivirana_varijabla>
  </DomainObject.Predmet.ProtustrankaFormatedWithAdress>
  <DomainObject.Predmet.ProtustrankaFormatedWithAdressOIB>
    <izvorni_sadrzaj> PIREX d.o.o. za trgovinu, projektiranje, nadzor i servisne usluge, OIB 25681240895, Solinska 2/c, 21000 Split</izvorni_sadrzaj>
    <derivirana_varijabla naziv="DomainObject.Predmet.ProtustrankaFormatedWithAdressOIB_1"> PIREX d.o.o. za trgovinu, projektiranje, nadzor i servisne usluge, OIB 25681240895, Solinska 2/c, 21000 Split</derivirana_varijabla>
  </DomainObject.Predmet.ProtustrankaFormatedWithAdressOIB>
  <DomainObject.Predmet.ProtustrankaWithAdress>
    <izvorni_sadrzaj>PIREX d.o.o. za trgovinu, projektiranje, nadzor i servisne usluge Solinska 2/c, 21000 Split</izvorni_sadrzaj>
    <derivirana_varijabla naziv="DomainObject.Predmet.ProtustrankaWithAdress_1">PIREX d.o.o. za trgovinu, projektiranje, nadzor i servisne usluge Solinska 2/c, 21000 Split</derivirana_varijabla>
  </DomainObject.Predmet.ProtustrankaWithAdress>
  <DomainObject.Predmet.ProtustrankaWithAdressOIB>
    <izvorni_sadrzaj>PIREX d.o.o. za trgovinu, projektiranje, nadzor i servisne usluge, OIB 25681240895, Solinska 2/c, 21000 Split</izvorni_sadrzaj>
    <derivirana_varijabla naziv="DomainObject.Predmet.ProtustrankaWithAdressOIB_1">PIREX d.o.o. za trgovinu, projektiranje, nadzor i servisne usluge, OIB 25681240895, Solinska 2/c, 21000 Split</derivirana_varijabla>
  </DomainObject.Predmet.ProtustrankaWithAdressOIB>
  <DomainObject.Predmet.ProtustrankaNazivFormated>
    <izvorni_sadrzaj>PIREX d.o.o. za trgovinu, projektiranje, nadzor i servisne usluge</izvorni_sadrzaj>
    <derivirana_varijabla naziv="DomainObject.Predmet.ProtustrankaNazivFormated_1">PIREX d.o.o. za trgovinu, projektiranje, nadzor i servisne usluge</derivirana_varijabla>
  </DomainObject.Predmet.ProtustrankaNazivFormated>
  <DomainObject.Predmet.ProtustrankaNazivFormatedOIB>
    <izvorni_sadrzaj>PIREX d.o.o. za trgovinu, projektiranje, nadzor i servisne usluge, OIB 25681240895</izvorni_sadrzaj>
    <derivirana_varijabla naziv="DomainObject.Predmet.ProtustrankaNazivFormatedOIB_1">PIREX d.o.o. za trgovinu, projektiranje, nadzor i servisne usluge, OIB 25681240895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357357.47</izvorni_sadrzaj>
    <derivirana_varijabla naziv="DomainObject.Predmet.TrenutnaVrijednost_1">357357.47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PIREX d.o.o. za trgovinu, projektiranje, nadzor i servisne usluge</item>
    </izvorni_sadrzaj>
    <derivirana_varijabla naziv="DomainObject.Predmet.ProtuStrankaListFormated_1">
      <item>PIREX d.o.o. za trgovinu, projektiranje, nadzor i servisne usluge</item>
    </derivirana_varijabla>
  </DomainObject.Predmet.ProtuStrankaListFormated>
  <DomainObject.Predmet.ProtuStrankaListFormatedOIB>
    <izvorni_sadrzaj>
      <item>PIREX d.o.o. za trgovinu, projektiranje, nadzor i servisne usluge, OIB 25681240895</item>
    </izvorni_sadrzaj>
    <derivirana_varijabla naziv="DomainObject.Predmet.ProtuStrankaListFormatedOIB_1">
      <item>PIREX d.o.o. za trgovinu, projektiranje, nadzor i servisne usluge, OIB 25681240895</item>
    </derivirana_varijabla>
  </DomainObject.Predmet.ProtuStrankaListFormatedOIB>
  <DomainObject.Predmet.ProtuStrankaListFormatedWithAdress>
    <izvorni_sadrzaj>
      <item>PIREX d.o.o. za trgovinu, projektiranje, nadzor i servisne usluge, Solinska 2/c, 21000 Split</item>
    </izvorni_sadrzaj>
    <derivirana_varijabla naziv="DomainObject.Predmet.ProtuStrankaListFormatedWithAdress_1">
      <item>PIREX d.o.o. za trgovinu, projektiranje, nadzor i servisne usluge, Solinska 2/c, 21000 Split</item>
    </derivirana_varijabla>
  </DomainObject.Predmet.ProtuStrankaListFormatedWithAdress>
  <DomainObject.Predmet.ProtuStrankaListFormatedWithAdressOIB>
    <izvorni_sadrzaj>
      <item>PIREX d.o.o. za trgovinu, projektiranje, nadzor i servisne usluge, OIB 25681240895, Solinska 2/c, 21000 Split</item>
    </izvorni_sadrzaj>
    <derivirana_varijabla naziv="DomainObject.Predmet.ProtuStrankaListFormatedWithAdressOIB_1">
      <item>PIREX d.o.o. za trgovinu, projektiranje, nadzor i servisne usluge, OIB 25681240895, Solinska 2/c, 21000 Split</item>
    </derivirana_varijabla>
  </DomainObject.Predmet.ProtuStrankaListFormatedWithAdressOIB>
  <DomainObject.Predmet.ProtuStrankaListNazivFormated>
    <izvorni_sadrzaj>
      <item>PIREX d.o.o. za trgovinu, projektiranje, nadzor i servisne usluge</item>
    </izvorni_sadrzaj>
    <derivirana_varijabla naziv="DomainObject.Predmet.ProtuStrankaListNazivFormated_1">
      <item>PIREX d.o.o. za trgovinu, projektiranje, nadzor i servisne usluge</item>
    </derivirana_varijabla>
  </DomainObject.Predmet.ProtuStrankaListNazivFormated>
  <DomainObject.Predmet.ProtuStrankaListNazivFormatedOIB>
    <izvorni_sadrzaj>
      <item>PIREX d.o.o. za trgovinu, projektiranje, nadzor i servisne usluge, OIB 25681240895</item>
    </izvorni_sadrzaj>
    <derivirana_varijabla naziv="DomainObject.Predmet.ProtuStrankaListNazivFormatedOIB_1">
      <item>PIREX d.o.o. za trgovinu, projektiranje, nadzor i servisne usluge, OIB 25681240895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St-1829/2016-15</izvorni_sadrzaj>
    <derivirana_varijabla naziv="DomainObject.PoslovniBrojDokumenta_1">St-1829/2016-15</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PIREX d.o.o. za trgovinu, projektiranje, nadzor i servisne usluge</izvorni_sadrzaj>
    <derivirana_varijabla naziv="DomainObject.Predmet.ProtustrankaIDrugi_1">PIREX d.o.o. za trgovinu, projektiranje, nadzor i servisne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PIREX d.o.o. za trgovinu, projektiranje, nadzor i servisne usluge, OIB 25681240895, Solinska 2/c, 21000 Split</izvorni_sadrzaj>
    <derivirana_varijabla naziv="DomainObject.Predmet.ProtustrankaIDrugiAdressOIB_1">PIREX d.o.o. za trgovinu, projektiranje, nadzor i servisne usluge, OIB 25681240895, Solinska 2/c,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PIREX d.o.o. za trgovinu, projektiranje, nadzor i servisne usluge</item>
      <item>ŽUPANIJSKO DRŽAVNO ODVJETNIŠTVO</item>
    </izvorni_sadrzaj>
    <derivirana_varijabla naziv="DomainObject.Predmet.SudioniciListNaziv_1">
      <item>PIREX d.o.o. za trgovinu, projektiranje, nadzor i servisne usluge</item>
      <item>ŽUPANIJSKO DRŽAVNO ODVJETNIŠTVO</item>
    </derivirana_varijabla>
  </DomainObject.Predmet.SudioniciListNaziv>
  <DomainObject.Predmet.SudioniciListAdressOIB>
    <izvorni_sadrzaj>
      <item>PIREX d.o.o. za trgovinu, projektiranje, nadzor i servisne usluge, OIB 25681240895, Solinska 2/c,21000 Split</item>
      <item>ŽUPANIJSKO DRŽAVNO ODVJETNIŠTVO, OIB 70793241859, Gundulićeva 29a,21000 Split</item>
    </izvorni_sadrzaj>
    <derivirana_varijabla naziv="DomainObject.Predmet.SudioniciListAdressOIB_1">
      <item>PIREX d.o.o. za trgovinu, projektiranje, nadzor i servisne usluge, OIB 25681240895, Solinska 2/c,21000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E9F56-5E70-4BEC-B9D7-E50BD40B3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1740</properties:Words>
  <properties:Characters>10002</properties:Characters>
  <properties:Lines>192</properties:Lines>
  <properties:Paragraphs>40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2018-12-14T10:39:00Z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St-1829/2016-15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