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597e" w14:paraId="c0e597e" w:rsidRDefault="00355C10" w:rsidP="00355C10" w:rsidR="00355C10" w:rsidRPr="00355C10">
      <w:pPr>
        <w:spacing w:lineRule="auto" w:line="288"/>
        <w15:collapsed w:val="false"/>
        <w:rPr>
          <w:rFonts w:cs="Tahoma" w:hAnsi="Tahoma" w:ascii="Tahoma"/>
          <w:sz w:val="22"/>
          <w:szCs w:val="22"/>
          <w:lang w:val="pl-PL"/>
        </w:rPr>
      </w:pPr>
      <w:bookmarkStart w:name="_GoBack" w:id="0"/>
      <w:bookmarkEnd w:id="0"/>
      <w:r w:rsidRPr="00355C10">
        <w:rPr>
          <w:rFonts w:cs="Tahoma" w:hAnsi="Tahoma" w:ascii="Tahoma"/>
          <w:sz w:val="22"/>
          <w:szCs w:val="22"/>
          <w:lang w:val="pl-PL"/>
        </w:rPr>
        <w:t xml:space="preserve">Nadležni trgovački sud  </w:t>
      </w:r>
      <w:r w:rsidRPr="00355C10">
        <w:rPr>
          <w:rFonts w:cs="Tahoma" w:hAnsi="Tahoma" w:ascii="Tahoma"/>
          <w:b/>
          <w:sz w:val="22"/>
          <w:szCs w:val="22"/>
          <w:lang w:val="pl-PL"/>
        </w:rPr>
        <w:t>Varaždin</w:t>
      </w:r>
    </w:p>
    <w:p w:rsidRDefault="00355C10" w:rsidP="00355C10" w:rsidR="00355C10" w:rsidRPr="00355C10">
      <w:pPr>
        <w:spacing w:lineRule="auto" w:line="288"/>
        <w:jc w:val="both"/>
        <w:rPr>
          <w:rFonts w:cs="Tahoma" w:hAnsi="Tahoma" w:ascii="Tahoma"/>
          <w:b/>
          <w:sz w:val="22"/>
          <w:szCs w:val="22"/>
          <w:lang w:val="pl-PL"/>
        </w:rPr>
      </w:pPr>
      <w:r w:rsidRPr="00355C10">
        <w:rPr>
          <w:rFonts w:cs="Tahoma" w:hAnsi="Tahoma" w:ascii="Tahoma"/>
          <w:sz w:val="22"/>
          <w:szCs w:val="22"/>
          <w:lang w:val="pl-PL"/>
        </w:rPr>
        <w:t>Poslovni broj spisa:</w:t>
      </w:r>
      <w:r w:rsidRPr="00355C10">
        <w:rPr>
          <w:rFonts w:cs="Tahoma" w:hAnsi="Tahoma" w:ascii="Tahoma"/>
          <w:sz w:val="22"/>
          <w:szCs w:val="22"/>
          <w:lang w:val="pl-PL"/>
        </w:rPr>
        <w:tab/>
      </w:r>
      <w:r w:rsidRPr="00355C10">
        <w:rPr>
          <w:rFonts w:cs="Tahoma" w:hAnsi="Tahoma" w:ascii="Tahoma"/>
          <w:b/>
          <w:sz w:val="22"/>
          <w:szCs w:val="22"/>
          <w:lang w:val="pl-PL"/>
        </w:rPr>
        <w:t xml:space="preserve">  St </w:t>
      </w:r>
      <w:r>
        <w:rPr>
          <w:rFonts w:cs="Tahoma" w:hAnsi="Tahoma" w:ascii="Tahoma"/>
          <w:b/>
          <w:sz w:val="22"/>
          <w:szCs w:val="22"/>
          <w:lang w:val="pl-PL"/>
        </w:rPr>
        <w:t>–</w:t>
      </w:r>
      <w:r w:rsidRPr="00355C10">
        <w:rPr>
          <w:rFonts w:cs="Tahoma" w:hAnsi="Tahoma" w:ascii="Tahoma"/>
          <w:b/>
          <w:sz w:val="22"/>
          <w:szCs w:val="22"/>
          <w:lang w:val="pl-PL"/>
        </w:rPr>
        <w:t xml:space="preserve"> </w:t>
      </w:r>
      <w:r w:rsidR="00C83A3F">
        <w:rPr>
          <w:rFonts w:cs="Tahoma" w:hAnsi="Tahoma" w:ascii="Tahoma"/>
          <w:b/>
          <w:sz w:val="22"/>
          <w:szCs w:val="22"/>
          <w:lang w:val="pl-PL"/>
        </w:rPr>
        <w:t>271/11</w:t>
      </w:r>
      <w:r w:rsidRPr="00355C10">
        <w:rPr>
          <w:rFonts w:cs="Tahoma" w:hAnsi="Tahoma" w:ascii="Tahoma"/>
          <w:b/>
          <w:sz w:val="22"/>
          <w:szCs w:val="22"/>
          <w:lang w:val="pl-PL"/>
        </w:rPr>
        <w:t xml:space="preserve">  </w:t>
      </w:r>
    </w:p>
    <w:p w:rsidRDefault="00355C10" w:rsidP="00355C10" w:rsidR="0038477B">
      <w:pPr>
        <w:spacing w:lineRule="auto" w:line="288"/>
        <w:ind w:hanging="2250" w:left="2250"/>
        <w:jc w:val="both"/>
        <w:rPr>
          <w:rFonts w:cs="Tahoma" w:hAnsi="Tahoma" w:ascii="Tahoma"/>
          <w:b/>
          <w:sz w:val="22"/>
          <w:szCs w:val="22"/>
          <w:lang w:val="pl-PL"/>
        </w:rPr>
      </w:pPr>
      <w:r w:rsidRPr="00355C10">
        <w:rPr>
          <w:rFonts w:cs="Tahoma" w:hAnsi="Tahoma" w:ascii="Tahoma"/>
          <w:sz w:val="22"/>
          <w:szCs w:val="22"/>
          <w:lang w:val="pl-PL"/>
        </w:rPr>
        <w:t xml:space="preserve">Dužnik: </w:t>
      </w:r>
      <w:r w:rsidRPr="00355C10">
        <w:rPr>
          <w:rFonts w:cs="Tahoma" w:hAnsi="Tahoma" w:ascii="Tahoma"/>
          <w:sz w:val="22"/>
          <w:szCs w:val="22"/>
          <w:lang w:val="pl-PL"/>
        </w:rPr>
        <w:tab/>
      </w:r>
      <w:r w:rsidRPr="00355C10">
        <w:rPr>
          <w:rFonts w:cs="Tahoma" w:hAnsi="Tahoma" w:ascii="Tahoma"/>
          <w:b/>
          <w:sz w:val="22"/>
          <w:szCs w:val="22"/>
          <w:lang w:val="pl-PL"/>
        </w:rPr>
        <w:t>S</w:t>
      </w:r>
      <w:r>
        <w:rPr>
          <w:rFonts w:cs="Tahoma" w:hAnsi="Tahoma" w:ascii="Tahoma"/>
          <w:b/>
          <w:sz w:val="22"/>
          <w:szCs w:val="22"/>
          <w:lang w:val="pl-PL"/>
        </w:rPr>
        <w:t>t</w:t>
      </w:r>
      <w:r w:rsidRPr="00355C10">
        <w:rPr>
          <w:rFonts w:cs="Tahoma" w:hAnsi="Tahoma" w:ascii="Tahoma"/>
          <w:b/>
          <w:sz w:val="22"/>
          <w:szCs w:val="22"/>
          <w:lang w:val="pl-PL"/>
        </w:rPr>
        <w:t xml:space="preserve">ečajna masa  </w:t>
      </w:r>
      <w:r w:rsidR="0038477B">
        <w:rPr>
          <w:rFonts w:cs="Tahoma" w:hAnsi="Tahoma" w:ascii="Tahoma"/>
          <w:b/>
          <w:sz w:val="22"/>
          <w:szCs w:val="22"/>
          <w:lang w:val="pl-PL"/>
        </w:rPr>
        <w:t xml:space="preserve">iza  PLURIS d.d. </w:t>
      </w:r>
      <w:r>
        <w:rPr>
          <w:rFonts w:cs="Tahoma" w:hAnsi="Tahoma" w:ascii="Tahoma"/>
          <w:b/>
          <w:sz w:val="22"/>
          <w:szCs w:val="22"/>
          <w:lang w:val="pl-PL"/>
        </w:rPr>
        <w:t xml:space="preserve"> u stečaju, </w:t>
      </w:r>
    </w:p>
    <w:p w:rsidRDefault="0038477B" w:rsidP="0038477B" w:rsidR="00355C10">
      <w:pPr>
        <w:spacing w:lineRule="auto" w:line="288"/>
        <w:ind w:hanging="126" w:left="2250"/>
        <w:jc w:val="both"/>
        <w:rPr>
          <w:rFonts w:cs="Tahoma" w:hAnsi="Tahoma" w:ascii="Tahoma"/>
          <w:b/>
          <w:sz w:val="22"/>
          <w:szCs w:val="22"/>
          <w:lang w:val="pl-PL"/>
        </w:rPr>
      </w:pPr>
      <w:r>
        <w:rPr>
          <w:rFonts w:cs="Tahoma" w:hAnsi="Tahoma" w:ascii="Tahoma"/>
          <w:b/>
          <w:sz w:val="22"/>
          <w:szCs w:val="22"/>
          <w:lang w:val="pl-PL"/>
        </w:rPr>
        <w:t xml:space="preserve">  P.Zrinskog 3, Ludbreg, OIB: 97981922777</w:t>
      </w:r>
      <w:r w:rsidR="00355C10">
        <w:rPr>
          <w:rFonts w:cs="Tahoma" w:hAnsi="Tahoma" w:ascii="Tahoma"/>
          <w:b/>
          <w:sz w:val="22"/>
          <w:szCs w:val="22"/>
          <w:lang w:val="pl-PL"/>
        </w:rPr>
        <w:t xml:space="preserve"> </w:t>
      </w:r>
    </w:p>
    <w:p w:rsidRDefault="006F1393" w:rsidP="006F1393" w:rsidR="006F1393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DC142D" w:rsidP="006F1393" w:rsidR="00DC142D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99133A" w:rsidP="003E6DEF" w:rsidR="003E6DEF" w:rsidRPr="003E6DEF">
      <w:pPr>
        <w:tabs>
          <w:tab w:pos="720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8496" w:val="left"/>
          <w:tab w:pos="9204" w:val="left"/>
          <w:tab w:pos="9912" w:val="left"/>
        </w:tabs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99133A">
        <w:rPr>
          <w:rFonts w:cs="Tahoma" w:hAnsi="Tahoma" w:ascii="Tahoma"/>
          <w:sz w:val="22"/>
          <w:szCs w:val="22"/>
        </w:rPr>
        <w:t xml:space="preserve">Rješenjem Trgovačkog suda u Varaždinu, poslovni broj: St-271/11 nad društvom PLURIS d.d., OIB: 09305641861 otvoren je 29.12.2011. stečajni postupak, koji je postupak Rješenjem istoimenog suda </w:t>
      </w:r>
      <w:r w:rsidRPr="0099133A">
        <w:rPr>
          <w:rFonts w:cs="Tahoma" w:hAnsi="Tahoma" w:ascii="Tahoma"/>
          <w:b/>
          <w:i/>
          <w:sz w:val="22"/>
          <w:szCs w:val="22"/>
        </w:rPr>
        <w:t xml:space="preserve"> </w:t>
      </w:r>
      <w:r w:rsidRPr="0099133A">
        <w:rPr>
          <w:rFonts w:cs="Tahoma" w:hAnsi="Tahoma" w:ascii="Tahoma"/>
          <w:sz w:val="22"/>
          <w:szCs w:val="22"/>
        </w:rPr>
        <w:t xml:space="preserve">poslovni broj: 3 St-271/11-164  zaključen 19. prosinca 2016. godine, te je </w:t>
      </w:r>
      <w:r w:rsidR="003E6DEF" w:rsidRPr="003E6DEF">
        <w:rPr>
          <w:rFonts w:cs="Tahoma" w:hAnsi="Tahoma" w:ascii="Tahoma"/>
          <w:b/>
          <w:sz w:val="22"/>
          <w:szCs w:val="22"/>
        </w:rPr>
        <w:t>stečajni dužnik</w:t>
      </w:r>
      <w:r w:rsidRPr="0099133A">
        <w:rPr>
          <w:rFonts w:cs="Tahoma" w:hAnsi="Tahoma" w:ascii="Tahoma"/>
          <w:b/>
          <w:sz w:val="22"/>
          <w:szCs w:val="22"/>
        </w:rPr>
        <w:t xml:space="preserve"> brisan iz sudskog registra </w:t>
      </w:r>
      <w:r w:rsidRPr="0099133A">
        <w:rPr>
          <w:rFonts w:cs="Tahoma" w:hAnsi="Tahoma" w:ascii="Tahoma"/>
          <w:b/>
          <w:sz w:val="22"/>
          <w:szCs w:val="22"/>
          <w:u w:val="single"/>
        </w:rPr>
        <w:t>13.2.2017. godine</w:t>
      </w:r>
      <w:r w:rsidRPr="0099133A">
        <w:rPr>
          <w:rFonts w:cs="Tahoma" w:hAnsi="Tahoma" w:ascii="Tahoma"/>
          <w:b/>
          <w:sz w:val="22"/>
          <w:szCs w:val="22"/>
        </w:rPr>
        <w:t xml:space="preserve"> </w:t>
      </w:r>
      <w:r w:rsidRPr="0099133A">
        <w:rPr>
          <w:rFonts w:cs="Tahoma" w:hAnsi="Tahoma" w:ascii="Tahoma"/>
          <w:sz w:val="22"/>
          <w:szCs w:val="22"/>
        </w:rPr>
        <w:t>Rješenjem  broj Tt-17/280-2.</w:t>
      </w:r>
      <w:r w:rsidR="003E6DEF" w:rsidRPr="003E6DEF">
        <w:rPr>
          <w:rFonts w:cs="Tahoma" w:hAnsi="Tahoma" w:ascii="Tahoma"/>
          <w:sz w:val="22"/>
          <w:szCs w:val="22"/>
        </w:rPr>
        <w:t xml:space="preserve"> </w:t>
      </w:r>
    </w:p>
    <w:p w:rsidRDefault="003E6DEF" w:rsidP="003E6DEF" w:rsidR="003E6DEF" w:rsidRPr="003E6DEF">
      <w:pPr>
        <w:tabs>
          <w:tab w:pos="720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8496" w:val="left"/>
          <w:tab w:pos="9204" w:val="left"/>
          <w:tab w:pos="9912" w:val="left"/>
        </w:tabs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3E6DEF" w:rsidP="003E6DEF" w:rsidR="003E6DEF" w:rsidRPr="003E6DEF">
      <w:pPr>
        <w:tabs>
          <w:tab w:pos="720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8496" w:val="left"/>
          <w:tab w:pos="9204" w:val="left"/>
          <w:tab w:pos="9912" w:val="left"/>
        </w:tabs>
        <w:spacing w:lineRule="auto" w:line="288"/>
        <w:jc w:val="both"/>
        <w:rPr>
          <w:rFonts w:cs="Tahoma" w:hAnsi="Tahoma" w:ascii="Tahoma"/>
          <w:sz w:val="22"/>
          <w:szCs w:val="22"/>
          <w:lang w:eastAsia="x-none"/>
        </w:rPr>
      </w:pPr>
      <w:r w:rsidRPr="003E6DEF">
        <w:rPr>
          <w:rFonts w:cs="Tahoma" w:hAnsi="Tahoma" w:ascii="Tahoma"/>
          <w:sz w:val="22"/>
          <w:szCs w:val="22"/>
        </w:rPr>
        <w:t xml:space="preserve">Obzirom da je stečajni dužnik po brisanju imao stečajnu masu i to novčana sredstva po računu i potraživanja, u registru </w:t>
      </w:r>
      <w:r w:rsidRPr="003E6DEF">
        <w:rPr>
          <w:rFonts w:cs="Tahoma" w:hAnsi="Tahoma" w:ascii="Tahoma"/>
          <w:sz w:val="22"/>
          <w:szCs w:val="22"/>
          <w:lang w:eastAsia="x-none"/>
        </w:rPr>
        <w:t xml:space="preserve">Trgovačkog suda izvršen je </w:t>
      </w:r>
      <w:r w:rsidRPr="003E6DEF">
        <w:rPr>
          <w:rFonts w:cs="Tahoma" w:hAnsi="Tahoma" w:ascii="Tahoma"/>
          <w:b/>
          <w:sz w:val="22"/>
          <w:szCs w:val="22"/>
          <w:lang w:eastAsia="x-none"/>
        </w:rPr>
        <w:t>22.2.2017. upis stečajne mase i to: Stečajna masa iza PLURIS d.d. u stečaju, Petra Zrinskog 3, Ludbreg, OIB: 97981922777.</w:t>
      </w:r>
    </w:p>
    <w:p w:rsidRDefault="003E6DEF" w:rsidP="003E6DEF" w:rsidR="003E6DEF" w:rsidRPr="003E6DEF">
      <w:pPr>
        <w:tabs>
          <w:tab w:pos="720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8496" w:val="left"/>
          <w:tab w:pos="9204" w:val="left"/>
          <w:tab w:pos="9912" w:val="left"/>
        </w:tabs>
        <w:spacing w:lineRule="auto" w:line="288"/>
        <w:jc w:val="both"/>
        <w:rPr>
          <w:rFonts w:cs="Tahoma" w:hAnsi="Century Gothic" w:ascii="Century Gothic"/>
          <w:sz w:val="22"/>
          <w:szCs w:val="22"/>
          <w:lang w:eastAsia="x-none"/>
        </w:rPr>
      </w:pPr>
    </w:p>
    <w:p w:rsidRDefault="006F1393" w:rsidP="006F1393" w:rsidR="006F1393" w:rsidRPr="00355C10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Stečajni upravitelj sukladno čl. </w:t>
      </w:r>
      <w:r w:rsidR="00125E00">
        <w:rPr>
          <w:rFonts w:cs="Tahoma" w:hAnsi="Tahoma" w:ascii="Tahoma"/>
          <w:sz w:val="22"/>
          <w:szCs w:val="22"/>
        </w:rPr>
        <w:t>2</w:t>
      </w:r>
      <w:r>
        <w:rPr>
          <w:rFonts w:cs="Tahoma" w:hAnsi="Tahoma" w:ascii="Tahoma"/>
          <w:sz w:val="22"/>
          <w:szCs w:val="22"/>
        </w:rPr>
        <w:t>89.</w:t>
      </w:r>
      <w:r w:rsidR="00125E00">
        <w:rPr>
          <w:rFonts w:cs="Tahoma" w:hAnsi="Tahoma" w:ascii="Tahoma"/>
          <w:sz w:val="22"/>
          <w:szCs w:val="22"/>
        </w:rPr>
        <w:t xml:space="preserve"> St.6. Stečajnog zakona podnosi:</w:t>
      </w:r>
    </w:p>
    <w:p w:rsidRDefault="00355C10" w:rsidP="00355C10" w:rsidR="00355C10">
      <w:pPr>
        <w:spacing w:lineRule="auto" w:line="288"/>
        <w:jc w:val="both"/>
        <w:rPr>
          <w:rFonts w:cs="Tahoma" w:hAnsi="Tahoma" w:ascii="Tahoma"/>
          <w:b/>
          <w:u w:val="single"/>
        </w:rPr>
      </w:pPr>
    </w:p>
    <w:p w:rsidRDefault="006F1393" w:rsidP="00355C10" w:rsidR="006F1393" w:rsidRPr="00355C10">
      <w:pPr>
        <w:spacing w:lineRule="auto" w:line="288"/>
        <w:jc w:val="both"/>
        <w:rPr>
          <w:rFonts w:cs="Tahoma" w:hAnsi="Tahoma" w:ascii="Tahoma"/>
          <w:b/>
          <w:u w:val="single"/>
        </w:rPr>
      </w:pPr>
    </w:p>
    <w:p w:rsidRDefault="006F1393" w:rsidP="006F1393" w:rsidR="006F1393">
      <w:pPr>
        <w:spacing w:lineRule="auto" w:line="288"/>
        <w:jc w:val="center"/>
        <w:rPr>
          <w:rFonts w:cs="Tahoma" w:hAnsi="Tahoma" w:ascii="Tahoma"/>
          <w:b/>
          <w:sz w:val="22"/>
          <w:szCs w:val="22"/>
        </w:rPr>
      </w:pPr>
      <w:r w:rsidRPr="00143AF2">
        <w:rPr>
          <w:rFonts w:cs="Tahoma" w:hAnsi="Tahoma" w:ascii="Tahoma"/>
          <w:b/>
          <w:sz w:val="22"/>
          <w:szCs w:val="22"/>
        </w:rPr>
        <w:t>Izvješće stečajnoga upravitelja o stan</w:t>
      </w:r>
      <w:r>
        <w:rPr>
          <w:rFonts w:cs="Tahoma" w:hAnsi="Tahoma" w:ascii="Tahoma"/>
          <w:b/>
          <w:sz w:val="22"/>
          <w:szCs w:val="22"/>
        </w:rPr>
        <w:t xml:space="preserve">ju stečajne mase </w:t>
      </w:r>
    </w:p>
    <w:p w:rsidRDefault="006F1393" w:rsidP="006F1393" w:rsidR="006F1393">
      <w:pPr>
        <w:spacing w:lineRule="auto" w:line="288"/>
        <w:jc w:val="center"/>
        <w:rPr>
          <w:rFonts w:cs="Tahoma" w:hAnsi="Tahoma" w:ascii="Tahoma"/>
          <w:b/>
          <w:sz w:val="22"/>
          <w:szCs w:val="22"/>
        </w:rPr>
      </w:pPr>
      <w:r>
        <w:rPr>
          <w:rFonts w:cs="Tahoma" w:hAnsi="Tahoma" w:ascii="Tahoma"/>
          <w:b/>
          <w:sz w:val="22"/>
          <w:szCs w:val="22"/>
        </w:rPr>
        <w:t xml:space="preserve">u razdoblju od nastavka postupka </w:t>
      </w:r>
      <w:r w:rsidR="0099133A">
        <w:rPr>
          <w:rFonts w:cs="Tahoma" w:hAnsi="Tahoma" w:ascii="Tahoma"/>
          <w:b/>
          <w:sz w:val="22"/>
          <w:szCs w:val="22"/>
        </w:rPr>
        <w:t>22.2.2017</w:t>
      </w:r>
      <w:r>
        <w:rPr>
          <w:rFonts w:cs="Tahoma" w:hAnsi="Tahoma" w:ascii="Tahoma"/>
          <w:b/>
          <w:sz w:val="22"/>
          <w:szCs w:val="22"/>
        </w:rPr>
        <w:t>. d</w:t>
      </w:r>
      <w:r w:rsidRPr="00143AF2">
        <w:rPr>
          <w:rFonts w:cs="Tahoma" w:hAnsi="Tahoma" w:ascii="Tahoma"/>
          <w:b/>
          <w:sz w:val="22"/>
          <w:szCs w:val="22"/>
        </w:rPr>
        <w:t xml:space="preserve">o </w:t>
      </w:r>
      <w:r w:rsidR="0099133A">
        <w:rPr>
          <w:rFonts w:cs="Tahoma" w:hAnsi="Tahoma" w:ascii="Tahoma"/>
          <w:b/>
          <w:sz w:val="22"/>
          <w:szCs w:val="22"/>
        </w:rPr>
        <w:t>5.6.2018</w:t>
      </w:r>
      <w:r>
        <w:rPr>
          <w:rFonts w:cs="Tahoma" w:hAnsi="Tahoma" w:ascii="Tahoma"/>
          <w:b/>
          <w:sz w:val="22"/>
          <w:szCs w:val="22"/>
        </w:rPr>
        <w:t>.</w:t>
      </w:r>
    </w:p>
    <w:p w:rsidRDefault="006F1393" w:rsidP="006F1393" w:rsidR="006F1393">
      <w:pPr>
        <w:spacing w:after="80"/>
        <w:jc w:val="center"/>
        <w:rPr>
          <w:rFonts w:cs="Tahoma" w:eastAsia="Calibri" w:hAnsi="Tahoma" w:ascii="Tahoma"/>
          <w:b/>
          <w:sz w:val="16"/>
          <w:szCs w:val="16"/>
          <w:lang w:eastAsia="en-US"/>
        </w:rPr>
      </w:pPr>
      <w:r>
        <w:rPr>
          <w:rFonts w:cs="Tahoma" w:eastAsia="Calibri" w:hAnsi="Tahoma" w:ascii="Tahoma"/>
          <w:b/>
          <w:sz w:val="16"/>
          <w:szCs w:val="16"/>
          <w:lang w:eastAsia="en-US"/>
        </w:rPr>
        <w:t xml:space="preserve"> </w:t>
      </w:r>
      <w:r w:rsidRPr="00304673">
        <w:rPr>
          <w:rFonts w:cs="Tahoma" w:eastAsia="Calibri" w:hAnsi="Tahoma" w:ascii="Tahoma"/>
          <w:b/>
          <w:sz w:val="16"/>
          <w:szCs w:val="16"/>
          <w:lang w:eastAsia="en-US"/>
        </w:rPr>
        <w:t>(</w:t>
      </w:r>
      <w:r w:rsidRPr="00143AF2">
        <w:rPr>
          <w:rFonts w:cs="Tahoma" w:eastAsia="Calibri" w:hAnsi="Tahoma" w:ascii="Tahoma"/>
          <w:b/>
          <w:sz w:val="16"/>
          <w:szCs w:val="16"/>
          <w:lang w:eastAsia="en-US"/>
        </w:rPr>
        <w:t>Obrazac 21</w:t>
      </w:r>
      <w:r w:rsidRPr="00304673">
        <w:rPr>
          <w:rFonts w:cs="Tahoma" w:eastAsia="Calibri" w:hAnsi="Tahoma" w:ascii="Tahoma"/>
          <w:b/>
          <w:sz w:val="16"/>
          <w:szCs w:val="16"/>
          <w:lang w:eastAsia="en-US"/>
        </w:rPr>
        <w:t>.)</w:t>
      </w:r>
    </w:p>
    <w:p w:rsidRDefault="006F1393" w:rsidP="006F1393" w:rsidR="006F1393">
      <w:pPr>
        <w:spacing w:after="80"/>
        <w:jc w:val="center"/>
        <w:rPr>
          <w:rFonts w:cs="Tahoma" w:eastAsia="Calibri" w:hAnsi="Tahoma" w:ascii="Tahoma"/>
          <w:b/>
          <w:sz w:val="16"/>
          <w:szCs w:val="16"/>
          <w:lang w:eastAsia="en-US"/>
        </w:rPr>
      </w:pPr>
    </w:p>
    <w:p w:rsidRDefault="006F1393" w:rsidP="006F1393" w:rsidR="006F1393">
      <w:pPr>
        <w:spacing w:after="80"/>
        <w:jc w:val="center"/>
        <w:rPr>
          <w:rFonts w:cs="Tahoma" w:eastAsia="Calibri" w:hAnsi="Tahoma" w:ascii="Tahoma"/>
          <w:b/>
          <w:sz w:val="16"/>
          <w:szCs w:val="16"/>
          <w:lang w:eastAsia="en-US"/>
        </w:rPr>
      </w:pPr>
    </w:p>
    <w:p w:rsidRDefault="00DC142D" w:rsidP="006F1393" w:rsidR="00DC142D">
      <w:pPr>
        <w:spacing w:after="80"/>
        <w:jc w:val="center"/>
        <w:rPr>
          <w:rFonts w:cs="Tahoma" w:eastAsia="Calibri" w:hAnsi="Tahoma" w:ascii="Tahoma"/>
          <w:b/>
          <w:sz w:val="16"/>
          <w:szCs w:val="16"/>
          <w:lang w:eastAsia="en-US"/>
        </w:rPr>
      </w:pPr>
    </w:p>
    <w:p w:rsidRDefault="00D15E67" w:rsidP="00D15E67" w:rsidR="00D15E67" w:rsidRPr="00935220">
      <w:pPr>
        <w:widowControl w:val="false"/>
        <w:suppressAutoHyphens/>
        <w:autoSpaceDN w:val="false"/>
        <w:spacing w:lineRule="auto" w:line="276" w:after="200"/>
        <w:jc w:val="both"/>
        <w:textAlignment w:val="baseline"/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</w:pPr>
      <w:r w:rsidRPr="00935220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>I. Stanje stečajne mase nakon završnog ročišta, odnosno zaključenja stečajnoga postupka</w:t>
      </w:r>
    </w:p>
    <w:p w:rsidRDefault="00BC2AA2" w:rsidP="00EF6C8B" w:rsidR="00EF6C8B">
      <w:p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Nakon što je izvršen upis stečajne mase, u razdoblju od 22.2.2017. do 5.6.2018. </w:t>
      </w:r>
      <w:r w:rsidR="00EF6C8B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izvršeno 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je </w:t>
      </w:r>
      <w:r w:rsidR="00EF6C8B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slijedeće: </w:t>
      </w:r>
    </w:p>
    <w:p w:rsidRDefault="00125E00" w:rsidP="00EF6C8B" w:rsidR="00125E00">
      <w:p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1B6F0E" w:rsidP="00346A8C" w:rsidR="00805A23">
      <w:pPr>
        <w:numPr>
          <w:ilvl w:val="0"/>
          <w:numId w:val="5"/>
        </w:num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u</w:t>
      </w:r>
      <w:r w:rsidR="003E6DEF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odnosu na postupak brojem P-160/14</w:t>
      </w:r>
      <w:r w:rsidR="00805A23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koji je pokrenuo tužitelj MALI PODRUMI d.o.o. protiv tuženika PLURIS d.d. u stečaju radi namirenja novčane tražbine u iznosu od 13.654.111,50 kn, Trgovački sud u Varaždinu donio je 28.3.2018. Rješenje o prekidu postupka poslovni broj: 6 P-160/2014-42, jer su tužitelj i tuženik kao pravne osobe prestale postojati, a koje je rješenje postalo pravomoćno 12.4.2018.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,</w:t>
      </w:r>
    </w:p>
    <w:p w:rsidRDefault="005C370C" w:rsidP="005C370C" w:rsidR="005C370C" w:rsidRPr="00125E00">
      <w:pPr>
        <w:spacing w:lineRule="auto" w:line="288"/>
        <w:ind w:left="720"/>
        <w:jc w:val="both"/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</w:pPr>
    </w:p>
    <w:p w:rsidRDefault="00346A8C" w:rsidP="00346A8C" w:rsidR="005C370C">
      <w:pPr>
        <w:numPr>
          <w:ilvl w:val="0"/>
          <w:numId w:val="5"/>
        </w:num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ostvareni su priljevi na račun stečajne mase u iznosu </w:t>
      </w:r>
      <w:r w:rsidRPr="000802E8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od </w:t>
      </w:r>
      <w:r w:rsidR="00253156" w:rsidRPr="000802E8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</w:t>
      </w:r>
      <w:r w:rsidR="005C370C" w:rsidRPr="000802E8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2</w:t>
      </w:r>
      <w:r w:rsidRPr="000802E8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23</w:t>
      </w:r>
      <w:r w:rsidR="005C370C" w:rsidRPr="000802E8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.</w:t>
      </w:r>
      <w:r w:rsidRPr="000802E8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470,69</w:t>
      </w:r>
      <w:r w:rsidR="00253156" w:rsidRPr="000802E8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kn</w:t>
      </w:r>
      <w:r w:rsidRPr="000802E8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i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to:</w:t>
      </w:r>
    </w:p>
    <w:p w:rsidRDefault="00346A8C" w:rsidP="00346A8C" w:rsidR="00346A8C">
      <w:pPr>
        <w:pStyle w:val="Odlomakpopisa"/>
        <w:numPr>
          <w:ilvl w:val="0"/>
          <w:numId w:val="6"/>
        </w:numPr>
        <w:spacing w:lineRule="auto" w:line="288"/>
        <w:ind w:hanging="357" w:left="1423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priljevi od kamata po računu u iznosu od 1.072,81 kn,</w:t>
      </w:r>
    </w:p>
    <w:p w:rsidRDefault="00346A8C" w:rsidP="00346A8C" w:rsidR="00346A8C">
      <w:pPr>
        <w:pStyle w:val="Odlomakpopisa"/>
        <w:numPr>
          <w:ilvl w:val="0"/>
          <w:numId w:val="6"/>
        </w:numPr>
        <w:spacing w:lineRule="auto" w:line="288"/>
        <w:ind w:hanging="357" w:left="1423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priljevi od kamata po depozitu u iznosu od 187.315,82 kn,</w:t>
      </w:r>
    </w:p>
    <w:p w:rsidRDefault="00346A8C" w:rsidP="00346A8C" w:rsidR="00346A8C">
      <w:pPr>
        <w:pStyle w:val="Odlomakpopisa"/>
        <w:numPr>
          <w:ilvl w:val="0"/>
          <w:numId w:val="6"/>
        </w:numPr>
        <w:spacing w:lineRule="auto" w:line="288"/>
        <w:ind w:hanging="357" w:left="1423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priljevi od povrata PDV-a u iznosu od 35.082,06 kn.</w:t>
      </w:r>
    </w:p>
    <w:p w:rsidRDefault="00346A8C" w:rsidP="00346A8C" w:rsidR="00346A8C" w:rsidRPr="005C370C">
      <w:pPr>
        <w:spacing w:lineRule="auto" w:line="288"/>
        <w:ind w:left="720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E23A59" w:rsidP="00E23A59" w:rsidR="00E23A59">
      <w:pPr>
        <w:spacing w:lineRule="auto" w:line="288"/>
        <w:ind w:left="720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086196" w:rsidP="00086196" w:rsidR="00086196">
      <w:pPr>
        <w:pStyle w:val="Odlomakpopisa"/>
        <w:numPr>
          <w:ilvl w:val="0"/>
          <w:numId w:val="5"/>
        </w:numPr>
        <w:spacing w:lineRule="auto" w:line="288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za razdoblje od 22.2.2017. do 31.12.2017. izrađena su i predana financijska izvješća i to</w:t>
      </w:r>
      <w:r w:rsidR="00F62473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: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Prijava Poreza na dobit, Bilanca i Račun dobiti i gubitka, te </w:t>
      </w:r>
      <w:r w:rsidR="000802E8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mjesečni PDV obrasci do 30.4.2018.,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</w:t>
      </w:r>
    </w:p>
    <w:p w:rsidRDefault="00086196" w:rsidP="00086196" w:rsidR="00086196">
      <w:pPr>
        <w:pStyle w:val="Odlomakpopisa"/>
        <w:spacing w:lineRule="auto" w:line="288"/>
        <w:ind w:left="1423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E46E05" w:rsidP="00BC2AA2" w:rsidR="00086196">
      <w:pPr>
        <w:numPr>
          <w:ilvl w:val="0"/>
          <w:numId w:val="5"/>
        </w:num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podmireni su </w:t>
      </w:r>
      <w:r w:rsidR="00BC2AA2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troškovi stečajnog postupka u iznosu od </w:t>
      </w:r>
      <w:r w:rsidR="000802E8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140.173,41</w:t>
      </w:r>
      <w:r w:rsidR="00086196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kn uvećano za PDV u iznosu od 11.607,04 kn 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i </w:t>
      </w:r>
      <w:r w:rsidR="00086196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to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s osnove</w:t>
      </w:r>
      <w:r w:rsidR="00086196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:</w:t>
      </w:r>
    </w:p>
    <w:p w:rsidRDefault="00086196" w:rsidP="00086196" w:rsidR="00086196">
      <w:pPr>
        <w:numPr>
          <w:ilvl w:val="0"/>
          <w:numId w:val="7"/>
        </w:num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troškovi uredskog materijala u iznosu od 1.444,16 kn,</w:t>
      </w:r>
    </w:p>
    <w:p w:rsidRDefault="00086196" w:rsidP="00086196" w:rsidR="00315414">
      <w:pPr>
        <w:numPr>
          <w:ilvl w:val="0"/>
          <w:numId w:val="7"/>
        </w:num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 w:rsidRPr="0031541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troškovi knjigovodstvenih usluga, usluga izrade financijskih izvještaja za 2017., u iznosu od 6.382,50 kn,</w:t>
      </w:r>
    </w:p>
    <w:p w:rsidRDefault="00086196" w:rsidP="00086196" w:rsidR="00086196" w:rsidRPr="00315414">
      <w:pPr>
        <w:numPr>
          <w:ilvl w:val="0"/>
          <w:numId w:val="7"/>
        </w:num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 w:rsidRPr="0031541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troškovi odvjetničkih usluga u iznosu od 45.748,75 kn,</w:t>
      </w:r>
    </w:p>
    <w:p w:rsidRDefault="00086196" w:rsidP="00086196" w:rsidR="00086196">
      <w:pPr>
        <w:numPr>
          <w:ilvl w:val="0"/>
          <w:numId w:val="7"/>
        </w:num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troškovi usluga skladištenja i čuvanja arhive u iznosu od 85.000,00 kn,</w:t>
      </w:r>
    </w:p>
    <w:p w:rsidRDefault="00086196" w:rsidP="00086196" w:rsidR="00086196">
      <w:pPr>
        <w:numPr>
          <w:ilvl w:val="0"/>
          <w:numId w:val="7"/>
        </w:num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troškovi bankarskih usluga i provizija u iznosu od 998,00 kn,</w:t>
      </w:r>
    </w:p>
    <w:p w:rsidRDefault="00086196" w:rsidP="00086196" w:rsidR="00086196">
      <w:pPr>
        <w:numPr>
          <w:ilvl w:val="0"/>
          <w:numId w:val="7"/>
        </w:num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 w:rsidRPr="00086196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troškovi sudskih pristojba u iznosu od 600,00 kn.</w:t>
      </w:r>
    </w:p>
    <w:p w:rsidRDefault="00086196" w:rsidP="00086196" w:rsidR="00086196" w:rsidRPr="00086196">
      <w:pPr>
        <w:spacing w:lineRule="auto" w:line="288"/>
        <w:ind w:left="142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E46E05" w:rsidP="000802E8" w:rsidR="00E46E05">
      <w:pPr>
        <w:numPr>
          <w:ilvl w:val="0"/>
          <w:numId w:val="5"/>
        </w:num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nepodmireni su troškovi s osnove bruto nagrade stečajnog upravitelja i troškova utvrđivanja tražbine,</w:t>
      </w:r>
    </w:p>
    <w:p w:rsidRDefault="00E46E05" w:rsidP="00E46E05" w:rsidR="00E46E05">
      <w:pPr>
        <w:spacing w:lineRule="auto" w:line="288"/>
        <w:ind w:left="720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0802E8" w:rsidP="000802E8" w:rsidR="00253156">
      <w:pPr>
        <w:numPr>
          <w:ilvl w:val="0"/>
          <w:numId w:val="5"/>
        </w:num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na dan </w:t>
      </w:r>
      <w:r w:rsidR="00346A8C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5.6.2018</w:t>
      </w:r>
      <w:r w:rsidR="00253156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. 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novčana sredstva iznose </w:t>
      </w:r>
      <w:r w:rsidR="00346A8C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13.</w:t>
      </w:r>
      <w:r w:rsidR="00C83A3F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537.916,86</w:t>
      </w:r>
      <w:r w:rsidR="00346A8C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</w:t>
      </w:r>
      <w:r w:rsidR="00253156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kn.</w:t>
      </w:r>
    </w:p>
    <w:p w:rsidRDefault="00346A8C" w:rsidP="00346A8C" w:rsidR="00346A8C">
      <w:pPr>
        <w:spacing w:lineRule="auto" w:line="288"/>
        <w:ind w:left="720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1B6F0E" w:rsidP="001B6F0E" w:rsidR="001B6F0E">
      <w:pPr>
        <w:spacing w:lineRule="auto" w:line="288"/>
        <w:ind w:left="720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1C1806" w:rsidP="001C1806" w:rsidR="001C1806" w:rsidRPr="00245CF7">
      <w:pPr>
        <w:widowControl w:val="false"/>
        <w:suppressAutoHyphens/>
        <w:autoSpaceDN w:val="false"/>
        <w:spacing w:lineRule="auto" w:line="276" w:after="200"/>
        <w:jc w:val="both"/>
        <w:textAlignment w:val="baseline"/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</w:pPr>
      <w:r w:rsidRPr="00245CF7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>II.</w:t>
      </w:r>
      <w:r w:rsidRPr="001C1806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</w:t>
      </w:r>
      <w:r w:rsidR="00245CF7" w:rsidRPr="00245CF7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 xml:space="preserve">Postupanje sa stečajnom masom </w:t>
      </w:r>
    </w:p>
    <w:p w:rsidRDefault="00C83A3F" w:rsidP="007F34D4" w:rsidR="00432BCD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Stečajnu masu čini imovina </w:t>
      </w:r>
      <w:r w:rsidR="000802E8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koja </w:t>
      </w:r>
      <w:r w:rsidR="00432BCD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je prenesena nakon  zaključenja stečajnog postupka 13.2.2017. nad TD PLURIS d.d., a koju su činila potraživanja i novčana sredstva u ukupnom iznosu od 14.755.224,88.</w:t>
      </w:r>
    </w:p>
    <w:p w:rsidRDefault="00432BCD" w:rsidP="007F34D4" w:rsidR="00432BCD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432BCD" w:rsidP="007F34D4" w:rsidR="00C83A3F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Nakon podmirenja troškova stečajne mase nakon 22.2.2017., ostvarenih priljeva na račun stečajne mase, imovina na dan </w:t>
      </w:r>
      <w:r w:rsidR="000802E8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5.6.2018. iskazuje</w:t>
      </w:r>
      <w:r w:rsidR="00C83A3F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vrijednost u iznosu od </w:t>
      </w:r>
      <w:r w:rsidR="00C83A3F" w:rsidRPr="00C83A3F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>14</w:t>
      </w:r>
      <w:r w:rsidR="00C83A3F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>.706.403,16</w:t>
      </w:r>
      <w:r w:rsidR="00C83A3F" w:rsidRPr="00C83A3F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 xml:space="preserve"> kn</w:t>
      </w:r>
      <w:r w:rsidR="00C83A3F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, a kako slijedi u tabeli 1.</w:t>
      </w:r>
    </w:p>
    <w:p w:rsidRDefault="00C83A3F" w:rsidP="007F34D4" w:rsidR="00C83A3F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C83A3F" w:rsidP="007F34D4" w:rsidR="00C83A3F" w:rsidRPr="00C83A3F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</w:pPr>
      <w:r w:rsidRPr="00C83A3F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>Tabela 1.</w:t>
      </w:r>
    </w:p>
    <w:tbl>
      <w:tblPr>
        <w:tblW w:type="dxa" w:w="818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601"/>
        <w:gridCol w:w="4851"/>
        <w:gridCol w:w="2736"/>
      </w:tblGrid>
      <w:tr w:rsidTr="00370F0E" w:rsidR="00C83A3F" w:rsidRPr="00370F0E">
        <w:trPr>
          <w:trHeight w:val="686"/>
        </w:trPr>
        <w:tc>
          <w:tcPr>
            <w:tcW w:type="dxa" w:w="601"/>
            <w:shd w:fill="D9D9D9" w:color="auto" w:val="clear"/>
          </w:tcPr>
          <w:p w:rsidRDefault="00C83A3F" w:rsidP="00370F0E" w:rsidR="00C83A3F" w:rsidRPr="00370F0E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2"/>
                <w:szCs w:val="22"/>
              </w:rPr>
            </w:pPr>
            <w:r w:rsidRPr="00370F0E">
              <w:rPr>
                <w:rFonts w:cs="Tahoma" w:hAnsi="Tahoma" w:ascii="Tahoma"/>
                <w:b/>
                <w:iCs/>
                <w:sz w:val="22"/>
                <w:szCs w:val="22"/>
              </w:rPr>
              <w:t>R.</w:t>
            </w:r>
          </w:p>
          <w:p w:rsidRDefault="00C83A3F" w:rsidP="00370F0E" w:rsidR="00C83A3F" w:rsidRPr="00370F0E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2"/>
                <w:szCs w:val="22"/>
              </w:rPr>
            </w:pPr>
            <w:r w:rsidRPr="00370F0E">
              <w:rPr>
                <w:rFonts w:cs="Tahoma" w:hAnsi="Tahoma" w:ascii="Tahoma"/>
                <w:b/>
                <w:iCs/>
                <w:sz w:val="22"/>
                <w:szCs w:val="22"/>
              </w:rPr>
              <w:t>br.</w:t>
            </w:r>
          </w:p>
        </w:tc>
        <w:tc>
          <w:tcPr>
            <w:tcW w:type="dxa" w:w="4851"/>
            <w:shd w:fill="D9D9D9" w:color="auto" w:val="clear"/>
          </w:tcPr>
          <w:p w:rsidRDefault="00C83A3F" w:rsidP="00370F0E" w:rsidR="00C83A3F" w:rsidRPr="00370F0E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2"/>
                <w:szCs w:val="22"/>
              </w:rPr>
            </w:pPr>
            <w:r w:rsidRPr="00370F0E">
              <w:rPr>
                <w:rFonts w:cs="Tahoma" w:hAnsi="Tahoma" w:ascii="Tahoma"/>
                <w:b/>
                <w:iCs/>
                <w:sz w:val="22"/>
                <w:szCs w:val="22"/>
              </w:rPr>
              <w:t>O p i s</w:t>
            </w:r>
          </w:p>
        </w:tc>
        <w:tc>
          <w:tcPr>
            <w:tcW w:type="dxa" w:w="2736"/>
            <w:shd w:fill="D9D9D9" w:color="auto" w:val="clear"/>
          </w:tcPr>
          <w:p w:rsidRDefault="00C83A3F" w:rsidP="00370F0E" w:rsidR="00C83A3F" w:rsidRPr="00370F0E">
            <w:pPr>
              <w:spacing w:lineRule="auto" w:line="288"/>
              <w:jc w:val="center"/>
              <w:rPr>
                <w:rFonts w:cs="Tahoma" w:hAnsi="Tahoma" w:ascii="Tahoma"/>
                <w:b/>
                <w:iCs/>
                <w:sz w:val="22"/>
                <w:szCs w:val="22"/>
              </w:rPr>
            </w:pPr>
            <w:r w:rsidRPr="00370F0E">
              <w:rPr>
                <w:rFonts w:cs="Tahoma" w:hAnsi="Tahoma" w:ascii="Tahoma"/>
                <w:b/>
                <w:iCs/>
                <w:sz w:val="22"/>
                <w:szCs w:val="22"/>
              </w:rPr>
              <w:t xml:space="preserve">Stanje na dan 5.6.2018. </w:t>
            </w:r>
          </w:p>
        </w:tc>
      </w:tr>
      <w:tr w:rsidTr="00370F0E" w:rsidR="00C83A3F" w:rsidRPr="00370F0E">
        <w:trPr>
          <w:trHeight w:val="397"/>
        </w:trPr>
        <w:tc>
          <w:tcPr>
            <w:tcW w:type="dxa" w:w="601"/>
            <w:shd w:fill="auto" w:color="auto" w:val="clear"/>
          </w:tcPr>
          <w:p w:rsidRDefault="00C83A3F" w:rsidP="00370F0E" w:rsidR="00C83A3F" w:rsidRPr="00370F0E">
            <w:pPr>
              <w:spacing w:lineRule="auto" w:line="288"/>
              <w:jc w:val="right"/>
              <w:rPr>
                <w:rFonts w:cs="Tahoma" w:hAnsi="Tahoma" w:ascii="Tahoma"/>
                <w:iCs/>
                <w:sz w:val="22"/>
                <w:szCs w:val="22"/>
              </w:rPr>
            </w:pPr>
            <w:r w:rsidRPr="00370F0E">
              <w:rPr>
                <w:rFonts w:cs="Tahoma" w:hAnsi="Tahoma" w:ascii="Tahoma"/>
                <w:iCs/>
                <w:sz w:val="22"/>
                <w:szCs w:val="22"/>
              </w:rPr>
              <w:t>1.</w:t>
            </w:r>
          </w:p>
        </w:tc>
        <w:tc>
          <w:tcPr>
            <w:tcW w:type="dxa" w:w="4851"/>
            <w:shd w:fill="auto" w:color="auto" w:val="clear"/>
          </w:tcPr>
          <w:p w:rsidRDefault="00C83A3F" w:rsidP="00370F0E" w:rsidR="00C83A3F" w:rsidRPr="00370F0E">
            <w:pPr>
              <w:spacing w:lineRule="auto" w:line="288"/>
              <w:jc w:val="both"/>
              <w:rPr>
                <w:rFonts w:cs="Tahoma" w:hAnsi="Tahoma" w:ascii="Tahoma"/>
                <w:iCs/>
                <w:sz w:val="22"/>
                <w:szCs w:val="22"/>
              </w:rPr>
            </w:pPr>
            <w:r w:rsidRPr="00370F0E">
              <w:rPr>
                <w:rFonts w:cs="Tahoma" w:hAnsi="Tahoma" w:ascii="Tahoma"/>
                <w:iCs/>
                <w:sz w:val="22"/>
                <w:szCs w:val="22"/>
              </w:rPr>
              <w:t xml:space="preserve">Financijski udjeli i dionice (VABA)                  </w:t>
            </w:r>
          </w:p>
        </w:tc>
        <w:tc>
          <w:tcPr>
            <w:tcW w:type="dxa" w:w="2736"/>
            <w:shd w:fill="auto" w:color="auto" w:val="clear"/>
          </w:tcPr>
          <w:p w:rsidRDefault="00C83A3F" w:rsidP="00370F0E" w:rsidR="00C83A3F" w:rsidRPr="00370F0E">
            <w:pPr>
              <w:spacing w:lineRule="auto" w:line="288"/>
              <w:jc w:val="right"/>
              <w:rPr>
                <w:rFonts w:cs="Tahoma" w:hAnsi="Tahoma" w:ascii="Tahoma"/>
                <w:iCs/>
                <w:sz w:val="22"/>
                <w:szCs w:val="22"/>
              </w:rPr>
            </w:pPr>
            <w:r w:rsidRPr="00370F0E">
              <w:rPr>
                <w:rFonts w:cs="Tahoma" w:hAnsi="Tahoma" w:ascii="Tahoma"/>
                <w:iCs/>
                <w:sz w:val="22"/>
                <w:szCs w:val="22"/>
              </w:rPr>
              <w:t>1.156.879,26</w:t>
            </w:r>
          </w:p>
        </w:tc>
      </w:tr>
      <w:tr w:rsidTr="00370F0E" w:rsidR="00C83A3F" w:rsidRPr="00370F0E">
        <w:trPr>
          <w:trHeight w:val="397"/>
        </w:trPr>
        <w:tc>
          <w:tcPr>
            <w:tcW w:type="dxa" w:w="601"/>
            <w:shd w:fill="auto" w:color="auto" w:val="clear"/>
          </w:tcPr>
          <w:p w:rsidRDefault="00C83A3F" w:rsidP="00370F0E" w:rsidR="00C83A3F" w:rsidRPr="00370F0E">
            <w:pPr>
              <w:spacing w:lineRule="auto" w:line="288"/>
              <w:jc w:val="right"/>
              <w:rPr>
                <w:rFonts w:cs="Tahoma" w:hAnsi="Tahoma" w:ascii="Tahoma"/>
                <w:iCs/>
                <w:sz w:val="22"/>
                <w:szCs w:val="22"/>
              </w:rPr>
            </w:pPr>
            <w:r w:rsidRPr="00370F0E">
              <w:rPr>
                <w:rFonts w:cs="Tahoma" w:hAnsi="Tahoma" w:ascii="Tahoma"/>
                <w:iCs/>
                <w:sz w:val="22"/>
                <w:szCs w:val="22"/>
              </w:rPr>
              <w:t>2.</w:t>
            </w:r>
          </w:p>
        </w:tc>
        <w:tc>
          <w:tcPr>
            <w:tcW w:type="dxa" w:w="4851"/>
            <w:shd w:fill="auto" w:color="auto" w:val="clear"/>
          </w:tcPr>
          <w:p w:rsidRDefault="00C83A3F" w:rsidP="00370F0E" w:rsidR="00C83A3F" w:rsidRPr="00370F0E">
            <w:pPr>
              <w:spacing w:lineRule="auto" w:line="288"/>
              <w:jc w:val="both"/>
              <w:rPr>
                <w:rFonts w:cs="Tahoma" w:hAnsi="Tahoma" w:ascii="Tahoma"/>
                <w:iCs/>
                <w:sz w:val="22"/>
                <w:szCs w:val="22"/>
              </w:rPr>
            </w:pPr>
            <w:r w:rsidRPr="00370F0E">
              <w:rPr>
                <w:rFonts w:cs="Tahoma" w:hAnsi="Tahoma" w:ascii="Tahoma"/>
                <w:iCs/>
                <w:sz w:val="22"/>
                <w:szCs w:val="22"/>
              </w:rPr>
              <w:t xml:space="preserve">Potraživanja za pretplatu PDV-a </w:t>
            </w:r>
          </w:p>
        </w:tc>
        <w:tc>
          <w:tcPr>
            <w:tcW w:type="dxa" w:w="2736"/>
            <w:shd w:fill="auto" w:color="auto" w:val="clear"/>
          </w:tcPr>
          <w:p w:rsidRDefault="00C83A3F" w:rsidP="00370F0E" w:rsidR="00C83A3F" w:rsidRPr="00370F0E">
            <w:pPr>
              <w:spacing w:lineRule="auto" w:line="288"/>
              <w:jc w:val="right"/>
              <w:rPr>
                <w:rFonts w:cs="Tahoma" w:hAnsi="Tahoma" w:ascii="Tahoma"/>
                <w:iCs/>
                <w:sz w:val="22"/>
                <w:szCs w:val="22"/>
              </w:rPr>
            </w:pPr>
            <w:r w:rsidRPr="00370F0E">
              <w:rPr>
                <w:rFonts w:cs="Tahoma" w:hAnsi="Tahoma" w:ascii="Tahoma"/>
                <w:iCs/>
                <w:sz w:val="22"/>
                <w:szCs w:val="22"/>
              </w:rPr>
              <w:t>11.607,04</w:t>
            </w:r>
          </w:p>
        </w:tc>
      </w:tr>
      <w:tr w:rsidTr="00370F0E" w:rsidR="00C83A3F" w:rsidRPr="00370F0E">
        <w:trPr>
          <w:trHeight w:val="397"/>
        </w:trPr>
        <w:tc>
          <w:tcPr>
            <w:tcW w:type="dxa" w:w="601"/>
            <w:shd w:fill="auto" w:color="auto" w:val="clear"/>
          </w:tcPr>
          <w:p w:rsidRDefault="00C83A3F" w:rsidP="00370F0E" w:rsidR="00C83A3F" w:rsidRPr="00370F0E">
            <w:pPr>
              <w:spacing w:lineRule="auto" w:line="288"/>
              <w:jc w:val="right"/>
              <w:rPr>
                <w:rFonts w:cs="Tahoma" w:hAnsi="Tahoma" w:ascii="Tahoma"/>
                <w:iCs/>
                <w:sz w:val="22"/>
                <w:szCs w:val="22"/>
              </w:rPr>
            </w:pPr>
            <w:r w:rsidRPr="00370F0E">
              <w:rPr>
                <w:rFonts w:cs="Tahoma" w:hAnsi="Tahoma" w:ascii="Tahoma"/>
                <w:iCs/>
                <w:sz w:val="22"/>
                <w:szCs w:val="22"/>
              </w:rPr>
              <w:t>3.</w:t>
            </w:r>
          </w:p>
        </w:tc>
        <w:tc>
          <w:tcPr>
            <w:tcW w:type="dxa" w:w="4851"/>
            <w:shd w:fill="auto" w:color="auto" w:val="clear"/>
          </w:tcPr>
          <w:p w:rsidRDefault="00C83A3F" w:rsidP="00370F0E" w:rsidR="00C83A3F" w:rsidRPr="00370F0E">
            <w:pPr>
              <w:spacing w:lineRule="auto" w:line="288"/>
              <w:jc w:val="both"/>
              <w:rPr>
                <w:rFonts w:cs="Tahoma" w:hAnsi="Tahoma" w:ascii="Tahoma"/>
                <w:iCs/>
                <w:sz w:val="22"/>
                <w:szCs w:val="22"/>
              </w:rPr>
            </w:pPr>
            <w:r w:rsidRPr="00370F0E">
              <w:rPr>
                <w:rFonts w:cs="Tahoma" w:hAnsi="Tahoma" w:ascii="Tahoma"/>
                <w:iCs/>
                <w:sz w:val="22"/>
                <w:szCs w:val="22"/>
              </w:rPr>
              <w:t xml:space="preserve">Novčana sredstva </w:t>
            </w:r>
          </w:p>
        </w:tc>
        <w:tc>
          <w:tcPr>
            <w:tcW w:type="dxa" w:w="2736"/>
            <w:shd w:fill="auto" w:color="auto" w:val="clear"/>
          </w:tcPr>
          <w:p w:rsidRDefault="00C83A3F" w:rsidP="00370F0E" w:rsidR="00C83A3F" w:rsidRPr="00370F0E">
            <w:pPr>
              <w:spacing w:lineRule="auto" w:line="288"/>
              <w:jc w:val="right"/>
              <w:rPr>
                <w:rFonts w:cs="Tahoma" w:hAnsi="Tahoma" w:ascii="Tahoma"/>
                <w:iCs/>
                <w:sz w:val="22"/>
                <w:szCs w:val="22"/>
              </w:rPr>
            </w:pPr>
            <w:r w:rsidRPr="00370F0E">
              <w:rPr>
                <w:rFonts w:cs="Tahoma" w:hAnsi="Tahoma" w:ascii="Tahoma"/>
                <w:iCs/>
                <w:sz w:val="22"/>
                <w:szCs w:val="22"/>
              </w:rPr>
              <w:t>13.537.916,86</w:t>
            </w:r>
          </w:p>
        </w:tc>
      </w:tr>
      <w:tr w:rsidTr="00370F0E" w:rsidR="00C83A3F" w:rsidRPr="00370F0E">
        <w:trPr>
          <w:trHeight w:val="510"/>
        </w:trPr>
        <w:tc>
          <w:tcPr>
            <w:tcW w:type="dxa" w:w="601"/>
            <w:shd w:fill="D9D9D9" w:color="auto" w:val="clear"/>
          </w:tcPr>
          <w:p w:rsidRDefault="00C83A3F" w:rsidP="00370F0E" w:rsidR="00C83A3F" w:rsidRPr="00370F0E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2"/>
                <w:szCs w:val="22"/>
              </w:rPr>
            </w:pPr>
            <w:r w:rsidRPr="00370F0E">
              <w:rPr>
                <w:rFonts w:cs="Tahoma" w:hAnsi="Tahoma" w:ascii="Tahoma"/>
                <w:b/>
                <w:iCs/>
                <w:sz w:val="22"/>
                <w:szCs w:val="22"/>
              </w:rPr>
              <w:t>4</w:t>
            </w:r>
            <w:r w:rsidR="00BD230B">
              <w:rPr>
                <w:rFonts w:cs="Tahoma" w:hAnsi="Tahoma" w:ascii="Tahoma"/>
                <w:b/>
                <w:iCs/>
                <w:sz w:val="22"/>
                <w:szCs w:val="22"/>
              </w:rPr>
              <w:t>.</w:t>
            </w:r>
          </w:p>
        </w:tc>
        <w:tc>
          <w:tcPr>
            <w:tcW w:type="dxa" w:w="4851"/>
            <w:shd w:fill="D9D9D9" w:color="auto" w:val="clear"/>
          </w:tcPr>
          <w:p w:rsidRDefault="00C83A3F" w:rsidP="00370F0E" w:rsidR="00C83A3F" w:rsidRPr="00370F0E">
            <w:pPr>
              <w:spacing w:lineRule="auto" w:line="288"/>
              <w:jc w:val="both"/>
              <w:rPr>
                <w:rFonts w:cs="Tahoma" w:hAnsi="Tahoma" w:ascii="Tahoma"/>
                <w:b/>
                <w:iCs/>
                <w:sz w:val="22"/>
                <w:szCs w:val="22"/>
              </w:rPr>
            </w:pPr>
            <w:r w:rsidRPr="00370F0E">
              <w:rPr>
                <w:rFonts w:cs="Tahoma" w:hAnsi="Tahoma" w:ascii="Tahoma"/>
                <w:b/>
                <w:iCs/>
                <w:sz w:val="22"/>
                <w:szCs w:val="22"/>
              </w:rPr>
              <w:t>Ukupno (1+2+3)</w:t>
            </w:r>
          </w:p>
        </w:tc>
        <w:tc>
          <w:tcPr>
            <w:tcW w:type="dxa" w:w="2736"/>
            <w:shd w:fill="D9D9D9" w:color="auto" w:val="clear"/>
          </w:tcPr>
          <w:p w:rsidRDefault="00C83A3F" w:rsidP="00370F0E" w:rsidR="00C83A3F" w:rsidRPr="00370F0E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2"/>
                <w:szCs w:val="22"/>
              </w:rPr>
            </w:pPr>
            <w:r w:rsidRPr="00370F0E">
              <w:rPr>
                <w:rFonts w:cs="Tahoma" w:hAnsi="Tahoma" w:ascii="Tahoma"/>
                <w:b/>
                <w:iCs/>
                <w:sz w:val="22"/>
                <w:szCs w:val="22"/>
              </w:rPr>
              <w:fldChar w:fldCharType="begin"/>
            </w:r>
            <w:r w:rsidRPr="00370F0E">
              <w:rPr>
                <w:rFonts w:cs="Tahoma" w:hAnsi="Tahoma" w:ascii="Tahoma"/>
                <w:b/>
                <w:iCs/>
                <w:sz w:val="22"/>
                <w:szCs w:val="22"/>
              </w:rPr>
              <w:instrText xml:space="preserve"> =SUM(ABOVE) </w:instrText>
            </w:r>
            <w:r w:rsidRPr="00370F0E">
              <w:rPr>
                <w:rFonts w:cs="Tahoma" w:hAnsi="Tahoma" w:ascii="Tahoma"/>
                <w:b/>
                <w:iCs/>
                <w:sz w:val="22"/>
                <w:szCs w:val="22"/>
              </w:rPr>
              <w:fldChar w:fldCharType="separate"/>
            </w:r>
            <w:r w:rsidRPr="00370F0E">
              <w:rPr>
                <w:rFonts w:cs="Tahoma" w:hAnsi="Tahoma" w:ascii="Tahoma"/>
                <w:b/>
                <w:iCs/>
                <w:noProof/>
                <w:sz w:val="22"/>
                <w:szCs w:val="22"/>
              </w:rPr>
              <w:t>14.706.403,16</w:t>
            </w:r>
            <w:r w:rsidRPr="00370F0E">
              <w:rPr>
                <w:rFonts w:cs="Tahoma" w:hAnsi="Tahoma" w:ascii="Tahoma"/>
                <w:b/>
                <w:iCs/>
                <w:sz w:val="22"/>
                <w:szCs w:val="22"/>
              </w:rPr>
              <w:fldChar w:fldCharType="end"/>
            </w:r>
          </w:p>
        </w:tc>
      </w:tr>
    </w:tbl>
    <w:p w:rsidRDefault="00C83A3F" w:rsidP="007F34D4" w:rsidR="00C83A3F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DC142D" w:rsidP="00C83A3F" w:rsidR="00DC142D">
      <w:pPr>
        <w:widowControl w:val="false"/>
        <w:suppressAutoHyphens/>
        <w:autoSpaceDN w:val="false"/>
        <w:spacing w:lineRule="auto" w:line="276" w:after="200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432BCD" w:rsidP="00C83A3F" w:rsidR="00C83A3F">
      <w:pPr>
        <w:widowControl w:val="false"/>
        <w:suppressAutoHyphens/>
        <w:autoSpaceDN w:val="false"/>
        <w:spacing w:lineRule="auto" w:line="276" w:after="200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U odnosu na </w:t>
      </w:r>
      <w:r w:rsidR="00C83A3F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prekid postupka ko</w:t>
      </w:r>
      <w:r w:rsidR="00E46E05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ji se vodio pod brojem P-160/14</w:t>
      </w:r>
      <w:r w:rsidR="00C83A3F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, te da na računu stečajne mase ima novčanih sredstava na dan 6.5.2018. u iznosu od </w:t>
      </w:r>
      <w:r w:rsidR="00C83A3F" w:rsidRPr="00C83A3F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>13.</w:t>
      </w:r>
      <w:r w:rsidR="00C83A3F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>537.916,86</w:t>
      </w:r>
      <w:r w:rsidR="00C83A3F" w:rsidRPr="00C83A3F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 xml:space="preserve"> kn</w:t>
      </w:r>
      <w:r w:rsidR="00C83A3F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predlažem:</w:t>
      </w:r>
    </w:p>
    <w:p w:rsidRDefault="00C83A3F" w:rsidP="00C83A3F" w:rsidR="00C83A3F">
      <w:pPr>
        <w:widowControl w:val="false"/>
        <w:numPr>
          <w:ilvl w:val="0"/>
          <w:numId w:val="4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odobrenje bruto nagrade stečajnom upravitelju u iznosu od </w:t>
      </w:r>
      <w:r w:rsidRPr="00C83A3F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>483.711,30 kn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, sukladno prilogu 1.</w:t>
      </w:r>
      <w:r w:rsidR="00432BCD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ovog izvješća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,</w:t>
      </w:r>
      <w:r w:rsidR="0031541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</w:t>
      </w:r>
    </w:p>
    <w:p w:rsidRDefault="00C83A3F" w:rsidP="00C83A3F" w:rsidR="00C83A3F">
      <w:pPr>
        <w:widowControl w:val="false"/>
        <w:suppressAutoHyphens/>
        <w:autoSpaceDN w:val="false"/>
        <w:spacing w:lineRule="auto" w:line="288"/>
        <w:ind w:left="720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 w:rsidRPr="00F86BE6">
        <w:rPr>
          <w:rFonts w:cs="Tahoma" w:eastAsia="SimSun" w:hAnsi="Tahoma" w:ascii="Tahoma"/>
          <w:b/>
          <w:i/>
          <w:kern w:val="3"/>
          <w:sz w:val="22"/>
          <w:szCs w:val="22"/>
          <w:lang w:bidi="hi-IN" w:eastAsia="zh-CN"/>
        </w:rPr>
        <w:t xml:space="preserve">Prilog 1: 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Izračun konačne nagrade stečajnom upravitelju</w:t>
      </w:r>
    </w:p>
    <w:p w:rsidRDefault="00E46E05" w:rsidP="00C83A3F" w:rsidR="00E46E05">
      <w:pPr>
        <w:widowControl w:val="false"/>
        <w:suppressAutoHyphens/>
        <w:autoSpaceDN w:val="false"/>
        <w:spacing w:lineRule="auto" w:line="288"/>
        <w:ind w:left="720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315414" w:rsidP="00C83A3F" w:rsidR="00315414">
      <w:pPr>
        <w:widowControl w:val="false"/>
        <w:numPr>
          <w:ilvl w:val="0"/>
          <w:numId w:val="4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odobrenje troškova utvrđivanja i ispitivanja tražbina sukladno čl. 170. SZ </w:t>
      </w:r>
      <w:r w:rsidR="00C97A9F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(</w:t>
      </w:r>
      <w:r w:rsidR="004D72F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analiza dokumentacije u pogledu izrade izvješća stanja imovine i obveza, izrada tablica prijavljenih tražbina,  usklađivanje stanja</w:t>
      </w:r>
      <w:r w:rsidR="00C97A9F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)</w:t>
      </w:r>
      <w:r w:rsidR="004D72F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</w:t>
      </w:r>
      <w:r w:rsidR="00C97A9F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u iznosu od 150.000,00 kn uvećano za PDV</w:t>
      </w:r>
      <w:r w:rsidR="00E46E05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u iznosu od 37.500,00 kn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,</w:t>
      </w:r>
      <w:r w:rsidR="00425438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odnosno ukupno </w:t>
      </w:r>
      <w:r w:rsidR="00425438" w:rsidRPr="00425438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>187.500,00 kn</w:t>
      </w:r>
      <w:r w:rsidR="00425438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,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</w:t>
      </w:r>
    </w:p>
    <w:p w:rsidRDefault="00315414" w:rsidP="00315414" w:rsidR="00315414">
      <w:pPr>
        <w:widowControl w:val="false"/>
        <w:suppressAutoHyphens/>
        <w:autoSpaceDN w:val="false"/>
        <w:spacing w:lineRule="auto" w:line="288"/>
        <w:ind w:left="720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C83A3F" w:rsidP="00C83A3F" w:rsidR="00C83A3F">
      <w:pPr>
        <w:widowControl w:val="false"/>
        <w:numPr>
          <w:ilvl w:val="0"/>
          <w:numId w:val="4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odobrenje diobe vjerovnika I.višeg isplatnog reda u cijelosti</w:t>
      </w:r>
      <w:r w:rsidR="00432BCD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u iznosu od </w:t>
      </w:r>
      <w:r w:rsidRPr="00F86BE6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>419.470,75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</w:t>
      </w:r>
      <w:r w:rsidRPr="00F86BE6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>kn,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sukladno prilogu 2.</w:t>
      </w:r>
      <w:r w:rsidR="00432BCD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ovog izvješća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,</w:t>
      </w:r>
    </w:p>
    <w:p w:rsidRDefault="00C83A3F" w:rsidP="00C83A3F" w:rsidR="00C83A3F">
      <w:pPr>
        <w:widowControl w:val="false"/>
        <w:suppressAutoHyphens/>
        <w:autoSpaceDN w:val="false"/>
        <w:spacing w:lineRule="auto" w:line="288"/>
        <w:ind w:left="720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 w:rsidRPr="00F86BE6">
        <w:rPr>
          <w:rFonts w:cs="Tahoma" w:eastAsia="SimSun" w:hAnsi="Tahoma" w:ascii="Tahoma"/>
          <w:b/>
          <w:i/>
          <w:kern w:val="3"/>
          <w:sz w:val="22"/>
          <w:szCs w:val="22"/>
          <w:lang w:bidi="hi-IN" w:eastAsia="zh-CN"/>
        </w:rPr>
        <w:t>Prilog 2: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Prijedlog diobe vjerovnika I.višeg isplatnog reda u cijelosti (100% od priznatih tražbina) </w:t>
      </w:r>
    </w:p>
    <w:p w:rsidRDefault="00C83A3F" w:rsidP="00C83A3F" w:rsidR="00C83A3F">
      <w:pPr>
        <w:widowControl w:val="false"/>
        <w:suppressAutoHyphens/>
        <w:autoSpaceDN w:val="false"/>
        <w:spacing w:lineRule="auto" w:line="288"/>
        <w:ind w:left="720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C83A3F" w:rsidP="00C83A3F" w:rsidR="00C83A3F">
      <w:pPr>
        <w:widowControl w:val="false"/>
        <w:numPr>
          <w:ilvl w:val="0"/>
          <w:numId w:val="4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odobrenje djelomične diobe vjerovnika II</w:t>
      </w:r>
      <w:r w:rsidR="00E46E05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.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višeg isplatnog reda u postotku od 3,7 % priznatih tražbina, umanjeno za već izvršena namirenja, odnosno namirenje u iznosu od </w:t>
      </w:r>
      <w:r w:rsidRPr="00F86BE6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>11.</w:t>
      </w:r>
      <w:r w:rsidR="00315414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 xml:space="preserve">400.542,76 </w:t>
      </w:r>
      <w:r w:rsidRPr="00F86BE6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 xml:space="preserve"> kn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, sukladno prilogu 3.</w:t>
      </w:r>
      <w:r w:rsidR="00432BCD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ovog izvješća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,</w:t>
      </w:r>
    </w:p>
    <w:p w:rsidRDefault="00C83A3F" w:rsidP="00C83A3F" w:rsidR="00C83A3F">
      <w:pPr>
        <w:widowControl w:val="false"/>
        <w:suppressAutoHyphens/>
        <w:autoSpaceDN w:val="false"/>
        <w:spacing w:lineRule="auto" w:line="288"/>
        <w:ind w:left="720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 w:rsidRPr="00C83A3F">
        <w:rPr>
          <w:rFonts w:cs="Tahoma" w:eastAsia="SimSun" w:hAnsi="Tahoma" w:ascii="Tahoma"/>
          <w:b/>
          <w:i/>
          <w:kern w:val="3"/>
          <w:sz w:val="22"/>
          <w:szCs w:val="22"/>
          <w:lang w:bidi="hi-IN" w:eastAsia="zh-CN"/>
        </w:rPr>
        <w:t>Prilog 3: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Prijedlog diobe vjerovnika II</w:t>
      </w:r>
      <w:r w:rsidR="00E46E05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.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viši isplatni red u postotku od 3,7 % od priznatih tražbina</w:t>
      </w:r>
    </w:p>
    <w:p w:rsidRDefault="00C83A3F" w:rsidP="00C83A3F" w:rsidR="00C83A3F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9406B9" w:rsidP="00C83A3F" w:rsidR="00C83A3F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Nakon odobrenja i podmirenja gore navedenih prijedloga, stečajna masa raspolagat će novčanim sredstvima </w:t>
      </w:r>
      <w:r w:rsidR="00C83A3F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u iznosu od </w:t>
      </w:r>
      <w:r w:rsidR="00425438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 xml:space="preserve">1.046.692,05  </w:t>
      </w:r>
      <w:r w:rsidR="00BC2AA2" w:rsidRPr="00BC2AA2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 xml:space="preserve">kn </w:t>
      </w:r>
      <w:r w:rsidR="00C83A3F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(13.537.916,86-483.711,30-</w:t>
      </w:r>
      <w:r w:rsidR="00425438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187.500,00-</w:t>
      </w:r>
      <w:r w:rsidR="00C83A3F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419.470,75-11.</w:t>
      </w:r>
      <w:r w:rsidR="0031541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400,542,76</w:t>
      </w:r>
      <w:r w:rsidR="00C83A3F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)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, a koja se sredstva rezerviraju </w:t>
      </w:r>
      <w:r w:rsidR="00BC2AA2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za eventualne troškove vezane uz postupke koji su još u tijeku</w:t>
      </w:r>
      <w:r w:rsidR="00432BCD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sukladno predmetima u kojima stečajnu masu zastupa </w:t>
      </w:r>
      <w:r w:rsidR="00BC2AA2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odvjetnik Siniš</w:t>
      </w:r>
      <w:r w:rsidR="00432BCD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a</w:t>
      </w:r>
      <w:r w:rsidR="00BC2AA2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Kolarić</w:t>
      </w:r>
      <w:r w:rsidR="00432BCD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iz Varaždin</w:t>
      </w:r>
      <w:r w:rsidR="00BC2AA2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a</w:t>
      </w:r>
      <w:r w:rsidR="00425438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, kao i daljnje troškove stečajnog postupka</w:t>
      </w:r>
      <w:r w:rsidR="00BC2AA2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.</w:t>
      </w:r>
    </w:p>
    <w:p w:rsidRDefault="00C83A3F" w:rsidP="00DC142D" w:rsidR="00C83A3F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DC142D" w:rsidP="00DC142D" w:rsidR="00DC142D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U odnosu na potraživanja s osnove pretplate PDV-a u iznosu od 11.607,04 kn (Tabela 1.r.br. 2) tijekom mjeseca lipnja zatražit će se povrat na račun stečajne mase, te ukoliko se odobre troškove s osnove utvrđivanja tražbina, zatražit će se povrat PDV-a još i u iznosu od 37.500,00 kn.</w:t>
      </w:r>
    </w:p>
    <w:p w:rsidRDefault="00FC4886" w:rsidP="00FC4886" w:rsidR="00FC4886">
      <w:pPr>
        <w:widowControl w:val="false"/>
        <w:suppressAutoHyphens/>
        <w:autoSpaceDN w:val="false"/>
        <w:spacing w:lineRule="auto" w:line="288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DC142D" w:rsidP="00FC4886" w:rsidR="00DC142D">
      <w:pPr>
        <w:widowControl w:val="false"/>
        <w:suppressAutoHyphens/>
        <w:autoSpaceDN w:val="false"/>
        <w:spacing w:lineRule="auto" w:line="288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DC142D" w:rsidP="00FC4886" w:rsidR="00DC142D">
      <w:pPr>
        <w:widowControl w:val="false"/>
        <w:suppressAutoHyphens/>
        <w:autoSpaceDN w:val="false"/>
        <w:spacing w:lineRule="auto" w:line="288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DC142D" w:rsidP="00FC4886" w:rsidR="00DC142D">
      <w:pPr>
        <w:widowControl w:val="false"/>
        <w:suppressAutoHyphens/>
        <w:autoSpaceDN w:val="false"/>
        <w:spacing w:lineRule="auto" w:line="288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DC142D" w:rsidP="00FC4886" w:rsidR="00DC142D">
      <w:pPr>
        <w:widowControl w:val="false"/>
        <w:suppressAutoHyphens/>
        <w:autoSpaceDN w:val="false"/>
        <w:spacing w:lineRule="auto" w:line="288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DC142D" w:rsidP="00FC4886" w:rsidR="00DC142D">
      <w:pPr>
        <w:widowControl w:val="false"/>
        <w:suppressAutoHyphens/>
        <w:autoSpaceDN w:val="false"/>
        <w:spacing w:lineRule="auto" w:line="288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DC142D" w:rsidP="00FC4886" w:rsidR="00DC142D">
      <w:pPr>
        <w:widowControl w:val="false"/>
        <w:suppressAutoHyphens/>
        <w:autoSpaceDN w:val="false"/>
        <w:spacing w:lineRule="auto" w:line="288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DC142D" w:rsidP="003E6DEF" w:rsidR="00DC142D">
      <w:pPr>
        <w:widowControl w:val="false"/>
        <w:suppressAutoHyphens/>
        <w:autoSpaceDN w:val="false"/>
        <w:spacing w:lineRule="auto" w:line="276" w:after="200"/>
        <w:jc w:val="both"/>
        <w:textAlignment w:val="baseline"/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</w:pPr>
    </w:p>
    <w:p w:rsidRDefault="003E6DEF" w:rsidP="003E6DEF" w:rsidR="003E6DEF">
      <w:pPr>
        <w:widowControl w:val="false"/>
        <w:suppressAutoHyphens/>
        <w:autoSpaceDN w:val="false"/>
        <w:spacing w:lineRule="auto" w:line="276" w:after="200"/>
        <w:jc w:val="both"/>
        <w:textAlignment w:val="baseline"/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</w:pPr>
      <w:r w:rsidRPr="003E6DEF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 xml:space="preserve">III. Prijedlog naknadne diobe prema završnom popisu ako se preostala stečajna masa dijeli stečajnim vjerovnicima </w:t>
      </w:r>
    </w:p>
    <w:p w:rsidRDefault="00DC142D" w:rsidP="003E6DEF" w:rsidR="00DC142D" w:rsidRPr="003E6DEF">
      <w:pPr>
        <w:widowControl w:val="false"/>
        <w:suppressAutoHyphens/>
        <w:autoSpaceDN w:val="false"/>
        <w:spacing w:lineRule="auto" w:line="276" w:after="200"/>
        <w:jc w:val="both"/>
        <w:textAlignment w:val="baseline"/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</w:pPr>
    </w:p>
    <w:p w:rsidRDefault="000802E8" w:rsidP="007A6279" w:rsidR="006221A4">
      <w:pPr>
        <w:widowControl w:val="false"/>
        <w:suppressAutoHyphens/>
        <w:autoSpaceDN w:val="false"/>
        <w:spacing w:lineRule="auto" w:line="276" w:after="200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Slijedom iznijetog, a obzirom na postupke koji su u tijeku, predlažem:</w:t>
      </w:r>
    </w:p>
    <w:p w:rsidRDefault="006221A4" w:rsidP="000802E8" w:rsidR="006221A4">
      <w:pPr>
        <w:widowControl w:val="false"/>
        <w:numPr>
          <w:ilvl w:val="0"/>
          <w:numId w:val="8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prihvaćanje ovog izvješća o stanju stečajne mase od </w:t>
      </w:r>
      <w:r w:rsidR="00F86BE6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5.6.2018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.,</w:t>
      </w:r>
    </w:p>
    <w:p w:rsidRDefault="00F86BE6" w:rsidP="00F86BE6" w:rsidR="00F86BE6">
      <w:pPr>
        <w:widowControl w:val="false"/>
        <w:numPr>
          <w:ilvl w:val="0"/>
          <w:numId w:val="8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 w:rsidRPr="000802E8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odobrenje bruto nagrade stečajnom upravitelju sukladno prilogu 1.,</w:t>
      </w:r>
    </w:p>
    <w:p w:rsidRDefault="00315D52" w:rsidP="00F86BE6" w:rsidR="00315D52" w:rsidRPr="000802E8">
      <w:pPr>
        <w:widowControl w:val="false"/>
        <w:numPr>
          <w:ilvl w:val="0"/>
          <w:numId w:val="8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odobrenje </w:t>
      </w:r>
      <w:r w:rsidR="00640E0B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troškova utvrđivanja i ispitivanja tražbina sukladno čl. 170. SZ  u iznosu od 150.000,00 kn uvećano za PDV u iznosu od 37.500,00 kn,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</w:t>
      </w:r>
    </w:p>
    <w:p w:rsidRDefault="00F86BE6" w:rsidP="000802E8" w:rsidR="00F86BE6">
      <w:pPr>
        <w:widowControl w:val="false"/>
        <w:numPr>
          <w:ilvl w:val="0"/>
          <w:numId w:val="8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rezervacija novčanih sredstava zbog postupaka u tijeku,</w:t>
      </w:r>
    </w:p>
    <w:p w:rsidRDefault="00F86BE6" w:rsidP="000802E8" w:rsidR="00F86BE6">
      <w:pPr>
        <w:widowControl w:val="false"/>
        <w:numPr>
          <w:ilvl w:val="0"/>
          <w:numId w:val="8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odobrenje diobe vjerovnika I.višeg isplatnog reda u cijelosti sukladno prilogu 2.,</w:t>
      </w:r>
    </w:p>
    <w:p w:rsidRDefault="00F86BE6" w:rsidP="000802E8" w:rsidR="00F86BE6">
      <w:pPr>
        <w:widowControl w:val="false"/>
        <w:numPr>
          <w:ilvl w:val="0"/>
          <w:numId w:val="8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odobrenje djelomične diobe vjerovnika II.višeg isplatnog reda sukladno prilogu 3.,</w:t>
      </w:r>
    </w:p>
    <w:p w:rsidRDefault="006221A4" w:rsidP="000802E8" w:rsidR="000802E8">
      <w:pPr>
        <w:widowControl w:val="false"/>
        <w:numPr>
          <w:ilvl w:val="0"/>
          <w:numId w:val="8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nastavak</w:t>
      </w:r>
      <w:r w:rsidR="005C370C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postupka nad stečajnom masom </w:t>
      </w:r>
      <w:r w:rsidR="00F86BE6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do završetka postupaka koji su </w:t>
      </w:r>
      <w:r w:rsidR="00432BCD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još </w:t>
      </w:r>
      <w:r w:rsidR="00F86BE6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u tijeku</w:t>
      </w:r>
      <w:r w:rsidR="000802E8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.</w:t>
      </w:r>
    </w:p>
    <w:p w:rsidRDefault="00884E80" w:rsidP="00F86BE6" w:rsidR="00884E80">
      <w:pPr>
        <w:spacing w:lineRule="auto" w:line="288"/>
        <w:ind w:firstLine="708" w:left="4248"/>
        <w:jc w:val="both"/>
        <w:rPr>
          <w:rFonts w:cs="Tahoma" w:hAnsi="Tahoma" w:ascii="Tahoma"/>
          <w:b/>
          <w:sz w:val="22"/>
          <w:szCs w:val="22"/>
        </w:rPr>
      </w:pPr>
    </w:p>
    <w:p w:rsidRDefault="00100BBC" w:rsidP="007F34D4" w:rsidR="00100BBC" w:rsidRPr="00273550">
      <w:pPr>
        <w:spacing w:lineRule="auto" w:line="288"/>
        <w:ind w:firstLine="708" w:left="4248"/>
        <w:jc w:val="both"/>
        <w:rPr>
          <w:rFonts w:cs="Tahoma" w:hAnsi="Tahoma" w:ascii="Tahoma"/>
          <w:b/>
          <w:sz w:val="22"/>
          <w:szCs w:val="22"/>
        </w:rPr>
      </w:pPr>
      <w:r w:rsidRPr="00273550">
        <w:rPr>
          <w:rFonts w:cs="Tahoma" w:hAnsi="Tahoma" w:ascii="Tahoma"/>
          <w:b/>
          <w:sz w:val="22"/>
          <w:szCs w:val="22"/>
        </w:rPr>
        <w:t>Stečajni upravitelj</w:t>
      </w:r>
      <w:r w:rsidR="007F34D4">
        <w:rPr>
          <w:rFonts w:cs="Tahoma" w:hAnsi="Tahoma" w:ascii="Tahoma"/>
          <w:b/>
          <w:sz w:val="22"/>
          <w:szCs w:val="22"/>
        </w:rPr>
        <w:t xml:space="preserve"> </w:t>
      </w:r>
      <w:r w:rsidRPr="00273550">
        <w:rPr>
          <w:rFonts w:cs="Tahoma" w:hAnsi="Tahoma" w:ascii="Tahoma"/>
          <w:b/>
          <w:sz w:val="22"/>
          <w:szCs w:val="22"/>
        </w:rPr>
        <w:t>Stanko Makar</w:t>
      </w:r>
    </w:p>
    <w:sectPr w:rsidSect="00DC142D" w:rsidR="00100BBC" w:rsidRPr="00273550">
      <w:headerReference w:type="default" r:id="rId9"/>
      <w:footerReference w:type="default" r:id="rId10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8AF" w:rsidP="00304673" w:rsidR="002D18AF">
      <w:r>
        <w:separator/>
      </w:r>
    </w:p>
  </w:endnote>
  <w:endnote w:id="0" w:type="continuationSeparator">
    <w:p w:rsidRDefault="002D18AF" w:rsidP="00304673" w:rsidR="002D1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77B" w:rsidP="00143AF2" w:rsidR="00304673" w:rsidRPr="00304673">
    <w:pPr>
      <w:pStyle w:val="Podnoje"/>
      <w:pBdr>
        <w:top w:space="0" w:sz="4" w:color="auto" w:val="double"/>
      </w:pBdr>
      <w:tabs>
        <w:tab w:pos="4536" w:val="clear"/>
      </w:tabs>
      <w:rPr>
        <w:rFonts w:cs="Tahoma" w:hAnsi="Tahoma" w:ascii="Tahoma"/>
        <w:sz w:val="22"/>
        <w:szCs w:val="22"/>
      </w:rPr>
    </w:pPr>
    <w:r>
      <w:rPr>
        <w:rFonts w:cs="Tahoma" w:eastAsia="SimSun" w:hAnsi="Tahoma" w:ascii="Tahoma"/>
        <w:kern w:val="3"/>
        <w:sz w:val="22"/>
        <w:szCs w:val="22"/>
        <w:lang w:bidi="hi-IN" w:eastAsia="zh-CN"/>
      </w:rPr>
      <w:t>Ludbreg</w:t>
    </w:r>
    <w:r w:rsidR="00304673" w:rsidRPr="00304673">
      <w:rPr>
        <w:rFonts w:cs="Tahoma" w:eastAsia="SimSun" w:hAnsi="Tahoma" w:ascii="Tahoma"/>
        <w:kern w:val="3"/>
        <w:sz w:val="22"/>
        <w:szCs w:val="22"/>
        <w:lang w:bidi="hi-IN" w:eastAsia="zh-CN"/>
      </w:rPr>
      <w:t xml:space="preserve">, </w:t>
    </w:r>
    <w:r w:rsidR="003E6DEF">
      <w:rPr>
        <w:rFonts w:cs="Tahoma" w:eastAsia="SimSun" w:hAnsi="Tahoma" w:ascii="Tahoma"/>
        <w:kern w:val="3"/>
        <w:sz w:val="22"/>
        <w:szCs w:val="22"/>
        <w:lang w:bidi="hi-IN" w:eastAsia="zh-CN"/>
      </w:rPr>
      <w:t>5.6.2018</w:t>
    </w:r>
    <w:r w:rsidR="006F1393">
      <w:rPr>
        <w:rFonts w:cs="Tahoma" w:eastAsia="SimSun" w:hAnsi="Tahoma" w:ascii="Tahoma"/>
        <w:kern w:val="3"/>
        <w:sz w:val="22"/>
        <w:szCs w:val="22"/>
        <w:lang w:bidi="hi-IN" w:eastAsia="zh-CN"/>
      </w:rPr>
      <w:t>.</w:t>
    </w:r>
    <w:r w:rsidR="00304673" w:rsidRPr="00304673">
      <w:rPr>
        <w:rFonts w:cs="Tahoma" w:eastAsia="SimSun" w:hAnsi="Tahoma" w:ascii="Tahoma"/>
        <w:kern w:val="3"/>
        <w:sz w:val="22"/>
        <w:szCs w:val="22"/>
        <w:lang w:bidi="hi-IN" w:eastAsia="zh-CN"/>
      </w:rPr>
      <w:t xml:space="preserve"> </w:t>
    </w:r>
    <w:r w:rsidR="00304673" w:rsidRPr="00304673">
      <w:rPr>
        <w:rFonts w:cs="Tahoma" w:hAnsi="Tahoma" w:ascii="Tahoma"/>
        <w:sz w:val="22"/>
        <w:szCs w:val="22"/>
      </w:rPr>
      <w:tab/>
      <w:t xml:space="preserve">Stranica </w:t>
    </w:r>
    <w:r w:rsidR="00304673" w:rsidRPr="00304673">
      <w:rPr>
        <w:rFonts w:cs="Tahoma" w:hAnsi="Tahoma" w:ascii="Tahoma"/>
        <w:sz w:val="22"/>
        <w:szCs w:val="22"/>
      </w:rPr>
      <w:fldChar w:fldCharType="begin"/>
    </w:r>
    <w:r w:rsidR="00304673" w:rsidRPr="00304673">
      <w:rPr>
        <w:rFonts w:cs="Tahoma" w:hAnsi="Tahoma" w:ascii="Tahoma"/>
        <w:sz w:val="22"/>
        <w:szCs w:val="22"/>
      </w:rPr>
      <w:instrText>PAGE   \* MERGEFORMAT</w:instrText>
    </w:r>
    <w:r w:rsidR="00304673" w:rsidRPr="00304673">
      <w:rPr>
        <w:rFonts w:cs="Tahoma" w:hAnsi="Tahoma" w:ascii="Tahoma"/>
        <w:sz w:val="22"/>
        <w:szCs w:val="22"/>
      </w:rPr>
      <w:fldChar w:fldCharType="separate"/>
    </w:r>
    <w:r w:rsidR="00467BD8">
      <w:rPr>
        <w:rFonts w:cs="Tahoma" w:hAnsi="Tahoma" w:ascii="Tahoma"/>
        <w:noProof/>
        <w:sz w:val="22"/>
        <w:szCs w:val="22"/>
      </w:rPr>
      <w:t>4</w:t>
    </w:r>
    <w:r w:rsidR="00304673" w:rsidRPr="00304673">
      <w:rPr>
        <w:rFonts w:cs="Tahoma" w:hAnsi="Tahoma" w:ascii="Tahoma"/>
        <w:sz w:val="22"/>
        <w:szCs w:val="22"/>
      </w:rPr>
      <w:fldChar w:fldCharType="end"/>
    </w:r>
  </w:p>
  <w:p w:rsidRDefault="00304673" w:rsidR="003046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8AF" w:rsidP="00304673" w:rsidR="002D18AF">
      <w:r>
        <w:separator/>
      </w:r>
    </w:p>
  </w:footnote>
  <w:footnote w:id="0" w:type="continuationSeparator">
    <w:p w:rsidRDefault="002D18AF" w:rsidP="00304673" w:rsidR="002D18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5C10" w:rsidP="00355C10" w:rsidR="00355C10" w:rsidRPr="00355C10">
    <w:pPr>
      <w:pBdr>
        <w:bottom w:space="1" w:sz="4" w:color="auto" w:val="double"/>
      </w:pBdr>
      <w:spacing w:lineRule="auto" w:line="288"/>
      <w:jc w:val="center"/>
      <w:rPr>
        <w:rFonts w:cs="Tahoma" w:eastAsia="Calibri" w:hAnsi="Tahoma" w:ascii="Tahoma"/>
        <w:b/>
        <w:lang w:eastAsia="en-US"/>
      </w:rPr>
    </w:pPr>
    <w:r w:rsidRPr="00355C10">
      <w:rPr>
        <w:rFonts w:cs="Tahoma" w:eastAsia="Calibri" w:hAnsi="Tahoma" w:ascii="Tahoma"/>
        <w:b/>
        <w:i/>
        <w:lang w:eastAsia="en-US"/>
      </w:rPr>
      <w:t>STANKO MAKAR, dipl.oec.</w:t>
    </w:r>
  </w:p>
  <w:p w:rsidRDefault="001B6F0E" w:rsidP="00355C10" w:rsidR="00355C10" w:rsidRPr="00355C10">
    <w:pPr>
      <w:pBdr>
        <w:bottom w:space="1" w:sz="4" w:color="auto" w:val="double"/>
      </w:pBdr>
      <w:spacing w:lineRule="auto" w:line="288"/>
      <w:jc w:val="center"/>
      <w:rPr>
        <w:rFonts w:cs="Tahoma" w:eastAsia="Calibri" w:hAnsi="Tahoma" w:ascii="Tahoma"/>
        <w:b/>
        <w:lang w:eastAsia="en-US"/>
      </w:rPr>
    </w:pPr>
    <w:r>
      <w:rPr>
        <w:rFonts w:cs="Tahoma" w:eastAsia="Calibri" w:hAnsi="Tahoma" w:ascii="Tahoma"/>
        <w:b/>
        <w:lang w:eastAsia="en-US"/>
      </w:rPr>
      <w:t>P.Zrinskog 3, Ludbreg</w:t>
    </w:r>
  </w:p>
  <w:p w:rsidRDefault="0099133A" w:rsidP="00355C10" w:rsidR="00355C10" w:rsidRPr="00355C10">
    <w:pPr>
      <w:pBdr>
        <w:bottom w:space="1" w:sz="4" w:color="auto" w:val="double"/>
      </w:pBdr>
      <w:spacing w:lineRule="auto" w:line="288"/>
      <w:jc w:val="center"/>
      <w:rPr>
        <w:rFonts w:cs="Tahoma" w:eastAsia="Calibri" w:hAnsi="Tahoma" w:ascii="Tahoma"/>
        <w:lang w:eastAsia="en-US"/>
      </w:rPr>
    </w:pPr>
    <w:r>
      <w:rPr>
        <w:rFonts w:cs="Tahoma" w:eastAsia="Calibri" w:hAnsi="Tahoma" w:ascii="Tahoma"/>
        <w:lang w:eastAsia="en-US"/>
      </w:rPr>
      <w:t>s</w:t>
    </w:r>
    <w:r w:rsidR="00355C10" w:rsidRPr="00355C10">
      <w:rPr>
        <w:rFonts w:cs="Tahoma" w:eastAsia="Calibri" w:hAnsi="Tahoma" w:ascii="Tahoma"/>
        <w:lang w:eastAsia="en-US"/>
      </w:rPr>
      <w:t xml:space="preserve">tečajni upravitelj nad stečajnom masom </w:t>
    </w:r>
    <w:r>
      <w:rPr>
        <w:rFonts w:cs="Tahoma" w:eastAsia="Calibri" w:hAnsi="Tahoma" w:ascii="Tahoma"/>
        <w:lang w:eastAsia="en-US"/>
      </w:rPr>
      <w:t>iza PLURIS d.d. u stečaju</w:t>
    </w:r>
    <w:r w:rsidR="00355C10" w:rsidRPr="00355C10">
      <w:rPr>
        <w:rFonts w:cs="Tahoma" w:eastAsia="Calibri" w:hAnsi="Tahoma" w:ascii="Tahoma"/>
        <w:lang w:eastAsia="en-US"/>
      </w:rPr>
      <w:t xml:space="preserve"> </w:t>
    </w:r>
  </w:p>
  <w:p w:rsidRDefault="00E10161" w:rsidR="00E101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47368F"/>
    <w:multiLevelType w:val="hybridMultilevel"/>
    <w:tmpl w:val="1B7A9E14"/>
    <w:lvl w:tplc="041A0005" w:ilvl="0">
      <w:start w:val="1"/>
      <w:numFmt w:val="bullet"/>
      <w:lvlText w:val=""/>
      <w:lvlJc w:val="left"/>
      <w:pPr>
        <w:ind w:hanging="360" w:left="1515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75"/>
      </w:pPr>
      <w:rPr>
        <w:rFonts w:hAnsi="Wingdings" w:ascii="Wingdings" w:hint="default"/>
      </w:rPr>
    </w:lvl>
  </w:abstractNum>
  <w:abstractNum w:abstractNumId="1">
    <w:nsid w:val="172929BF"/>
    <w:multiLevelType w:val="hybridMultilevel"/>
    <w:tmpl w:val="8B4426DE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3EEA5B20"/>
    <w:multiLevelType w:val="hybridMultilevel"/>
    <w:tmpl w:val="2A40609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6D47B2D"/>
    <w:multiLevelType w:val="hybridMultilevel"/>
    <w:tmpl w:val="1258177A"/>
    <w:lvl w:tplc="5D5E4730" w:ilvl="0">
      <w:numFmt w:val="bullet"/>
      <w:lvlText w:val="-"/>
      <w:lvlJc w:val="left"/>
      <w:pPr>
        <w:ind w:hanging="360" w:left="720"/>
      </w:pPr>
      <w:rPr>
        <w:rFonts w:cs="Tahoma" w:eastAsia="SimSu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02022AB"/>
    <w:multiLevelType w:val="hybridMultilevel"/>
    <w:tmpl w:val="44389AE4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29028F3"/>
    <w:multiLevelType w:val="hybridMultilevel"/>
    <w:tmpl w:val="9B40692E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56DF6609"/>
    <w:multiLevelType w:val="hybridMultilevel"/>
    <w:tmpl w:val="751A0996"/>
    <w:lvl w:tplc="5D5E4730" w:ilvl="0">
      <w:numFmt w:val="bullet"/>
      <w:lvlText w:val="-"/>
      <w:lvlJc w:val="left"/>
      <w:pPr>
        <w:ind w:hanging="360" w:left="720"/>
      </w:pPr>
      <w:rPr>
        <w:rFonts w:cs="Tahoma" w:eastAsia="SimSu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DF6094F"/>
    <w:multiLevelType w:val="hybridMultilevel"/>
    <w:tmpl w:val="EF66C7E6"/>
    <w:lvl w:tplc="71A8C42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1"/>
  </w:num>
  <w:num w:numId="8">
    <w:abstractNumId w:val="2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1ACB"/>
    <w:rsid w:val="000026B9"/>
    <w:rsid w:val="00006079"/>
    <w:rsid w:val="0001463F"/>
    <w:rsid w:val="00020081"/>
    <w:rsid w:val="000242E5"/>
    <w:rsid w:val="00031117"/>
    <w:rsid w:val="000376A3"/>
    <w:rsid w:val="00045563"/>
    <w:rsid w:val="0005341C"/>
    <w:rsid w:val="000567B3"/>
    <w:rsid w:val="00070613"/>
    <w:rsid w:val="00073453"/>
    <w:rsid w:val="00073AF2"/>
    <w:rsid w:val="00073C1D"/>
    <w:rsid w:val="000752AE"/>
    <w:rsid w:val="00075EF6"/>
    <w:rsid w:val="000802E8"/>
    <w:rsid w:val="00084632"/>
    <w:rsid w:val="00086196"/>
    <w:rsid w:val="000A31D3"/>
    <w:rsid w:val="000A3A77"/>
    <w:rsid w:val="000A5708"/>
    <w:rsid w:val="000B28F6"/>
    <w:rsid w:val="000D6D74"/>
    <w:rsid w:val="000E04C4"/>
    <w:rsid w:val="000E168A"/>
    <w:rsid w:val="000E7D98"/>
    <w:rsid w:val="00100BBC"/>
    <w:rsid w:val="00121174"/>
    <w:rsid w:val="00125E00"/>
    <w:rsid w:val="00126F43"/>
    <w:rsid w:val="00131A96"/>
    <w:rsid w:val="00134BFD"/>
    <w:rsid w:val="0014113D"/>
    <w:rsid w:val="0014165D"/>
    <w:rsid w:val="00143AF2"/>
    <w:rsid w:val="00143B95"/>
    <w:rsid w:val="001610D5"/>
    <w:rsid w:val="0016539E"/>
    <w:rsid w:val="0018338C"/>
    <w:rsid w:val="00183E64"/>
    <w:rsid w:val="0019153B"/>
    <w:rsid w:val="00192D73"/>
    <w:rsid w:val="001A42CA"/>
    <w:rsid w:val="001A688D"/>
    <w:rsid w:val="001A787F"/>
    <w:rsid w:val="001B1E33"/>
    <w:rsid w:val="001B6F0E"/>
    <w:rsid w:val="001B7602"/>
    <w:rsid w:val="001C1806"/>
    <w:rsid w:val="001C2C05"/>
    <w:rsid w:val="001D2088"/>
    <w:rsid w:val="001D511E"/>
    <w:rsid w:val="001F3C2F"/>
    <w:rsid w:val="002031A8"/>
    <w:rsid w:val="00221101"/>
    <w:rsid w:val="00223E58"/>
    <w:rsid w:val="00226CF2"/>
    <w:rsid w:val="002377B9"/>
    <w:rsid w:val="00240FE0"/>
    <w:rsid w:val="00244781"/>
    <w:rsid w:val="00244D47"/>
    <w:rsid w:val="00245CF7"/>
    <w:rsid w:val="002469FD"/>
    <w:rsid w:val="00247909"/>
    <w:rsid w:val="00253156"/>
    <w:rsid w:val="002606D9"/>
    <w:rsid w:val="00264A3C"/>
    <w:rsid w:val="0026636D"/>
    <w:rsid w:val="00273550"/>
    <w:rsid w:val="00274ED2"/>
    <w:rsid w:val="00277402"/>
    <w:rsid w:val="00284870"/>
    <w:rsid w:val="00293A79"/>
    <w:rsid w:val="00295D4A"/>
    <w:rsid w:val="002B5F44"/>
    <w:rsid w:val="002D14A5"/>
    <w:rsid w:val="002D18AF"/>
    <w:rsid w:val="002D51D4"/>
    <w:rsid w:val="00301140"/>
    <w:rsid w:val="0030439E"/>
    <w:rsid w:val="00304673"/>
    <w:rsid w:val="00315414"/>
    <w:rsid w:val="00315D52"/>
    <w:rsid w:val="00331A0B"/>
    <w:rsid w:val="00331FD3"/>
    <w:rsid w:val="00340952"/>
    <w:rsid w:val="003432B7"/>
    <w:rsid w:val="00346A8C"/>
    <w:rsid w:val="00355C10"/>
    <w:rsid w:val="0035798C"/>
    <w:rsid w:val="00362AD3"/>
    <w:rsid w:val="00367C31"/>
    <w:rsid w:val="00370F0E"/>
    <w:rsid w:val="00374666"/>
    <w:rsid w:val="0038477B"/>
    <w:rsid w:val="00384D73"/>
    <w:rsid w:val="003B0EE8"/>
    <w:rsid w:val="003B2DD0"/>
    <w:rsid w:val="003C4CDE"/>
    <w:rsid w:val="003D565E"/>
    <w:rsid w:val="003E3590"/>
    <w:rsid w:val="003E497F"/>
    <w:rsid w:val="003E6DEF"/>
    <w:rsid w:val="003F1F83"/>
    <w:rsid w:val="003F6499"/>
    <w:rsid w:val="0040125E"/>
    <w:rsid w:val="00403978"/>
    <w:rsid w:val="00414200"/>
    <w:rsid w:val="00416716"/>
    <w:rsid w:val="00421E28"/>
    <w:rsid w:val="00425438"/>
    <w:rsid w:val="0043010F"/>
    <w:rsid w:val="00432BCD"/>
    <w:rsid w:val="004340B9"/>
    <w:rsid w:val="004423AA"/>
    <w:rsid w:val="00451054"/>
    <w:rsid w:val="004617C3"/>
    <w:rsid w:val="00462618"/>
    <w:rsid w:val="00462FC3"/>
    <w:rsid w:val="004633EA"/>
    <w:rsid w:val="00467BD8"/>
    <w:rsid w:val="00470540"/>
    <w:rsid w:val="0047099A"/>
    <w:rsid w:val="004756B7"/>
    <w:rsid w:val="00476554"/>
    <w:rsid w:val="004841D8"/>
    <w:rsid w:val="00487C05"/>
    <w:rsid w:val="0049281A"/>
    <w:rsid w:val="004B7C96"/>
    <w:rsid w:val="004D72F4"/>
    <w:rsid w:val="004E2248"/>
    <w:rsid w:val="004F0BB6"/>
    <w:rsid w:val="005005E7"/>
    <w:rsid w:val="00501038"/>
    <w:rsid w:val="00505507"/>
    <w:rsid w:val="00510EC7"/>
    <w:rsid w:val="00512CEB"/>
    <w:rsid w:val="005242C2"/>
    <w:rsid w:val="00524869"/>
    <w:rsid w:val="00533834"/>
    <w:rsid w:val="00536FCA"/>
    <w:rsid w:val="005451A1"/>
    <w:rsid w:val="00566ACC"/>
    <w:rsid w:val="00567123"/>
    <w:rsid w:val="0057161D"/>
    <w:rsid w:val="0058502D"/>
    <w:rsid w:val="0058667C"/>
    <w:rsid w:val="00592D92"/>
    <w:rsid w:val="005A5AED"/>
    <w:rsid w:val="005B2A1B"/>
    <w:rsid w:val="005B3502"/>
    <w:rsid w:val="005B5002"/>
    <w:rsid w:val="005C370C"/>
    <w:rsid w:val="005D0ABF"/>
    <w:rsid w:val="005E14DC"/>
    <w:rsid w:val="005F12EC"/>
    <w:rsid w:val="005F4820"/>
    <w:rsid w:val="006049E1"/>
    <w:rsid w:val="0060793B"/>
    <w:rsid w:val="006108CE"/>
    <w:rsid w:val="00610A70"/>
    <w:rsid w:val="00615D94"/>
    <w:rsid w:val="006221A4"/>
    <w:rsid w:val="0062375D"/>
    <w:rsid w:val="006305EC"/>
    <w:rsid w:val="00637CF0"/>
    <w:rsid w:val="00640E0B"/>
    <w:rsid w:val="00643A81"/>
    <w:rsid w:val="00652362"/>
    <w:rsid w:val="0065351F"/>
    <w:rsid w:val="006548A1"/>
    <w:rsid w:val="006668D7"/>
    <w:rsid w:val="00666E96"/>
    <w:rsid w:val="00671864"/>
    <w:rsid w:val="00682B8E"/>
    <w:rsid w:val="006840D3"/>
    <w:rsid w:val="00690218"/>
    <w:rsid w:val="0069771A"/>
    <w:rsid w:val="006A63AB"/>
    <w:rsid w:val="006B0FB6"/>
    <w:rsid w:val="006B4613"/>
    <w:rsid w:val="006C07D1"/>
    <w:rsid w:val="006C41DF"/>
    <w:rsid w:val="006C4E70"/>
    <w:rsid w:val="006C7592"/>
    <w:rsid w:val="006E07EC"/>
    <w:rsid w:val="006E2FBF"/>
    <w:rsid w:val="006E45BF"/>
    <w:rsid w:val="006E73B2"/>
    <w:rsid w:val="006F1393"/>
    <w:rsid w:val="006F2364"/>
    <w:rsid w:val="006F3F4E"/>
    <w:rsid w:val="006F4A7F"/>
    <w:rsid w:val="006F7506"/>
    <w:rsid w:val="00705B73"/>
    <w:rsid w:val="00710C3B"/>
    <w:rsid w:val="00711996"/>
    <w:rsid w:val="007170AE"/>
    <w:rsid w:val="00722FFC"/>
    <w:rsid w:val="00725962"/>
    <w:rsid w:val="00730BD1"/>
    <w:rsid w:val="00744107"/>
    <w:rsid w:val="00753A7F"/>
    <w:rsid w:val="00757CAC"/>
    <w:rsid w:val="00765FAF"/>
    <w:rsid w:val="007673A3"/>
    <w:rsid w:val="007715D9"/>
    <w:rsid w:val="00777C32"/>
    <w:rsid w:val="00795534"/>
    <w:rsid w:val="007A6279"/>
    <w:rsid w:val="007B4932"/>
    <w:rsid w:val="007C5E19"/>
    <w:rsid w:val="007C62EC"/>
    <w:rsid w:val="007E1207"/>
    <w:rsid w:val="007F2ED1"/>
    <w:rsid w:val="007F3404"/>
    <w:rsid w:val="007F34D4"/>
    <w:rsid w:val="007F5AC4"/>
    <w:rsid w:val="0080038D"/>
    <w:rsid w:val="00805A23"/>
    <w:rsid w:val="008166C0"/>
    <w:rsid w:val="0081730D"/>
    <w:rsid w:val="008236EA"/>
    <w:rsid w:val="00835F21"/>
    <w:rsid w:val="00842A33"/>
    <w:rsid w:val="00843C72"/>
    <w:rsid w:val="008507E4"/>
    <w:rsid w:val="00855E01"/>
    <w:rsid w:val="00856208"/>
    <w:rsid w:val="00856EBA"/>
    <w:rsid w:val="00862D01"/>
    <w:rsid w:val="008652F8"/>
    <w:rsid w:val="00865B78"/>
    <w:rsid w:val="008721A6"/>
    <w:rsid w:val="008813A4"/>
    <w:rsid w:val="00884E08"/>
    <w:rsid w:val="00884E80"/>
    <w:rsid w:val="00885152"/>
    <w:rsid w:val="00887417"/>
    <w:rsid w:val="008910F5"/>
    <w:rsid w:val="008934F7"/>
    <w:rsid w:val="008A1DFA"/>
    <w:rsid w:val="008A7996"/>
    <w:rsid w:val="008D316A"/>
    <w:rsid w:val="008D5798"/>
    <w:rsid w:val="008E06C7"/>
    <w:rsid w:val="008E0D15"/>
    <w:rsid w:val="008E28EB"/>
    <w:rsid w:val="008E295E"/>
    <w:rsid w:val="008E7A61"/>
    <w:rsid w:val="008F68DC"/>
    <w:rsid w:val="009050A3"/>
    <w:rsid w:val="0090631C"/>
    <w:rsid w:val="009141C2"/>
    <w:rsid w:val="009149E1"/>
    <w:rsid w:val="009216C9"/>
    <w:rsid w:val="00926103"/>
    <w:rsid w:val="00933C55"/>
    <w:rsid w:val="00935220"/>
    <w:rsid w:val="009406B9"/>
    <w:rsid w:val="00942AC5"/>
    <w:rsid w:val="00954EBF"/>
    <w:rsid w:val="00967C69"/>
    <w:rsid w:val="00974C64"/>
    <w:rsid w:val="00976A02"/>
    <w:rsid w:val="0098108D"/>
    <w:rsid w:val="0099133A"/>
    <w:rsid w:val="009A4D77"/>
    <w:rsid w:val="009B054D"/>
    <w:rsid w:val="009B1755"/>
    <w:rsid w:val="009B647D"/>
    <w:rsid w:val="009C3D90"/>
    <w:rsid w:val="009E48DF"/>
    <w:rsid w:val="00A00C9D"/>
    <w:rsid w:val="00A125D7"/>
    <w:rsid w:val="00A173B0"/>
    <w:rsid w:val="00A177CC"/>
    <w:rsid w:val="00A45516"/>
    <w:rsid w:val="00A53128"/>
    <w:rsid w:val="00A5419E"/>
    <w:rsid w:val="00A54846"/>
    <w:rsid w:val="00A61BED"/>
    <w:rsid w:val="00A64943"/>
    <w:rsid w:val="00A70FA4"/>
    <w:rsid w:val="00A71D1C"/>
    <w:rsid w:val="00AA270D"/>
    <w:rsid w:val="00AA4342"/>
    <w:rsid w:val="00AB6F76"/>
    <w:rsid w:val="00AC6B75"/>
    <w:rsid w:val="00B022BA"/>
    <w:rsid w:val="00B03877"/>
    <w:rsid w:val="00B03909"/>
    <w:rsid w:val="00B07352"/>
    <w:rsid w:val="00B13E92"/>
    <w:rsid w:val="00B43A7D"/>
    <w:rsid w:val="00B52A96"/>
    <w:rsid w:val="00B55C5F"/>
    <w:rsid w:val="00B55E73"/>
    <w:rsid w:val="00B6002D"/>
    <w:rsid w:val="00B60111"/>
    <w:rsid w:val="00B61D57"/>
    <w:rsid w:val="00B628FD"/>
    <w:rsid w:val="00B63E74"/>
    <w:rsid w:val="00B67AD4"/>
    <w:rsid w:val="00B715BF"/>
    <w:rsid w:val="00B80A8F"/>
    <w:rsid w:val="00B94053"/>
    <w:rsid w:val="00BA0129"/>
    <w:rsid w:val="00BA223B"/>
    <w:rsid w:val="00BA2407"/>
    <w:rsid w:val="00BA533B"/>
    <w:rsid w:val="00BA7395"/>
    <w:rsid w:val="00BC2AA2"/>
    <w:rsid w:val="00BD02CC"/>
    <w:rsid w:val="00BD230B"/>
    <w:rsid w:val="00BE177C"/>
    <w:rsid w:val="00C01C8D"/>
    <w:rsid w:val="00C1082F"/>
    <w:rsid w:val="00C14E99"/>
    <w:rsid w:val="00C21ACB"/>
    <w:rsid w:val="00C27DDF"/>
    <w:rsid w:val="00C33B3B"/>
    <w:rsid w:val="00C3450A"/>
    <w:rsid w:val="00C345D5"/>
    <w:rsid w:val="00C354E8"/>
    <w:rsid w:val="00C36B1E"/>
    <w:rsid w:val="00C460EA"/>
    <w:rsid w:val="00C46F7A"/>
    <w:rsid w:val="00C510BB"/>
    <w:rsid w:val="00C5139B"/>
    <w:rsid w:val="00C5699A"/>
    <w:rsid w:val="00C600EE"/>
    <w:rsid w:val="00C62334"/>
    <w:rsid w:val="00C6267B"/>
    <w:rsid w:val="00C64957"/>
    <w:rsid w:val="00C702E1"/>
    <w:rsid w:val="00C83A3F"/>
    <w:rsid w:val="00C93726"/>
    <w:rsid w:val="00C97A9F"/>
    <w:rsid w:val="00CA3A9C"/>
    <w:rsid w:val="00CB7435"/>
    <w:rsid w:val="00CC15EE"/>
    <w:rsid w:val="00CD17AC"/>
    <w:rsid w:val="00CD3B4D"/>
    <w:rsid w:val="00CE36D0"/>
    <w:rsid w:val="00CE3F95"/>
    <w:rsid w:val="00CE4388"/>
    <w:rsid w:val="00CE7BB5"/>
    <w:rsid w:val="00CF0E2F"/>
    <w:rsid w:val="00CF4B5C"/>
    <w:rsid w:val="00CF6FF7"/>
    <w:rsid w:val="00D07448"/>
    <w:rsid w:val="00D076B8"/>
    <w:rsid w:val="00D15E67"/>
    <w:rsid w:val="00D34959"/>
    <w:rsid w:val="00D41118"/>
    <w:rsid w:val="00D475D0"/>
    <w:rsid w:val="00D56154"/>
    <w:rsid w:val="00D64125"/>
    <w:rsid w:val="00D64B33"/>
    <w:rsid w:val="00D7702C"/>
    <w:rsid w:val="00DB7D66"/>
    <w:rsid w:val="00DC142D"/>
    <w:rsid w:val="00DD00DC"/>
    <w:rsid w:val="00DD2539"/>
    <w:rsid w:val="00DD435B"/>
    <w:rsid w:val="00DD4964"/>
    <w:rsid w:val="00DD5831"/>
    <w:rsid w:val="00DE60C0"/>
    <w:rsid w:val="00DE78DF"/>
    <w:rsid w:val="00DF4145"/>
    <w:rsid w:val="00DF5B21"/>
    <w:rsid w:val="00E03A41"/>
    <w:rsid w:val="00E06679"/>
    <w:rsid w:val="00E10161"/>
    <w:rsid w:val="00E23A59"/>
    <w:rsid w:val="00E25475"/>
    <w:rsid w:val="00E40626"/>
    <w:rsid w:val="00E40672"/>
    <w:rsid w:val="00E455E4"/>
    <w:rsid w:val="00E46E05"/>
    <w:rsid w:val="00E52FAA"/>
    <w:rsid w:val="00E563D3"/>
    <w:rsid w:val="00E57182"/>
    <w:rsid w:val="00E6264C"/>
    <w:rsid w:val="00E64029"/>
    <w:rsid w:val="00E667DA"/>
    <w:rsid w:val="00E82BF0"/>
    <w:rsid w:val="00E9258D"/>
    <w:rsid w:val="00E929AA"/>
    <w:rsid w:val="00E93357"/>
    <w:rsid w:val="00EA20E1"/>
    <w:rsid w:val="00EB5332"/>
    <w:rsid w:val="00EC6FCE"/>
    <w:rsid w:val="00EC7FB3"/>
    <w:rsid w:val="00EE21F5"/>
    <w:rsid w:val="00EE5300"/>
    <w:rsid w:val="00EF6C8B"/>
    <w:rsid w:val="00F05331"/>
    <w:rsid w:val="00F1542C"/>
    <w:rsid w:val="00F33966"/>
    <w:rsid w:val="00F36006"/>
    <w:rsid w:val="00F62473"/>
    <w:rsid w:val="00F66E0D"/>
    <w:rsid w:val="00F70620"/>
    <w:rsid w:val="00F77F16"/>
    <w:rsid w:val="00F80475"/>
    <w:rsid w:val="00F828E2"/>
    <w:rsid w:val="00F86BE6"/>
    <w:rsid w:val="00FB545D"/>
    <w:rsid w:val="00FB6603"/>
    <w:rsid w:val="00FB75F8"/>
    <w:rsid w:val="00FC2CE4"/>
    <w:rsid w:val="00FC4886"/>
    <w:rsid w:val="00FE006F"/>
    <w:rsid w:val="00FE01F3"/>
    <w:rsid w:val="00FE4F4B"/>
    <w:rsid w:val="00FF07D3"/>
    <w:rsid w:val="00FF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610A70"/>
    <w:pPr>
      <w:keepNext/>
      <w:outlineLvl w:val="0"/>
    </w:pPr>
    <w:rPr>
      <w:rFonts w:hAnsi="Arial" w:ascii="Arial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C21A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C21ACB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semiHidden/>
    <w:rsid w:val="00C36B1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64943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3046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4673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046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4673"/>
    <w:rPr>
      <w:sz w:val="24"/>
      <w:szCs w:val="24"/>
    </w:rPr>
  </w:style>
  <w:style w:styleId="Bezproreda" w:type="paragraph">
    <w:name w:val="No Spacing"/>
    <w:uiPriority w:val="1"/>
    <w:qFormat/>
    <w:rsid w:val="003E6D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7B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BD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BD8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BD8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BD8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610A70"/>
    <w:pPr>
      <w:keepNext/>
      <w:outlineLvl w:val="0"/>
    </w:pPr>
    <w:rPr>
      <w:rFonts w:ascii="Arial" w:hAnsi="Arial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C21A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C21ACB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semiHidden/>
    <w:rsid w:val="00C36B1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64943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3046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4673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046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4673"/>
    <w:rPr>
      <w:sz w:val="24"/>
      <w:szCs w:val="24"/>
    </w:rPr>
  </w:style>
  <w:style w:styleId="Bezproreda" w:type="paragraph">
    <w:name w:val="No Spacing"/>
    <w:uiPriority w:val="1"/>
    <w:qFormat/>
    <w:rsid w:val="003E6D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7B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BD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BD8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BD8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BD8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553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496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225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95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Biro-plus d.o.o.</properties:Company>
  <properties:Pages>4</properties:Pages>
  <properties:Words>891</properties:Words>
  <properties:Characters>5169</properties:Characters>
  <properties:Lines>146</properties:Lines>
  <properties:Paragraphs>67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Međimurje – Inženjering d</vt:lpstr>
    </vt:vector>
  </properties:TitlesOfParts>
  <properties:LinksUpToDate>false</properties:LinksUpToDate>
  <properties:CharactersWithSpaces>6066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2018-06-08T08:30:00Z</dcterms:created>
  <dc:creator>admin</dc:creator>
  <cp:lastModifiedBy>Tatjana Rukelj</cp:lastModifiedBy>
  <cp:lastPrinted>2018-06-07T13:54:00Z</cp:lastPrinted>
  <dcterms:modified xmlns:xsi="http://www.w3.org/2001/XMLSchema-instance" xsi:type="dcterms:W3CDTF">2018-06-12T10:16:00Z</dcterms:modified>
  <cp:revision>3</cp:revision>
  <dc:title>Međimurje – Inženjering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St-271/2011-173 / Podnesak - Izvješće stečajnog upravitelja (Pluris stecajna masa izvjesce 5.6.2018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