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60b4e" w14:paraId="7760b4e" w:rsidRDefault="00AE649C" w:rsidP="00FA5B5E" w:rsidR="00AE649C" w:rsidRPr="00B76F3C">
      <w:pPr>
        <w:pStyle w:val="Naslov3"/>
        <w15:collapsed w:val="false"/>
      </w:pPr>
      <w:bookmarkStart w:name="_GoBack" w:id="0"/>
      <w:bookmarkEnd w:id="0"/>
    </w:p>
    <w:p w:rsidRDefault="00937FF9" w:rsidP="00AB0120" w:rsidR="00AB0120" w:rsidRPr="00AB0120">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B0120" w:rsidRPr="00AB0120">
        <w:rPr>
          <w:rFonts w:cs="Times New Roman" w:eastAsia="Times New Roman"/>
          <w:lang w:eastAsia="hr-HR"/>
        </w:rPr>
        <w:t xml:space="preserve">  REPUBLIKA HRVATSKA</w:t>
      </w:r>
    </w:p>
    <w:p w:rsidRDefault="00AB0120" w:rsidP="00AB0120" w:rsidR="00AB0120" w:rsidRPr="00AB0120">
      <w:pPr>
        <w:spacing w:after="0"/>
        <w:jc w:val="both"/>
        <w:rPr>
          <w:rFonts w:cs="Times New Roman" w:eastAsia="Times New Roman"/>
          <w:b/>
          <w:szCs w:val="20"/>
          <w:lang w:eastAsia="hr-HR"/>
        </w:rPr>
      </w:pPr>
      <w:r w:rsidRPr="00AB0120">
        <w:rPr>
          <w:rFonts w:cs="Times New Roman" w:eastAsia="Times New Roman"/>
          <w:b/>
          <w:lang w:eastAsia="hr-HR"/>
        </w:rPr>
        <w:t xml:space="preserve">TRGOVAČKI SUD U SPLITU  </w:t>
      </w:r>
      <w:r w:rsidRPr="00AB0120">
        <w:rPr>
          <w:rFonts w:cs="Times New Roman" w:eastAsia="Times New Roman"/>
          <w:lang w:eastAsia="hr-HR"/>
        </w:rPr>
        <w:t xml:space="preserve">                                                </w:t>
      </w:r>
      <w:r w:rsidRPr="00AB0120">
        <w:rPr>
          <w:rFonts w:cs="Times New Roman" w:eastAsia="Times New Roman"/>
          <w:b/>
          <w:lang w:eastAsia="hr-HR"/>
        </w:rPr>
        <w:t>Broj: 14. St-292/2013.</w:t>
      </w:r>
    </w:p>
    <w:p w:rsidRDefault="00AB0120" w:rsidP="00AB0120" w:rsidR="00AB0120" w:rsidRPr="00AB0120">
      <w:pPr>
        <w:spacing w:after="0"/>
        <w:rPr>
          <w:rFonts w:cs="Times New Roman" w:eastAsia="Times New Roman"/>
          <w:b/>
          <w:szCs w:val="20"/>
          <w:lang w:eastAsia="hr-HR"/>
        </w:rPr>
      </w:pPr>
      <w:r w:rsidRPr="00AB0120">
        <w:rPr>
          <w:rFonts w:cs="Times New Roman" w:eastAsia="Times New Roman"/>
          <w:b/>
          <w:szCs w:val="20"/>
          <w:lang w:eastAsia="hr-HR"/>
        </w:rPr>
        <w:t xml:space="preserve">             </w:t>
      </w:r>
      <w:proofErr w:type="spellStart"/>
      <w:r w:rsidRPr="00AB0120">
        <w:rPr>
          <w:rFonts w:cs="Times New Roman" w:eastAsia="Times New Roman"/>
          <w:b/>
          <w:szCs w:val="20"/>
          <w:lang w:eastAsia="hr-HR"/>
        </w:rPr>
        <w:t>Sukoišanska</w:t>
      </w:r>
      <w:proofErr w:type="spellEnd"/>
      <w:r w:rsidRPr="00AB0120">
        <w:rPr>
          <w:rFonts w:cs="Times New Roman" w:eastAsia="Times New Roman"/>
          <w:b/>
          <w:szCs w:val="20"/>
          <w:lang w:eastAsia="hr-HR"/>
        </w:rPr>
        <w:t xml:space="preserve"> 6.</w:t>
      </w:r>
    </w:p>
    <w:p w:rsidRDefault="00AB0120" w:rsidP="00AB0120" w:rsidR="00AB0120" w:rsidRPr="00AB0120">
      <w:pPr>
        <w:spacing w:after="0"/>
        <w:rPr>
          <w:rFonts w:cs="Times New Roman" w:eastAsia="Times New Roman"/>
          <w:b/>
          <w:szCs w:val="20"/>
          <w:lang w:eastAsia="hr-HR"/>
        </w:rPr>
      </w:pPr>
      <w:r w:rsidRPr="00AB0120">
        <w:rPr>
          <w:rFonts w:cs="Times New Roman" w:eastAsia="Times New Roman"/>
          <w:b/>
          <w:szCs w:val="20"/>
          <w:lang w:eastAsia="hr-HR"/>
        </w:rPr>
        <w:t xml:space="preserve">            21000 S P L I T</w:t>
      </w:r>
    </w:p>
    <w:p w:rsidRDefault="00AB0120" w:rsidP="00AB0120" w:rsidR="00AB0120" w:rsidRPr="00AB0120">
      <w:pPr>
        <w:spacing w:after="0"/>
        <w:rPr>
          <w:rFonts w:cs="Times New Roman" w:eastAsia="Times New Roman"/>
          <w:szCs w:val="20"/>
          <w:lang w:eastAsia="hr-HR"/>
        </w:rPr>
      </w:pPr>
    </w:p>
    <w:p w:rsidRDefault="00AB0120" w:rsidP="00AB0120" w:rsidR="00AB0120" w:rsidRPr="00AB0120">
      <w:pPr>
        <w:spacing w:after="0"/>
        <w:rPr>
          <w:rFonts w:cs="Times New Roman" w:eastAsia="Times New Roman"/>
          <w:szCs w:val="20"/>
          <w:lang w:eastAsia="hr-HR"/>
        </w:rPr>
      </w:pPr>
    </w:p>
    <w:p w:rsidRDefault="00AB0120" w:rsidP="00AB0120" w:rsidR="00AB0120" w:rsidRPr="00AB0120">
      <w:pPr>
        <w:spacing w:after="0"/>
        <w:rPr>
          <w:rFonts w:cs="Times New Roman" w:eastAsia="Times New Roman"/>
          <w:szCs w:val="20"/>
          <w:lang w:eastAsia="hr-HR"/>
        </w:rPr>
      </w:pPr>
    </w:p>
    <w:p w:rsidRDefault="00AB0120" w:rsidP="00AB0120" w:rsidR="00AB0120" w:rsidRPr="00AB0120">
      <w:pPr>
        <w:spacing w:after="0"/>
        <w:jc w:val="center"/>
        <w:rPr>
          <w:rFonts w:cs="Times New Roman" w:eastAsia="Times New Roman"/>
          <w:b/>
          <w:lang w:eastAsia="hr-HR"/>
        </w:rPr>
      </w:pPr>
      <w:r w:rsidRPr="00AB0120">
        <w:rPr>
          <w:rFonts w:cs="Times New Roman" w:eastAsia="Times New Roman"/>
          <w:b/>
          <w:lang w:eastAsia="hr-HR"/>
        </w:rPr>
        <w:t>R E P U B L I K A    H R V A T S K A</w:t>
      </w:r>
    </w:p>
    <w:p w:rsidRDefault="00AB0120" w:rsidP="00AB0120" w:rsidR="00AB0120" w:rsidRPr="00AB0120">
      <w:pPr>
        <w:spacing w:after="0"/>
        <w:jc w:val="center"/>
        <w:rPr>
          <w:rFonts w:cs="Times New Roman" w:eastAsia="Times New Roman"/>
          <w:b/>
          <w:lang w:eastAsia="hr-HR"/>
        </w:rPr>
      </w:pPr>
    </w:p>
    <w:p w:rsidRDefault="00AB0120" w:rsidP="00AB0120" w:rsidR="00AB0120" w:rsidRPr="00AB0120">
      <w:pPr>
        <w:spacing w:after="0"/>
        <w:jc w:val="center"/>
        <w:rPr>
          <w:rFonts w:cs="Times New Roman" w:eastAsia="Times New Roman"/>
          <w:szCs w:val="20"/>
          <w:lang w:eastAsia="hr-HR" w:val="de-DE"/>
        </w:rPr>
      </w:pPr>
      <w:r w:rsidRPr="00AB0120">
        <w:rPr>
          <w:rFonts w:cs="Times New Roman" w:eastAsia="Times New Roman"/>
          <w:b/>
          <w:lang w:eastAsia="hr-HR"/>
        </w:rPr>
        <w:t>R J E Š E N J E</w:t>
      </w:r>
    </w:p>
    <w:p w:rsidRDefault="00AB0120" w:rsidP="00AB0120" w:rsidR="00AB0120" w:rsidRPr="00AB0120">
      <w:pPr>
        <w:spacing w:after="0"/>
        <w:rPr>
          <w:rFonts w:cs="Times New Roman" w:eastAsia="Times New Roman"/>
          <w:szCs w:val="20"/>
          <w:lang w:eastAsia="hr-HR" w:val="de-DE"/>
        </w:rPr>
      </w:pPr>
    </w:p>
    <w:p w:rsidRDefault="00AB0120" w:rsidP="00AB0120" w:rsidR="00AB0120" w:rsidRPr="00AB0120">
      <w:pPr>
        <w:spacing w:after="0"/>
        <w:rPr>
          <w:rFonts w:cs="Times New Roman" w:eastAsia="Times New Roman"/>
          <w:szCs w:val="20"/>
          <w:lang w:eastAsia="hr-HR" w:val="de-DE"/>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ab/>
        <w:t xml:space="preserve">Trgovački sud u Splitu, po stečajnom sudcu Jozi Ćaleti, u stečajnom postupku nad trgovačkim društvom kao stečajnim Dužnikom: AFIRMACIJA, d.o.o., u stečaju, Split, </w:t>
      </w:r>
      <w:proofErr w:type="spellStart"/>
      <w:r w:rsidRPr="00AB0120">
        <w:rPr>
          <w:rFonts w:cs="Times New Roman" w:eastAsia="Times New Roman"/>
          <w:lang w:eastAsia="hr-HR"/>
        </w:rPr>
        <w:t>Sukoišanska</w:t>
      </w:r>
      <w:proofErr w:type="spellEnd"/>
      <w:r w:rsidRPr="00AB0120">
        <w:rPr>
          <w:rFonts w:cs="Times New Roman" w:eastAsia="Times New Roman"/>
          <w:lang w:eastAsia="hr-HR"/>
        </w:rPr>
        <w:t xml:space="preserve"> 43, OIB: 12297755264, odlučujući o nagradi privremene stečajne upraviteljice, 11. siječnja 2017, </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center"/>
        <w:rPr>
          <w:rFonts w:cs="Times New Roman" w:eastAsia="Times New Roman"/>
          <w:lang w:eastAsia="hr-HR"/>
        </w:rPr>
      </w:pPr>
      <w:r w:rsidRPr="00AB0120">
        <w:rPr>
          <w:rFonts w:cs="Times New Roman" w:eastAsia="Times New Roman"/>
          <w:lang w:eastAsia="hr-HR"/>
        </w:rPr>
        <w:t>r i j e š i o     j e</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val="fr-FR"/>
        </w:rPr>
        <w:tab/>
        <w:t xml:space="preserve">Privremenoj stečajnoj upraviteljici </w:t>
      </w:r>
      <w:r w:rsidRPr="00AB0120">
        <w:rPr>
          <w:rFonts w:cs="Times New Roman" w:eastAsia="Times New Roman"/>
          <w:lang w:eastAsia="hr-HR" w:val="en-US"/>
        </w:rPr>
        <w:t>An</w:t>
      </w:r>
      <w:r w:rsidRPr="00AB0120">
        <w:rPr>
          <w:rFonts w:cs="Times New Roman" w:eastAsia="Times New Roman"/>
          <w:lang w:eastAsia="hr-HR"/>
        </w:rPr>
        <w:t>č</w:t>
      </w:r>
      <w:proofErr w:type="spellStart"/>
      <w:r w:rsidRPr="00AB0120">
        <w:rPr>
          <w:rFonts w:cs="Times New Roman" w:eastAsia="Times New Roman"/>
          <w:lang w:eastAsia="hr-HR" w:val="en-US"/>
        </w:rPr>
        <w:t>i</w:t>
      </w:r>
      <w:proofErr w:type="spellEnd"/>
      <w:r w:rsidRPr="00AB0120">
        <w:rPr>
          <w:rFonts w:cs="Times New Roman" w:eastAsia="Times New Roman"/>
          <w:lang w:eastAsia="hr-HR" w:val="en-US"/>
        </w:rPr>
        <w:t xml:space="preserve"> Ba</w:t>
      </w:r>
      <w:r w:rsidRPr="00AB0120">
        <w:rPr>
          <w:rFonts w:cs="Times New Roman" w:eastAsia="Times New Roman"/>
          <w:lang w:eastAsia="hr-HR"/>
        </w:rPr>
        <w:t>š</w:t>
      </w:r>
      <w:proofErr w:type="spellStart"/>
      <w:r w:rsidRPr="00AB0120">
        <w:rPr>
          <w:rFonts w:cs="Times New Roman" w:eastAsia="Times New Roman"/>
          <w:lang w:eastAsia="hr-HR" w:val="en-US"/>
        </w:rPr>
        <w:t>i</w:t>
      </w:r>
      <w:proofErr w:type="spellEnd"/>
      <w:r w:rsidRPr="00AB0120">
        <w:rPr>
          <w:rFonts w:cs="Times New Roman" w:eastAsia="Times New Roman"/>
          <w:lang w:eastAsia="hr-HR"/>
        </w:rPr>
        <w:t xml:space="preserve">ć, </w:t>
      </w:r>
      <w:proofErr w:type="spellStart"/>
      <w:r w:rsidRPr="00AB0120">
        <w:rPr>
          <w:rFonts w:cs="Times New Roman" w:eastAsia="Times New Roman"/>
          <w:lang w:eastAsia="hr-HR" w:val="en-US"/>
        </w:rPr>
        <w:t>iz</w:t>
      </w:r>
      <w:proofErr w:type="spellEnd"/>
      <w:r w:rsidRPr="00AB0120">
        <w:rPr>
          <w:rFonts w:cs="Times New Roman" w:eastAsia="Times New Roman"/>
          <w:lang w:eastAsia="hr-HR" w:val="en-US"/>
        </w:rPr>
        <w:t xml:space="preserve"> </w:t>
      </w:r>
      <w:proofErr w:type="spellStart"/>
      <w:r w:rsidRPr="00AB0120">
        <w:rPr>
          <w:rFonts w:cs="Times New Roman" w:eastAsia="Times New Roman"/>
          <w:lang w:eastAsia="hr-HR" w:val="en-US"/>
        </w:rPr>
        <w:t>Splita</w:t>
      </w:r>
      <w:proofErr w:type="spellEnd"/>
      <w:r w:rsidRPr="00AB0120">
        <w:rPr>
          <w:rFonts w:cs="Times New Roman" w:eastAsia="Times New Roman"/>
          <w:lang w:eastAsia="hr-HR"/>
        </w:rPr>
        <w:t xml:space="preserve">, </w:t>
      </w:r>
      <w:r w:rsidRPr="00AB0120">
        <w:rPr>
          <w:rFonts w:cs="Times New Roman" w:eastAsia="Times New Roman"/>
          <w:lang w:eastAsia="hr-HR" w:val="en-US"/>
        </w:rPr>
        <w:t>Ma</w:t>
      </w:r>
      <w:r w:rsidRPr="00AB0120">
        <w:rPr>
          <w:rFonts w:cs="Times New Roman" w:eastAsia="Times New Roman"/>
          <w:lang w:eastAsia="hr-HR"/>
        </w:rPr>
        <w:t>ž</w:t>
      </w:r>
      <w:proofErr w:type="spellStart"/>
      <w:r w:rsidRPr="00AB0120">
        <w:rPr>
          <w:rFonts w:cs="Times New Roman" w:eastAsia="Times New Roman"/>
          <w:lang w:eastAsia="hr-HR" w:val="en-US"/>
        </w:rPr>
        <w:t>urani</w:t>
      </w:r>
      <w:proofErr w:type="spellEnd"/>
      <w:r w:rsidRPr="00AB0120">
        <w:rPr>
          <w:rFonts w:cs="Times New Roman" w:eastAsia="Times New Roman"/>
          <w:lang w:eastAsia="hr-HR"/>
        </w:rPr>
        <w:t>ć</w:t>
      </w:r>
      <w:proofErr w:type="spellStart"/>
      <w:r w:rsidRPr="00AB0120">
        <w:rPr>
          <w:rFonts w:cs="Times New Roman" w:eastAsia="Times New Roman"/>
          <w:lang w:eastAsia="hr-HR" w:val="en-US"/>
        </w:rPr>
        <w:t>evo</w:t>
      </w:r>
      <w:proofErr w:type="spellEnd"/>
      <w:r w:rsidRPr="00AB0120">
        <w:rPr>
          <w:rFonts w:cs="Times New Roman" w:eastAsia="Times New Roman"/>
          <w:lang w:eastAsia="hr-HR"/>
        </w:rPr>
        <w:t xml:space="preserve"> š</w:t>
      </w:r>
      <w:proofErr w:type="spellStart"/>
      <w:r w:rsidRPr="00AB0120">
        <w:rPr>
          <w:rFonts w:cs="Times New Roman" w:eastAsia="Times New Roman"/>
          <w:lang w:eastAsia="hr-HR" w:val="en-US"/>
        </w:rPr>
        <w:t>etali</w:t>
      </w:r>
      <w:proofErr w:type="spellEnd"/>
      <w:r w:rsidRPr="00AB0120">
        <w:rPr>
          <w:rFonts w:cs="Times New Roman" w:eastAsia="Times New Roman"/>
          <w:lang w:eastAsia="hr-HR"/>
        </w:rPr>
        <w:t>š</w:t>
      </w:r>
      <w:proofErr w:type="spellStart"/>
      <w:r w:rsidRPr="00AB0120">
        <w:rPr>
          <w:rFonts w:cs="Times New Roman" w:eastAsia="Times New Roman"/>
          <w:lang w:eastAsia="hr-HR" w:val="en-US"/>
        </w:rPr>
        <w:t>te</w:t>
      </w:r>
      <w:proofErr w:type="spellEnd"/>
      <w:r w:rsidRPr="00AB0120">
        <w:rPr>
          <w:rFonts w:cs="Times New Roman" w:eastAsia="Times New Roman"/>
          <w:lang w:eastAsia="hr-HR"/>
        </w:rPr>
        <w:t xml:space="preserve"> 35, </w:t>
      </w:r>
      <w:r w:rsidRPr="00AB0120">
        <w:rPr>
          <w:rFonts w:cs="Times New Roman" w:eastAsia="Times New Roman"/>
          <w:lang w:eastAsia="hr-HR" w:val="en-US"/>
        </w:rPr>
        <w:t>OIB</w:t>
      </w:r>
      <w:r w:rsidRPr="00AB0120">
        <w:rPr>
          <w:rFonts w:cs="Times New Roman" w:eastAsia="Times New Roman"/>
          <w:lang w:eastAsia="hr-HR"/>
        </w:rPr>
        <w:t>: 38874953663, o</w:t>
      </w:r>
      <w:r w:rsidRPr="00AB0120">
        <w:rPr>
          <w:rFonts w:cs="Times New Roman" w:eastAsia="Times New Roman"/>
          <w:lang w:eastAsia="hr-HR" w:val="fr-FR"/>
        </w:rPr>
        <w:t xml:space="preserve">dređuje se nagrada za obavljanje službe privremene stečajne upraviteljice u </w:t>
      </w:r>
      <w:r w:rsidRPr="00AB0120">
        <w:rPr>
          <w:rFonts w:cs="Times New Roman" w:eastAsia="Times New Roman"/>
          <w:lang w:eastAsia="hr-HR"/>
        </w:rPr>
        <w:t>razdoblju od 14. lipnja 2013. – kada je ista postavljena za privremenu stečajnu upraviteljicu pa do 29. srpnja 2013. – kada je otvoren ovaj stečajni postupak, ukinute mjere osiguranja i ista razriješena dužnosti privremene stečajne upraviteljice, tj. za vrijeme dok je ista tu službu obavljala u ovome stečajnom postupku, u iznosu od: 3.500,00 kuna (neto), što će se isplatiti iz sredstava Fonda za pokriće troškova stečajnog postupka (Fond iz članka 39.a, SZ) a nakon pravomoćnosti ovog Rješenja.</w:t>
      </w:r>
    </w:p>
    <w:p w:rsidRDefault="00AB0120" w:rsidP="00AB0120" w:rsidR="00AB0120" w:rsidRPr="00AB0120">
      <w:pPr>
        <w:spacing w:after="0"/>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center"/>
        <w:rPr>
          <w:rFonts w:cs="Times New Roman" w:eastAsia="Calibri" w:hAnsi="Calibri" w:ascii="Calibri"/>
          <w:lang w:val="en-US"/>
        </w:rPr>
      </w:pPr>
      <w:proofErr w:type="spellStart"/>
      <w:r w:rsidRPr="00AB0120">
        <w:rPr>
          <w:rFonts w:cs="Times New Roman" w:eastAsia="Calibri" w:hAnsi="Calibri" w:ascii="Calibri"/>
          <w:bCs/>
          <w:lang w:val="en-US"/>
        </w:rPr>
        <w:t>Obrazloženje</w:t>
      </w:r>
      <w:proofErr w:type="spellEnd"/>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U stečajnom postupku nad uvodno navedenim stečajnim Dužnikom, Rješenjem Suda od 14. lipnja 2013, broj: 14. St-292/13, </w:t>
      </w:r>
      <w:proofErr w:type="spellStart"/>
      <w:r w:rsidRPr="00AB0120">
        <w:rPr>
          <w:rFonts w:cs="Times New Roman" w:eastAsia="Times New Roman"/>
          <w:lang w:eastAsia="hr-HR"/>
        </w:rPr>
        <w:t>preotvoren</w:t>
      </w:r>
      <w:proofErr w:type="spellEnd"/>
      <w:r w:rsidRPr="00AB0120">
        <w:rPr>
          <w:rFonts w:cs="Times New Roman" w:eastAsia="Times New Roman"/>
          <w:lang w:eastAsia="hr-HR"/>
        </w:rPr>
        <w:t xml:space="preserve"> je prethodni postupak radi utvrđivanja uvjeta za otvaranje stečajnog postupka a istim je Rješenjem (točka B/) određena mjera osiguranja i Dužniku postavljena privremena stečajna upraviteljica u osobi: </w:t>
      </w:r>
      <w:r w:rsidRPr="00AB0120">
        <w:rPr>
          <w:rFonts w:cs="Times New Roman" w:eastAsia="Times New Roman"/>
          <w:lang w:eastAsia="hr-HR" w:val="en-US"/>
        </w:rPr>
        <w:t>An</w:t>
      </w:r>
      <w:r w:rsidRPr="00AB0120">
        <w:rPr>
          <w:rFonts w:cs="Times New Roman" w:eastAsia="Times New Roman"/>
          <w:lang w:eastAsia="hr-HR"/>
        </w:rPr>
        <w:t>č</w:t>
      </w:r>
      <w:proofErr w:type="spellStart"/>
      <w:r w:rsidRPr="00AB0120">
        <w:rPr>
          <w:rFonts w:cs="Times New Roman" w:eastAsia="Times New Roman"/>
          <w:lang w:eastAsia="hr-HR" w:val="en-US"/>
        </w:rPr>
        <w:t>i</w:t>
      </w:r>
      <w:proofErr w:type="spellEnd"/>
      <w:r w:rsidRPr="00AB0120">
        <w:rPr>
          <w:rFonts w:cs="Times New Roman" w:eastAsia="Times New Roman"/>
          <w:lang w:eastAsia="hr-HR" w:val="en-US"/>
        </w:rPr>
        <w:t xml:space="preserve"> Ba</w:t>
      </w:r>
      <w:r w:rsidRPr="00AB0120">
        <w:rPr>
          <w:rFonts w:cs="Times New Roman" w:eastAsia="Times New Roman"/>
          <w:lang w:eastAsia="hr-HR"/>
        </w:rPr>
        <w:t>š</w:t>
      </w:r>
      <w:proofErr w:type="spellStart"/>
      <w:r w:rsidRPr="00AB0120">
        <w:rPr>
          <w:rFonts w:cs="Times New Roman" w:eastAsia="Times New Roman"/>
          <w:lang w:eastAsia="hr-HR" w:val="en-US"/>
        </w:rPr>
        <w:t>i</w:t>
      </w:r>
      <w:proofErr w:type="spellEnd"/>
      <w:r w:rsidRPr="00AB0120">
        <w:rPr>
          <w:rFonts w:cs="Times New Roman" w:eastAsia="Times New Roman"/>
          <w:lang w:eastAsia="hr-HR"/>
        </w:rPr>
        <w:t xml:space="preserve">ć, </w:t>
      </w:r>
      <w:proofErr w:type="spellStart"/>
      <w:r w:rsidRPr="00AB0120">
        <w:rPr>
          <w:rFonts w:cs="Times New Roman" w:eastAsia="Times New Roman"/>
          <w:lang w:eastAsia="hr-HR" w:val="en-US"/>
        </w:rPr>
        <w:t>iz</w:t>
      </w:r>
      <w:proofErr w:type="spellEnd"/>
      <w:r w:rsidRPr="00AB0120">
        <w:rPr>
          <w:rFonts w:cs="Times New Roman" w:eastAsia="Times New Roman"/>
          <w:lang w:eastAsia="hr-HR" w:val="en-US"/>
        </w:rPr>
        <w:t xml:space="preserve"> </w:t>
      </w:r>
      <w:proofErr w:type="spellStart"/>
      <w:r w:rsidRPr="00AB0120">
        <w:rPr>
          <w:rFonts w:cs="Times New Roman" w:eastAsia="Times New Roman"/>
          <w:lang w:eastAsia="hr-HR" w:val="en-US"/>
        </w:rPr>
        <w:t>Splita</w:t>
      </w:r>
      <w:proofErr w:type="spellEnd"/>
      <w:r w:rsidRPr="00AB0120">
        <w:rPr>
          <w:rFonts w:cs="Times New Roman" w:eastAsia="Times New Roman"/>
          <w:lang w:eastAsia="hr-HR"/>
        </w:rPr>
        <w:t xml:space="preserve">, </w:t>
      </w:r>
      <w:r w:rsidRPr="00AB0120">
        <w:rPr>
          <w:rFonts w:cs="Times New Roman" w:eastAsia="Times New Roman"/>
          <w:lang w:eastAsia="hr-HR" w:val="en-US"/>
        </w:rPr>
        <w:t>Ma</w:t>
      </w:r>
      <w:r w:rsidRPr="00AB0120">
        <w:rPr>
          <w:rFonts w:cs="Times New Roman" w:eastAsia="Times New Roman"/>
          <w:lang w:eastAsia="hr-HR"/>
        </w:rPr>
        <w:t>ž</w:t>
      </w:r>
      <w:proofErr w:type="spellStart"/>
      <w:r w:rsidRPr="00AB0120">
        <w:rPr>
          <w:rFonts w:cs="Times New Roman" w:eastAsia="Times New Roman"/>
          <w:lang w:eastAsia="hr-HR" w:val="en-US"/>
        </w:rPr>
        <w:t>urani</w:t>
      </w:r>
      <w:proofErr w:type="spellEnd"/>
      <w:r w:rsidRPr="00AB0120">
        <w:rPr>
          <w:rFonts w:cs="Times New Roman" w:eastAsia="Times New Roman"/>
          <w:lang w:eastAsia="hr-HR"/>
        </w:rPr>
        <w:t>ć</w:t>
      </w:r>
      <w:proofErr w:type="spellStart"/>
      <w:r w:rsidRPr="00AB0120">
        <w:rPr>
          <w:rFonts w:cs="Times New Roman" w:eastAsia="Times New Roman"/>
          <w:lang w:eastAsia="hr-HR" w:val="en-US"/>
        </w:rPr>
        <w:t>evo</w:t>
      </w:r>
      <w:proofErr w:type="spellEnd"/>
      <w:r w:rsidRPr="00AB0120">
        <w:rPr>
          <w:rFonts w:cs="Times New Roman" w:eastAsia="Times New Roman"/>
          <w:lang w:eastAsia="hr-HR"/>
        </w:rPr>
        <w:t xml:space="preserve"> š</w:t>
      </w:r>
      <w:proofErr w:type="spellStart"/>
      <w:r w:rsidRPr="00AB0120">
        <w:rPr>
          <w:rFonts w:cs="Times New Roman" w:eastAsia="Times New Roman"/>
          <w:lang w:eastAsia="hr-HR" w:val="en-US"/>
        </w:rPr>
        <w:t>etali</w:t>
      </w:r>
      <w:proofErr w:type="spellEnd"/>
      <w:r w:rsidRPr="00AB0120">
        <w:rPr>
          <w:rFonts w:cs="Times New Roman" w:eastAsia="Times New Roman"/>
          <w:lang w:eastAsia="hr-HR"/>
        </w:rPr>
        <w:t>š</w:t>
      </w:r>
      <w:proofErr w:type="spellStart"/>
      <w:r w:rsidRPr="00AB0120">
        <w:rPr>
          <w:rFonts w:cs="Times New Roman" w:eastAsia="Times New Roman"/>
          <w:lang w:eastAsia="hr-HR" w:val="en-US"/>
        </w:rPr>
        <w:t>te</w:t>
      </w:r>
      <w:proofErr w:type="spellEnd"/>
      <w:r w:rsidRPr="00AB0120">
        <w:rPr>
          <w:rFonts w:cs="Times New Roman" w:eastAsia="Times New Roman"/>
          <w:lang w:eastAsia="hr-HR"/>
        </w:rPr>
        <w:t xml:space="preserve"> 35, </w:t>
      </w:r>
      <w:r w:rsidRPr="00AB0120">
        <w:rPr>
          <w:rFonts w:cs="Times New Roman" w:eastAsia="Times New Roman"/>
          <w:lang w:eastAsia="hr-HR" w:val="en-US"/>
        </w:rPr>
        <w:t>OIB</w:t>
      </w:r>
      <w:r w:rsidRPr="00AB0120">
        <w:rPr>
          <w:rFonts w:cs="Times New Roman" w:eastAsia="Times New Roman"/>
          <w:lang w:eastAsia="hr-HR"/>
        </w:rPr>
        <w:t xml:space="preserve">: 38874953663, kojoj su istim Rješenjem određene i dužnosti: zaštititi i održavati imovinu Dužnika, ispitati postoji li stečajni razlog za otvaranje stečajnog postupka te ispitati mogu li se imovinom Dužnika pokriti troškovi stečajnog postupka. </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pPr>
        <w:spacing w:after="0"/>
        <w:jc w:val="both"/>
        <w:rPr>
          <w:rFonts w:cs="Times New Roman" w:eastAsia="Times New Roman"/>
          <w:lang w:eastAsia="hr-HR"/>
        </w:rPr>
      </w:pPr>
    </w:p>
    <w:p w:rsidRDefault="00AB0120" w:rsidP="00AB0120" w:rsidR="00AB0120">
      <w:pPr>
        <w:spacing w:after="0"/>
        <w:jc w:val="both"/>
        <w:rPr>
          <w:rFonts w:cs="Times New Roman" w:eastAsia="Times New Roman"/>
          <w:lang w:eastAsia="hr-HR"/>
        </w:rPr>
      </w:pPr>
    </w:p>
    <w:p w:rsidRDefault="00AB0120" w:rsidP="00AB0120" w:rsidR="00AB0120">
      <w:pPr>
        <w:spacing w:after="0"/>
        <w:jc w:val="both"/>
        <w:rPr>
          <w:rFonts w:cs="Times New Roman" w:eastAsia="Times New Roman"/>
          <w:lang w:eastAsia="hr-HR"/>
        </w:rPr>
      </w:pPr>
    </w:p>
    <w:p w:rsidRDefault="00AB0120" w:rsidP="00AB0120" w:rsid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rPr>
          <w:rFonts w:cs="Times New Roman" w:eastAsia="Times New Roman"/>
          <w:b/>
          <w:lang w:eastAsia="hr-HR"/>
        </w:rPr>
      </w:pPr>
      <w:r w:rsidRPr="00AB0120">
        <w:rPr>
          <w:rFonts w:cs="Times New Roman" w:eastAsia="Times New Roman"/>
          <w:lang w:eastAsia="hr-HR"/>
        </w:rPr>
        <w:lastRenderedPageBreak/>
        <w:t xml:space="preserve">                                                                   </w:t>
      </w:r>
      <w:r w:rsidRPr="00AB0120">
        <w:rPr>
          <w:rFonts w:cs="Times New Roman" w:eastAsia="Times New Roman"/>
          <w:b/>
          <w:lang w:eastAsia="hr-HR"/>
        </w:rPr>
        <w:t>- 2 -</w:t>
      </w:r>
      <w:r w:rsidRPr="00AB0120">
        <w:rPr>
          <w:rFonts w:cs="Times New Roman" w:eastAsia="Times New Roman"/>
          <w:lang w:eastAsia="hr-HR"/>
        </w:rPr>
        <w:t xml:space="preserve">                            </w:t>
      </w:r>
      <w:r w:rsidRPr="00AB0120">
        <w:rPr>
          <w:rFonts w:cs="Times New Roman" w:eastAsia="Times New Roman"/>
          <w:b/>
          <w:lang w:eastAsia="hr-HR"/>
        </w:rPr>
        <w:t>Broj: 14. St-292/2013.</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Na ročištu radi utvrđivanja uvjeta za otvaranje stečajnog postupka nad Dužnikom, održanom 25. srpnja 2013, na kojem je ročištu bila prisutna i privremena stečajna upraviteljica </w:t>
      </w:r>
      <w:proofErr w:type="spellStart"/>
      <w:r w:rsidRPr="00AB0120">
        <w:rPr>
          <w:rFonts w:cs="Times New Roman" w:eastAsia="Times New Roman"/>
          <w:lang w:eastAsia="hr-HR"/>
        </w:rPr>
        <w:t>Anči</w:t>
      </w:r>
      <w:proofErr w:type="spellEnd"/>
      <w:r w:rsidRPr="00AB0120">
        <w:rPr>
          <w:rFonts w:cs="Times New Roman" w:eastAsia="Times New Roman"/>
          <w:lang w:eastAsia="hr-HR"/>
        </w:rPr>
        <w:t xml:space="preserve"> Bašić, Sud je izveo sve dokaze priložene spisu, među ostalim i pismeno Izvješće Privremene stečajne upraviteljice koje je ista prethodno dostavila Sudu 22. srpnja 2013.</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Podneskom zaprimljenim u Sudu 22. studenog 2016. godine, Privremena stečajna upraviteljica je zatražila od Suda odrediti joj nagradu za obavljanje službe privremene stečajne upraviteljice, istaknuvši kako: </w:t>
      </w:r>
      <w:r w:rsidRPr="00AB0120">
        <w:rPr>
          <w:rFonts w:cs="Times New Roman" w:eastAsia="Times New Roman"/>
          <w:i/>
          <w:lang w:eastAsia="hr-HR"/>
        </w:rPr>
        <w:t>Sukladno tada važećoj Uredbi RH iz 2003. godine stečajnom upravitelju pripada pravo na jednokratnu nagradu za poslove obavljene u prethodnom postupku u maksimalnom iznosu do 10.000,00 kn, a budući da do sada nije bilo unovčenja stečajne mase to se nije utvrdila nagrada, a isto tako nije provedena ni isplata iz sredstava Fonda. Sukladno navedenom predlažem da stečajni sudac odredi nagradu  za obavljene poslove u prethodnom postupku</w:t>
      </w:r>
      <w:r w:rsidRPr="00AB0120">
        <w:rPr>
          <w:rFonts w:cs="Times New Roman" w:eastAsia="Times New Roman"/>
          <w:lang w:eastAsia="hr-HR"/>
        </w:rPr>
        <w:t>.</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ind w:firstLine="720"/>
        <w:jc w:val="both"/>
        <w:rPr>
          <w:rFonts w:cs="Times New Roman" w:eastAsia="Times New Roman"/>
          <w:lang w:eastAsia="hr-HR"/>
        </w:rPr>
      </w:pPr>
      <w:r w:rsidRPr="00AB0120">
        <w:rPr>
          <w:rFonts w:cs="Times New Roman" w:eastAsia="Times New Roman"/>
          <w:lang w:eastAsia="hr-HR"/>
        </w:rPr>
        <w:t>Sud je zahtjev utvrdio pravno utemeljenim te je Privremenoj stečajnoj upraviteljici odredio nagradu u iznosu  kako je to navedeno u izreci ovog Rješenja a sve zbog razloga koji će se niže navesti.</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Naime, odredbom članka 44, stavka 2, točka 1, Stečajnog zakona (</w:t>
      </w:r>
      <w:r w:rsidRPr="00AB0120">
        <w:rPr>
          <w:rFonts w:cs="Times New Roman" w:eastAsia="Times New Roman"/>
          <w:i/>
          <w:lang w:eastAsia="hr-HR"/>
        </w:rPr>
        <w:t>Narodne novine,</w:t>
      </w:r>
      <w:r w:rsidRPr="00AB0120">
        <w:rPr>
          <w:rFonts w:cs="Times New Roman" w:eastAsia="Times New Roman"/>
          <w:lang w:eastAsia="hr-HR"/>
        </w:rPr>
        <w:t xml:space="preserve"> br.-i: 44/96–133/12, dalje: SZ, u vezi sa člankom 441, Stečajnog zakona, </w:t>
      </w:r>
      <w:r w:rsidRPr="00AB0120">
        <w:rPr>
          <w:rFonts w:cs="Times New Roman" w:eastAsia="Times New Roman"/>
          <w:i/>
          <w:lang w:eastAsia="hr-HR"/>
        </w:rPr>
        <w:t>Narodne novine</w:t>
      </w:r>
      <w:r w:rsidRPr="00AB0120">
        <w:rPr>
          <w:rFonts w:cs="Times New Roman" w:eastAsia="Times New Roman"/>
          <w:lang w:eastAsia="hr-HR"/>
        </w:rPr>
        <w:t>, br.: 71/15, dalje: SZ/15), propisano je kako se na privremenoga stečajnog upravitelja na odgovarajući način primjenjuju odredbe istog Zakona o stečajnom upravitelju. Odredbom članka 29, SZ, propisano je, između ostalog, kako stečajni upravitelj ima pravo na nagradu za svoj rad te na naknadu stvarnih troškova te kako istu nagradu rješenjem određuje stečajni sudac prema posebnom propisu kojim Vlada Republike Hrvatske utvrđuje kriterije i način obračuna i plaćanja nagrade stečajnim upraviteljima (stavak 1. i 2).</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Slične su odredbe sadržane i u članku 2. i 3, Uredbe o kriterijima i načinu obračuna i plaćanja nagrada stečajnim upraviteljima (</w:t>
      </w:r>
      <w:r w:rsidRPr="00AB0120">
        <w:rPr>
          <w:rFonts w:cs="Times New Roman" w:eastAsia="Times New Roman"/>
          <w:i/>
          <w:lang w:eastAsia="hr-HR"/>
        </w:rPr>
        <w:t>Narodne novine,</w:t>
      </w:r>
      <w:r w:rsidRPr="00AB0120">
        <w:rPr>
          <w:rFonts w:cs="Times New Roman" w:eastAsia="Times New Roman"/>
          <w:lang w:eastAsia="hr-HR"/>
        </w:rPr>
        <w:t xml:space="preserve"> br.: 189/03, dalje: Uredba, Stečajno upraviteljska tarifa), u vezi sa člankom 16, stavkom 2, Uredbe o kriterijima i načinu obračuna i plaćanja nagrade stečajnim upraviteljima (</w:t>
      </w:r>
      <w:r w:rsidRPr="00AB0120">
        <w:rPr>
          <w:rFonts w:cs="Times New Roman" w:eastAsia="Times New Roman"/>
          <w:i/>
          <w:lang w:eastAsia="hr-HR"/>
        </w:rPr>
        <w:t>Narodne novine,</w:t>
      </w:r>
      <w:r w:rsidRPr="00AB0120">
        <w:rPr>
          <w:rFonts w:cs="Times New Roman" w:eastAsia="Times New Roman"/>
          <w:lang w:eastAsia="hr-HR"/>
        </w:rPr>
        <w:t xml:space="preserve"> br.: 105/2015, dalje: Uredba/15). </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Imajući u vidu naprijed navedene odredbe SZ i Uredbe te kako je Privremena stečajna upraviteljica svoju službu obavljala stručno i savjesno, ispitala je gospodarski položaj Dužnika, njegove imovinske prilike itd. te o svemu tome dostavila Sudu svoje </w:t>
      </w:r>
    </w:p>
    <w:p w:rsidRDefault="00AB0120" w:rsidP="00AB0120" w:rsidR="00AB0120" w:rsidRPr="00AB0120">
      <w:pPr>
        <w:spacing w:after="0"/>
        <w:jc w:val="both"/>
        <w:rPr>
          <w:rFonts w:cs="Times New Roman" w:eastAsia="Times New Roman"/>
          <w:lang w:eastAsia="hr-HR"/>
        </w:rPr>
      </w:pPr>
    </w:p>
    <w:p w:rsidRDefault="00AB0120" w:rsidP="00AB0120" w:rsidR="00AB0120">
      <w:pPr>
        <w:spacing w:after="0"/>
        <w:jc w:val="both"/>
        <w:rPr>
          <w:rFonts w:cs="Times New Roman" w:eastAsia="Times New Roman"/>
          <w:lang w:eastAsia="hr-HR"/>
        </w:rPr>
      </w:pPr>
    </w:p>
    <w:p w:rsidRDefault="00AB0120" w:rsidP="00AB0120" w:rsidR="00AB0120">
      <w:pPr>
        <w:spacing w:after="0"/>
        <w:jc w:val="both"/>
        <w:rPr>
          <w:rFonts w:cs="Times New Roman" w:eastAsia="Times New Roman"/>
          <w:lang w:eastAsia="hr-HR"/>
        </w:rPr>
      </w:pPr>
    </w:p>
    <w:p w:rsidRDefault="00AB0120" w:rsidP="00AB0120" w:rsidR="00AB0120">
      <w:pPr>
        <w:spacing w:after="0"/>
        <w:jc w:val="both"/>
        <w:rPr>
          <w:rFonts w:cs="Times New Roman" w:eastAsia="Times New Roman"/>
          <w:lang w:eastAsia="hr-HR"/>
        </w:rPr>
      </w:pPr>
    </w:p>
    <w:p w:rsidRDefault="00AB0120" w:rsidP="00AB0120" w:rsid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rPr>
          <w:rFonts w:cs="Times New Roman" w:eastAsia="Times New Roman"/>
          <w:b/>
          <w:lang w:eastAsia="hr-HR"/>
        </w:rPr>
      </w:pPr>
      <w:r w:rsidRPr="00AB0120">
        <w:rPr>
          <w:rFonts w:cs="Times New Roman" w:eastAsia="Times New Roman"/>
          <w:lang w:eastAsia="hr-HR"/>
        </w:rPr>
        <w:t xml:space="preserve">                                                                   </w:t>
      </w:r>
      <w:r w:rsidRPr="00AB0120">
        <w:rPr>
          <w:rFonts w:cs="Times New Roman" w:eastAsia="Times New Roman"/>
          <w:b/>
          <w:lang w:eastAsia="hr-HR"/>
        </w:rPr>
        <w:t>- 3 -</w:t>
      </w:r>
      <w:r w:rsidRPr="00AB0120">
        <w:rPr>
          <w:rFonts w:cs="Times New Roman" w:eastAsia="Times New Roman"/>
          <w:lang w:eastAsia="hr-HR"/>
        </w:rPr>
        <w:t xml:space="preserve">                            </w:t>
      </w:r>
      <w:r w:rsidRPr="00AB0120">
        <w:rPr>
          <w:rFonts w:cs="Times New Roman" w:eastAsia="Times New Roman"/>
          <w:b/>
          <w:lang w:eastAsia="hr-HR"/>
        </w:rPr>
        <w:t>Broj: 14. St-292/2013.</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pismeno Izvješće te aktivno sudjelovala na sudskom ročištu održanom 25. srpnja 2013, Sud utvrđuje utemeljenim zahtjev Privremene stečajne upraviteljice za odobrenjem nagrade za rad. Zato je Sud istoj i odredio nagradu u iznosu kako je to navedeno u izrijeci ovog Rješenja. Određeni iznos nagrade od 3.500,00 kuna je neto iznos na koji je potrebito obračunati poreze, prireze i doprinose a koji neto iznos Sud smatra realnim i prihvatljivim i sukladan vremenu obavljanja iste službe te </w:t>
      </w:r>
      <w:proofErr w:type="spellStart"/>
      <w:r w:rsidRPr="00AB0120">
        <w:rPr>
          <w:rFonts w:cs="Times New Roman" w:eastAsia="Times New Roman"/>
          <w:lang w:eastAsia="hr-HR"/>
        </w:rPr>
        <w:t>sj</w:t>
      </w:r>
      <w:proofErr w:type="spellEnd"/>
      <w:r w:rsidRPr="00AB0120">
        <w:rPr>
          <w:rFonts w:cs="Times New Roman" w:eastAsia="Times New Roman"/>
          <w:lang w:eastAsia="hr-HR"/>
        </w:rPr>
        <w:t xml:space="preserve"> isti iznos u okvirima iz članka 7, Uredbe.</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Naime, odredbom, članka 7, Uredbe, propisano je kako privremenom stečajnom upravitelju pripada pravo na jednokratnu nagradu za poslove obavljene u prethodnom postupku (postupku ispitivanja uvjeta za otvaranje stečajnog postupka) u maksimalnom iznosu od 10.000,00 kuna, koju će odrediti stečajni sudac vodeći računa o kriterijima iz članka 7, stavka 3, ove Uredbe.</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Zbog navedenog je Sud zahtjev Privremene stečajne upraviteljice i prihvatio i istoj odredio nagradu pa je sukladno svemu navedenom i temeljem navedenih odredaba pozitivnih propisa, riješeno je kao u izrijeci ovog Rješenja.</w:t>
      </w:r>
    </w:p>
    <w:p w:rsidRDefault="00AB0120" w:rsidP="00AB0120" w:rsidR="00AB0120" w:rsidRPr="00AB0120">
      <w:pPr>
        <w:spacing w:after="0"/>
        <w:rPr>
          <w:rFonts w:cs="Times New Roman" w:eastAsia="Times New Roman"/>
          <w:lang w:eastAsia="hr-HR"/>
        </w:rPr>
      </w:pPr>
    </w:p>
    <w:p w:rsidRDefault="00AB0120" w:rsidP="00AB0120" w:rsidR="00AB0120" w:rsidRPr="00AB0120">
      <w:pPr>
        <w:spacing w:after="0"/>
        <w:rPr>
          <w:rFonts w:cs="Times New Roman" w:eastAsia="Times New Roman"/>
          <w:lang w:eastAsia="hr-HR"/>
        </w:rPr>
      </w:pPr>
    </w:p>
    <w:p w:rsidRDefault="00AB0120" w:rsidP="00AB0120" w:rsidR="00AB0120" w:rsidRPr="00AB0120">
      <w:pPr>
        <w:spacing w:after="0"/>
        <w:jc w:val="center"/>
        <w:rPr>
          <w:rFonts w:cs="Times New Roman" w:eastAsia="Times New Roman"/>
          <w:lang w:eastAsia="hr-HR"/>
        </w:rPr>
      </w:pPr>
      <w:smartTag w:element="place" w:uri="urn:schemas-microsoft-com:office:smarttags">
        <w:smartTag w:element="City" w:uri="urn:schemas-microsoft-com:office:smarttags">
          <w:r w:rsidRPr="00AB0120">
            <w:rPr>
              <w:rFonts w:cs="Times New Roman" w:eastAsia="Times New Roman"/>
              <w:lang w:eastAsia="hr-HR"/>
            </w:rPr>
            <w:t>Split</w:t>
          </w:r>
        </w:smartTag>
      </w:smartTag>
      <w:r w:rsidRPr="00AB0120">
        <w:rPr>
          <w:rFonts w:cs="Times New Roman" w:eastAsia="Times New Roman"/>
          <w:lang w:eastAsia="hr-HR"/>
        </w:rPr>
        <w:t>, 11. siječnja 2017.</w:t>
      </w:r>
    </w:p>
    <w:p w:rsidRDefault="00AB0120" w:rsidP="00AB0120" w:rsidR="00AB0120" w:rsidRPr="00AB0120">
      <w:pPr>
        <w:spacing w:after="0"/>
        <w:rPr>
          <w:rFonts w:cs="Times New Roman" w:eastAsia="Times New Roman"/>
          <w:lang w:eastAsia="hr-HR"/>
        </w:rPr>
      </w:pPr>
    </w:p>
    <w:p w:rsidRDefault="00AB0120" w:rsidP="00AB0120" w:rsidR="00AB0120" w:rsidRPr="00AB0120">
      <w:pPr>
        <w:spacing w:after="0"/>
        <w:rPr>
          <w:rFonts w:cs="Times New Roman" w:eastAsia="Times New Roman"/>
          <w:lang w:eastAsia="hr-HR"/>
        </w:rPr>
      </w:pPr>
    </w:p>
    <w:p w:rsidRDefault="00AB0120" w:rsidP="00AB0120" w:rsidR="00AB0120" w:rsidRPr="00AB0120">
      <w:pPr>
        <w:spacing w:after="0"/>
        <w:rPr>
          <w:rFonts w:cs="Times New Roman" w:eastAsia="Times New Roman"/>
          <w:lang w:eastAsia="hr-HR"/>
        </w:rPr>
      </w:pPr>
      <w:r w:rsidRPr="00AB0120">
        <w:rPr>
          <w:rFonts w:cs="Times New Roman" w:eastAsia="Times New Roman"/>
          <w:lang w:eastAsia="hr-HR"/>
        </w:rPr>
        <w:t xml:space="preserve">                                                                                              STEČAJNI SUDAC:</w:t>
      </w:r>
    </w:p>
    <w:p w:rsidRDefault="00AB0120" w:rsidP="00AB0120" w:rsidR="00AB0120" w:rsidRPr="00AB0120">
      <w:pPr>
        <w:spacing w:after="0"/>
        <w:rPr>
          <w:rFonts w:cs="Times New Roman" w:eastAsia="Times New Roman"/>
          <w:lang w:eastAsia="hr-HR"/>
        </w:rPr>
      </w:pPr>
      <w:r w:rsidRPr="00AB0120">
        <w:rPr>
          <w:rFonts w:cs="Times New Roman" w:eastAsia="Times New Roman"/>
          <w:lang w:eastAsia="hr-HR"/>
        </w:rPr>
        <w:t xml:space="preserve">                                                                                                   </w:t>
      </w:r>
      <w:smartTag w:element="PersonName" w:uri="urn:schemas-microsoft-com:office:smarttags">
        <w:r w:rsidRPr="00AB0120">
          <w:rPr>
            <w:rFonts w:cs="Times New Roman" w:eastAsia="Times New Roman"/>
            <w:lang w:eastAsia="hr-HR"/>
          </w:rPr>
          <w:t>Jozo Ćaleta</w:t>
        </w:r>
      </w:smartTag>
      <w:r w:rsidRPr="00AB0120">
        <w:rPr>
          <w:rFonts w:cs="Times New Roman" w:eastAsia="Times New Roman"/>
          <w:lang w:eastAsia="hr-HR"/>
        </w:rPr>
        <w:t>, v.r.,</w:t>
      </w: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u w:val="single"/>
          <w:lang w:eastAsia="hr-HR"/>
        </w:rPr>
        <w:t>Pravna pouka:</w:t>
      </w:r>
      <w:r w:rsidRPr="00AB0120">
        <w:rPr>
          <w:rFonts w:cs="Times New Roman" w:eastAsia="Times New Roman"/>
          <w:lang w:eastAsia="hr-HR"/>
        </w:rPr>
        <w:t xml:space="preserve"> Protiv ovog Rješenja može se izjaviti žalba. Žalba se izjavljuje u roku od osam (8) dana, podnosi se u tri primjerka Trgovačkom sudu u Splitu, Split, </w:t>
      </w:r>
      <w:proofErr w:type="spellStart"/>
      <w:r w:rsidRPr="00AB0120">
        <w:rPr>
          <w:rFonts w:cs="Times New Roman" w:eastAsia="Times New Roman"/>
          <w:lang w:eastAsia="hr-HR"/>
        </w:rPr>
        <w:t>Sukoišanska</w:t>
      </w:r>
      <w:proofErr w:type="spellEnd"/>
      <w:r w:rsidRPr="00AB0120">
        <w:rPr>
          <w:rFonts w:cs="Times New Roman" w:eastAsia="Times New Roman"/>
          <w:lang w:eastAsia="hr-HR"/>
        </w:rPr>
        <w:t xml:space="preserve"> </w:t>
      </w:r>
      <w:smartTag w:element="metricconverter" w:uri="urn:schemas-microsoft-com:office:smarttags">
        <w:smartTagPr>
          <w:attr w:val="6. a" w:name="ProductID"/>
        </w:smartTagPr>
        <w:r w:rsidRPr="00AB0120">
          <w:rPr>
            <w:rFonts w:cs="Times New Roman" w:eastAsia="Times New Roman"/>
            <w:lang w:eastAsia="hr-HR"/>
          </w:rPr>
          <w:t>6. a</w:t>
        </w:r>
      </w:smartTag>
      <w:r w:rsidRPr="00AB0120">
        <w:rPr>
          <w:rFonts w:cs="Times New Roman" w:eastAsia="Times New Roman"/>
          <w:lang w:eastAsia="hr-HR"/>
        </w:rPr>
        <w:t xml:space="preserve"> o istoj žalbi u drugom stupnju odlučuje Visoki trgovački sud Republike Hrvatske u Zagrebu.</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r w:rsidRPr="00AB0120">
        <w:rPr>
          <w:rFonts w:cs="Times New Roman" w:eastAsia="Times New Roman"/>
          <w:b/>
          <w:u w:val="single"/>
          <w:lang w:eastAsia="hr-HR"/>
        </w:rPr>
        <w:t>DNA:</w:t>
      </w:r>
      <w:r w:rsidRPr="00AB0120">
        <w:rPr>
          <w:rFonts w:cs="Times New Roman" w:eastAsia="Times New Roman"/>
          <w:lang w:eastAsia="hr-HR"/>
        </w:rPr>
        <w:t xml:space="preserve">   1.  </w:t>
      </w:r>
      <w:r w:rsidRPr="00AB0120">
        <w:rPr>
          <w:rFonts w:cs="Times New Roman" w:eastAsia="Times New Roman"/>
          <w:lang w:eastAsia="hr-HR" w:val="en-US"/>
        </w:rPr>
        <w:t>An</w:t>
      </w:r>
      <w:r w:rsidRPr="00AB0120">
        <w:rPr>
          <w:rFonts w:cs="Times New Roman" w:eastAsia="Times New Roman"/>
          <w:lang w:eastAsia="hr-HR"/>
        </w:rPr>
        <w:t>č</w:t>
      </w:r>
      <w:proofErr w:type="spellStart"/>
      <w:r w:rsidRPr="00AB0120">
        <w:rPr>
          <w:rFonts w:cs="Times New Roman" w:eastAsia="Times New Roman"/>
          <w:lang w:eastAsia="hr-HR" w:val="en-US"/>
        </w:rPr>
        <w:t>i</w:t>
      </w:r>
      <w:proofErr w:type="spellEnd"/>
      <w:r w:rsidRPr="00AB0120">
        <w:rPr>
          <w:rFonts w:cs="Times New Roman" w:eastAsia="Times New Roman"/>
          <w:lang w:eastAsia="hr-HR" w:val="en-US"/>
        </w:rPr>
        <w:t xml:space="preserve"> Ba</w:t>
      </w:r>
      <w:r w:rsidRPr="00AB0120">
        <w:rPr>
          <w:rFonts w:cs="Times New Roman" w:eastAsia="Times New Roman"/>
          <w:lang w:eastAsia="hr-HR"/>
        </w:rPr>
        <w:t>š</w:t>
      </w:r>
      <w:proofErr w:type="spellStart"/>
      <w:r w:rsidRPr="00AB0120">
        <w:rPr>
          <w:rFonts w:cs="Times New Roman" w:eastAsia="Times New Roman"/>
          <w:lang w:eastAsia="hr-HR" w:val="en-US"/>
        </w:rPr>
        <w:t>i</w:t>
      </w:r>
      <w:proofErr w:type="spellEnd"/>
      <w:r w:rsidRPr="00AB0120">
        <w:rPr>
          <w:rFonts w:cs="Times New Roman" w:eastAsia="Times New Roman"/>
          <w:lang w:eastAsia="hr-HR"/>
        </w:rPr>
        <w:t xml:space="preserve">ć, </w:t>
      </w:r>
      <w:r w:rsidRPr="00AB0120">
        <w:rPr>
          <w:rFonts w:cs="Times New Roman" w:eastAsia="Times New Roman"/>
          <w:lang w:eastAsia="hr-HR" w:val="en-US"/>
        </w:rPr>
        <w:t>Split</w:t>
      </w:r>
      <w:r w:rsidRPr="00AB0120">
        <w:rPr>
          <w:rFonts w:cs="Times New Roman" w:eastAsia="Times New Roman"/>
          <w:lang w:eastAsia="hr-HR"/>
        </w:rPr>
        <w:t xml:space="preserve">, </w:t>
      </w:r>
      <w:r w:rsidRPr="00AB0120">
        <w:rPr>
          <w:rFonts w:cs="Times New Roman" w:eastAsia="Times New Roman"/>
          <w:lang w:eastAsia="hr-HR" w:val="en-US"/>
        </w:rPr>
        <w:t>Ma</w:t>
      </w:r>
      <w:r w:rsidRPr="00AB0120">
        <w:rPr>
          <w:rFonts w:cs="Times New Roman" w:eastAsia="Times New Roman"/>
          <w:lang w:eastAsia="hr-HR"/>
        </w:rPr>
        <w:t>ž</w:t>
      </w:r>
      <w:proofErr w:type="spellStart"/>
      <w:r w:rsidRPr="00AB0120">
        <w:rPr>
          <w:rFonts w:cs="Times New Roman" w:eastAsia="Times New Roman"/>
          <w:lang w:eastAsia="hr-HR" w:val="en-US"/>
        </w:rPr>
        <w:t>urani</w:t>
      </w:r>
      <w:proofErr w:type="spellEnd"/>
      <w:r w:rsidRPr="00AB0120">
        <w:rPr>
          <w:rFonts w:cs="Times New Roman" w:eastAsia="Times New Roman"/>
          <w:lang w:eastAsia="hr-HR"/>
        </w:rPr>
        <w:t>ć</w:t>
      </w:r>
      <w:proofErr w:type="spellStart"/>
      <w:r w:rsidRPr="00AB0120">
        <w:rPr>
          <w:rFonts w:cs="Times New Roman" w:eastAsia="Times New Roman"/>
          <w:lang w:eastAsia="hr-HR" w:val="en-US"/>
        </w:rPr>
        <w:t>evo</w:t>
      </w:r>
      <w:proofErr w:type="spellEnd"/>
      <w:r w:rsidRPr="00AB0120">
        <w:rPr>
          <w:rFonts w:cs="Times New Roman" w:eastAsia="Times New Roman"/>
          <w:lang w:eastAsia="hr-HR"/>
        </w:rPr>
        <w:t xml:space="preserve"> š</w:t>
      </w:r>
      <w:proofErr w:type="spellStart"/>
      <w:r w:rsidRPr="00AB0120">
        <w:rPr>
          <w:rFonts w:cs="Times New Roman" w:eastAsia="Times New Roman"/>
          <w:lang w:eastAsia="hr-HR" w:val="en-US"/>
        </w:rPr>
        <w:t>etali</w:t>
      </w:r>
      <w:proofErr w:type="spellEnd"/>
      <w:r w:rsidRPr="00AB0120">
        <w:rPr>
          <w:rFonts w:cs="Times New Roman" w:eastAsia="Times New Roman"/>
          <w:lang w:eastAsia="hr-HR"/>
        </w:rPr>
        <w:t>š</w:t>
      </w:r>
      <w:proofErr w:type="spellStart"/>
      <w:r w:rsidRPr="00AB0120">
        <w:rPr>
          <w:rFonts w:cs="Times New Roman" w:eastAsia="Times New Roman"/>
          <w:lang w:eastAsia="hr-HR" w:val="en-US"/>
        </w:rPr>
        <w:t>te</w:t>
      </w:r>
      <w:proofErr w:type="spellEnd"/>
      <w:r w:rsidRPr="00AB0120">
        <w:rPr>
          <w:rFonts w:cs="Times New Roman" w:eastAsia="Times New Roman"/>
          <w:lang w:eastAsia="hr-HR"/>
        </w:rPr>
        <w:t xml:space="preserve"> 35,</w:t>
      </w: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2.   Mrežna stranica e-Oglasna ploča sudova – rok: 15 dana,</w:t>
      </w:r>
    </w:p>
    <w:p w:rsidRDefault="00AB0120" w:rsidP="00AB0120" w:rsidR="00AB0120" w:rsidRPr="00AB0120">
      <w:pPr>
        <w:spacing w:after="0"/>
        <w:jc w:val="both"/>
        <w:rPr>
          <w:rFonts w:cs="Times New Roman" w:eastAsia="Times New Roman"/>
          <w:lang w:eastAsia="hr-HR"/>
        </w:rPr>
      </w:pPr>
      <w:r w:rsidRPr="00AB0120">
        <w:rPr>
          <w:rFonts w:cs="Times New Roman" w:eastAsia="Times New Roman"/>
          <w:lang w:eastAsia="hr-HR"/>
        </w:rPr>
        <w:t xml:space="preserve">             3.   Spis.</w:t>
      </w: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p>
    <w:p w:rsidRDefault="00AB0120" w:rsidP="00AB0120" w:rsidR="00AB0120" w:rsidRPr="00AB0120">
      <w:pPr>
        <w:spacing w:after="0"/>
        <w:jc w:val="both"/>
        <w:rPr>
          <w:rFonts w:cs="Times New Roman" w:eastAsia="Times New Roman"/>
          <w:lang w:eastAsia="hr-HR"/>
        </w:rPr>
      </w:pPr>
      <w:smartTag w:element="place" w:uri="urn:schemas-microsoft-com:office:smarttags">
        <w:smartTag w:element="City" w:uri="urn:schemas-microsoft-com:office:smarttags">
          <w:r w:rsidRPr="00AB0120">
            <w:rPr>
              <w:rFonts w:cs="Times New Roman" w:eastAsia="Times New Roman"/>
              <w:lang w:eastAsia="hr-HR"/>
            </w:rPr>
            <w:t>Split</w:t>
          </w:r>
        </w:smartTag>
      </w:smartTag>
      <w:r w:rsidRPr="00AB0120">
        <w:rPr>
          <w:rFonts w:cs="Times New Roman" w:eastAsia="Times New Roman"/>
          <w:lang w:eastAsia="hr-HR"/>
        </w:rPr>
        <w:t>, 11. siječnja 2017.                                          STEČAJNI SUDAC:</w:t>
      </w:r>
    </w:p>
    <w:p w:rsidRDefault="00AB0120" w:rsidP="00AB0120" w:rsidR="00AB0120" w:rsidRPr="00AB0120">
      <w:pPr>
        <w:spacing w:after="0"/>
        <w:rPr>
          <w:rFonts w:cs="Times New Roman" w:eastAsia="Times New Roman"/>
          <w:lang w:eastAsia="hr-HR"/>
        </w:rPr>
      </w:pPr>
      <w:r w:rsidRPr="00AB0120">
        <w:rPr>
          <w:rFonts w:cs="Times New Roman" w:eastAsia="Times New Roman"/>
          <w:lang w:eastAsia="hr-HR"/>
        </w:rPr>
        <w:t xml:space="preserve">                                                                                          </w:t>
      </w:r>
      <w:smartTag w:element="PersonName" w:uri="urn:schemas-microsoft-com:office:smarttags">
        <w:r w:rsidRPr="00AB0120">
          <w:rPr>
            <w:rFonts w:cs="Times New Roman" w:eastAsia="Times New Roman"/>
            <w:lang w:eastAsia="hr-HR"/>
          </w:rPr>
          <w:t>Jozo Ćaleta</w:t>
        </w:r>
      </w:smartTag>
      <w:r w:rsidRPr="00AB0120">
        <w:rPr>
          <w:rFonts w:cs="Times New Roman" w:eastAsia="Times New Roman"/>
          <w:lang w:eastAsia="hr-HR"/>
        </w:rPr>
        <w:t>,</w:t>
      </w:r>
    </w:p>
    <w:p w:rsidRDefault="00AB0120" w:rsidP="00AB0120" w:rsidR="00AB0120" w:rsidRPr="00AB0120">
      <w:pPr>
        <w:spacing w:after="0"/>
        <w:rPr>
          <w:rFonts w:cs="Times New Roman" w:eastAsia="Times New Roman"/>
          <w:lang w:eastAsia="hr-HR"/>
        </w:rPr>
      </w:pPr>
    </w:p>
    <w:p w:rsidRDefault="00AB0120" w:rsidP="00AB0120" w:rsidR="00AB0120" w:rsidRPr="00AB0120">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0120"/>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1E10"/>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martTagType w:name="place" w:namespaceuri="urn:schemas-microsoft-com:office:smarttags"/>
  <w:smartTagType w:name="City"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94826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St-292/2013-72</izvorni_sadrzaj>
    <derivirana_varijabla naziv="DomainObject.Oznaka_1">St-292/2013-72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izvorni_sadrzaj>
    <derivirana_varijabla naziv="DomainObject.Predmet.Broj_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prešao iz St-187/11</izvorni_sadrzaj>
    <derivirana_varijabla naziv="DomainObject.Predmet.Opis_1">prešao iz St-187/11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St-292/2013</izvorni_sadrzaj>
    <derivirana_varijabla naziv="DomainObject.Predmet.OznakaBroj_1">St-292/2013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AFIRMACIJA d.o.o. za gradnju i promet nekretninama</izvorni_sadrzaj>
    <derivirana_varijabla naziv="DomainObject.Predmet.ProtustrankaFormated_1">  AFIRMACIJA d.o.o. za gradnju i promet nekretninama</derivirana_varijabla>
  </DomainObject.Predmet.ProtustrankaFormated>
  <DomainObject.Predmet.ProtustrankaFormatedOIB>
    <izvorni_sadrzaj>  AFIRMACIJA d.o.o. za gradnju i promet nekretninama, OIB 12297755264</izvorni_sadrzaj>
    <derivirana_varijabla naziv="DomainObject.Predmet.ProtustrankaFormatedOIB_1">  AFIRMACIJA d.o.o. za gradnju i promet nekretninama, OIB 12297755264</derivirana_varijabla>
  </DomainObject.Predmet.ProtustrankaFormatedOIB>
  <DomainObject.Predmet.ProtustrankaFormatedWithAdress>
    <izvorni_sadrzaj> AFIRMACIJA d.o.o. za gradnju i promet nekretninama, Sukoišanska 43, Split</izvorni_sadrzaj>
    <derivirana_varijabla naziv="DomainObject.Predmet.ProtustrankaFormatedWithAdress_1"> AFIRMACIJA d.o.o. za gradnju i promet nekretninama, Sukoišanska 43, Split</derivirana_varijabla>
  </DomainObject.Predmet.ProtustrankaFormatedWithAdress>
  <DomainObject.Predmet.ProtustrankaFormatedWithAdressOIB>
    <izvorni_sadrzaj> AFIRMACIJA d.o.o. za gradnju i promet nekretninama, OIB 12297755264, Sukoišanska 43, Split</izvorni_sadrzaj>
    <derivirana_varijabla naziv="DomainObject.Predmet.ProtustrankaFormatedWithAdressOIB_1"> AFIRMACIJA d.o.o. za gradnju i promet nekretninama, OIB 12297755264, Sukoišanska 43, Split</derivirana_varijabla>
  </DomainObject.Predmet.ProtustrankaFormatedWithAdressOIB>
  <DomainObject.Predmet.ProtustrankaWithAdress>
    <izvorni_sadrzaj>AFIRMACIJA d.o.o. za gradnju i promet nekretninama Sukoišanska 43, Split</izvorni_sadrzaj>
    <derivirana_varijabla naziv="DomainObject.Predmet.ProtustrankaWithAdress_1">AFIRMACIJA d.o.o. za gradnju i promet nekretninama Sukoišanska 43, Split</derivirana_varijabla>
  </DomainObject.Predmet.ProtustrankaWithAdress>
  <DomainObject.Predmet.ProtustrankaWithAdressOIB>
    <izvorni_sadrzaj>AFIRMACIJA d.o.o. za gradnju i promet nekretninama, OIB 12297755264, Sukoišanska 43, Split</izvorni_sadrzaj>
    <derivirana_varijabla naziv="DomainObject.Predmet.ProtustrankaWithAdressOIB_1">AFIRMACIJA d.o.o. za gradnju i promet nekretninama, OIB 12297755264, Sukoišanska 43, Split</derivirana_varijabla>
  </DomainObject.Predmet.ProtustrankaWithAdressOIB>
  <DomainObject.Predmet.ProtustrankaNazivFormated>
    <izvorni_sadrzaj>AFIRMACIJA d.o.o. za gradnju i promet nekretninama</izvorni_sadrzaj>
    <derivirana_varijabla naziv="DomainObject.Predmet.ProtustrankaNazivFormated_1">AFIRMACIJA d.o.o. za gradnju i promet nekretninama</derivirana_varijabla>
  </DomainObject.Predmet.ProtustrankaNazivFormated>
  <DomainObject.Predmet.ProtustrankaNazivFormatedOIB>
    <izvorni_sadrzaj>AFIRMACIJA d.o.o. za gradnju i promet nekretninama, OIB 12297755264</izvorni_sadrzaj>
    <derivirana_varijabla naziv="DomainObject.Predmet.ProtustrankaNazivFormatedOIB_1">AFIRMACIJA d.o.o. za gradnju i promet nekretninama, OIB 12297755264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SPLIT</izvorni_sadrzaj>
    <derivirana_varijabla naziv="DomainObject.Predmet.StrankaFormated_1">  POREZNA UPRAVA, PODRUČNI URED SPLIT</derivirana_varijabla>
  </DomainObject.Predmet.StrankaFormated>
  <DomainObject.Predmet.StrankaFormatedOIB>
    <izvorni_sadrzaj>  POREZNA UPRAVA, PODRUČNI URED SPLIT, OIB 18683136487</izvorni_sadrzaj>
    <derivirana_varijabla naziv="DomainObject.Predmet.StrankaFormatedOIB_1">  POREZNA UPRAVA, PODRUČNI URED SPLIT, OIB 18683136487</derivirana_varijabla>
  </DomainObject.Predmet.StrankaFormatedOIB>
  <DomainObject.Predmet.StrankaFormatedWithAdress>
    <izvorni_sadrzaj> POREZNA UPRAVA, PODRUČNI URED SPLIT, Mažuranićevo šetalište 24b, 21000 Split</izvorni_sadrzaj>
    <derivirana_varijabla naziv="DomainObject.Predmet.StrankaFormatedWithAdress_1"> POREZNA UPRAVA, PODRUČNI URED SPLIT, Mažuranićevo šetalište 24b, 21000 Split</derivirana_varijabla>
  </DomainObject.Predmet.StrankaFormatedWithAdress>
  <DomainObject.Predmet.StrankaFormatedWithAdressOIB>
    <izvorni_sadrzaj> POREZNA UPRAVA, PODRUČNI URED SPLIT, OIB 18683136487, Mažuranićevo šetalište 24b, 21000 Split</izvorni_sadrzaj>
    <derivirana_varijabla naziv="DomainObject.Predmet.StrankaFormatedWithAdressOIB_1"> POREZNA UPRAVA, PODRUČNI URED SPLIT, OIB 18683136487, Mažuranićevo šetalište 24b, 21000 Split</derivirana_varijabla>
  </DomainObject.Predmet.StrankaFormatedWithAdressOIB>
  <DomainObject.Predmet.StrankaWithAdress>
    <izvorni_sadrzaj>POREZNA UPRAVA, PODRUČNI URED SPLIT Mažuranićevo šetalište 24b,21000 Split</izvorni_sadrzaj>
    <derivirana_varijabla naziv="DomainObject.Predmet.StrankaWithAdress_1">POREZNA UPRAVA, PODRUČNI URED SPLIT Mažuranićevo šetalište 24b,21000 Split</derivirana_varijabla>
  </DomainObject.Predmet.StrankaWithAdress>
  <DomainObject.Predmet.StrankaWithAdressOIB>
    <izvorni_sadrzaj>POREZNA UPRAVA, PODRUČNI URED SPLIT, OIB 18683136487, Mažuranićevo šetalište 24b,21000 Split</izvorni_sadrzaj>
    <derivirana_varijabla naziv="DomainObject.Predmet.StrankaWithAdressOIB_1">POREZNA UPRAVA, PODRUČNI URED SPLIT, OIB 18683136487, Mažuranićevo šetalište 24b,21000 Split</derivirana_varijabla>
  </DomainObject.Predmet.StrankaWithAdressOIB>
  <DomainObject.Predmet.StrankaNazivFormated>
    <izvorni_sadrzaj>POREZNA UPRAVA, PODRUČNI URED SPLIT</izvorni_sadrzaj>
    <derivirana_varijabla naziv="DomainObject.Predmet.StrankaNazivFormated_1">POREZNA UPRAVA, PODRUČNI URED SPLIT</derivirana_varijabla>
  </DomainObject.Predmet.StrankaNazivFormated>
  <DomainObject.Predmet.StrankaNazivFormatedOIB>
    <izvorni_sadrzaj>POREZNA UPRAVA, PODRUČNI URED SPLIT, OIB 18683136487</izvorni_sadrzaj>
    <derivirana_varijabla naziv="DomainObject.Predmet.StrankaNazivFormatedOIB_1">POREZNA UPRAVA, PODRUČNI URED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POREZNA UPRAVA, PODRUČNI URED SPLIT</item>
    </izvorni_sadrzaj>
    <derivirana_varijabla naziv="DomainObject.Predmet.StrankaListFormated_1">
      <item>POREZNA UPRAVA, PODRUČNI URED SPLIT</item>
    </derivirana_varijabla>
  </DomainObject.Predmet.StrankaListFormated>
  <DomainObject.Predmet.StrankaListFormatedOIB>
    <izvorni_sadrzaj>
      <item>POREZNA UPRAVA, PODRUČNI URED SPLIT, OIB 18683136487</item>
    </izvorni_sadrzaj>
    <derivirana_varijabla naziv="DomainObject.Predmet.StrankaListFormatedOIB_1">
      <item>POREZNA UPRAVA, PODRUČNI URED SPLIT, OIB 18683136487</item>
    </derivirana_varijabla>
  </DomainObject.Predmet.StrankaListFormatedOIB>
  <DomainObject.Predmet.StrankaListFormatedWithAdress>
    <izvorni_sadrzaj>
      <item>POREZNA UPRAVA, PODRUČNI URED SPLIT, Mažuranićevo šetalište 24b, 21000 Split</item>
    </izvorni_sadrzaj>
    <derivirana_varijabla naziv="DomainObject.Predmet.StrankaListFormatedWithAdress_1">
      <item>POREZNA UPRAVA, PODRUČNI URED SPLIT, Mažuranićevo šetalište 24b, 21000 Split</item>
    </derivirana_varijabla>
  </DomainObject.Predmet.StrankaListFormatedWithAdress>
  <DomainObject.Predmet.StrankaListFormatedWithAdressOIB>
    <izvorni_sadrzaj>
      <item>POREZNA UPRAVA, PODRUČNI URED SPLIT, OIB 18683136487, Mažuranićevo šetalište 24b, 21000 Split</item>
    </izvorni_sadrzaj>
    <derivirana_varijabla naziv="DomainObject.Predmet.StrankaListFormatedWithAdressOIB_1">
      <item>POREZNA UPRAVA, PODRUČNI URED SPLIT, OIB 18683136487, Mažuranićevo šetalište 24b, 21000 Split</item>
    </derivirana_varijabla>
  </DomainObject.Predmet.StrankaListFormatedWithAdressOIB>
  <DomainObject.Predmet.StrankaListNazivFormated>
    <izvorni_sadrzaj>
      <item>POREZNA UPRAVA, PODRUČNI URED SPLIT</item>
    </izvorni_sadrzaj>
    <derivirana_varijabla naziv="DomainObject.Predmet.StrankaListNazivFormated_1">
      <item>POREZNA UPRAVA, PODRUČNI URED SPLIT</item>
    </derivirana_varijabla>
  </DomainObject.Predmet.StrankaListNazivFormated>
  <DomainObject.Predmet.StrankaListNazivFormatedOIB>
    <izvorni_sadrzaj>
      <item>POREZNA UPRAVA, PODRUČNI URED SPLIT, OIB 18683136487</item>
    </izvorni_sadrzaj>
    <derivirana_varijabla naziv="DomainObject.Predmet.StrankaListNazivFormatedOIB_1">
      <item>POREZNA UPRAVA, PODRUČNI URED SPLIT, OIB 18683136487</item>
    </derivirana_varijabla>
  </DomainObject.Predmet.StrankaListNazivFormatedOIB>
  <DomainObject.Predmet.ProtuStrankaListFormated>
    <izvorni_sadrzaj>
      <item>AFIRMACIJA d.o.o. za gradnju i promet nekretninama</item>
    </izvorni_sadrzaj>
    <derivirana_varijabla naziv="DomainObject.Predmet.ProtuStrankaListFormated_1">
      <item>AFIRMACIJA d.o.o. za gradnju i promet nekretninama</item>
    </derivirana_varijabla>
  </DomainObject.Predmet.ProtuStrankaListFormated>
  <DomainObject.Predmet.ProtuStrankaListFormatedOIB>
    <izvorni_sadrzaj>
      <item>AFIRMACIJA d.o.o. za gradnju i promet nekretninama, OIB 12297755264</item>
    </izvorni_sadrzaj>
    <derivirana_varijabla naziv="DomainObject.Predmet.ProtuStrankaListFormatedOIB_1">
      <item>AFIRMACIJA d.o.o. za gradnju i promet nekretninama, OIB 12297755264</item>
    </derivirana_varijabla>
  </DomainObject.Predmet.ProtuStrankaListFormatedOIB>
  <DomainObject.Predmet.ProtuStrankaListFormatedWithAdress>
    <izvorni_sadrzaj>
      <item>AFIRMACIJA d.o.o. za gradnju i promet nekretninama, Sukoišanska 43, Split</item>
    </izvorni_sadrzaj>
    <derivirana_varijabla naziv="DomainObject.Predmet.ProtuStrankaListFormatedWithAdress_1">
      <item>AFIRMACIJA d.o.o. za gradnju i promet nekretninama, Sukoišanska 43, Split</item>
    </derivirana_varijabla>
  </DomainObject.Predmet.ProtuStrankaListFormatedWithAdress>
  <DomainObject.Predmet.ProtuStrankaListFormatedWithAdressOIB>
    <izvorni_sadrzaj>
      <item>AFIRMACIJA d.o.o. za gradnju i promet nekretninama, OIB 12297755264, Sukoišanska 43, Split</item>
    </izvorni_sadrzaj>
    <derivirana_varijabla naziv="DomainObject.Predmet.ProtuStrankaListFormatedWithAdressOIB_1">
      <item>AFIRMACIJA d.o.o. za gradnju i promet nekretninama, OIB 12297755264, Sukoišanska 43, Split</item>
    </derivirana_varijabla>
  </DomainObject.Predmet.ProtuStrankaListFormatedWithAdressOIB>
  <DomainObject.Predmet.ProtuStrankaListNazivFormated>
    <izvorni_sadrzaj>
      <item>AFIRMACIJA d.o.o. za gradnju i promet nekretninama</item>
    </izvorni_sadrzaj>
    <derivirana_varijabla naziv="DomainObject.Predmet.ProtuStrankaListNazivFormated_1">
      <item>AFIRMACIJA d.o.o. za gradnju i promet nekretninama</item>
    </derivirana_varijabla>
  </DomainObject.Predmet.ProtuStrankaListNazivFormated>
  <DomainObject.Predmet.ProtuStrankaListNazivFormatedOIB>
    <izvorni_sadrzaj>
      <item>AFIRMACIJA d.o.o. za gradnju i promet nekretninama, OIB 12297755264</item>
    </izvorni_sadrzaj>
    <derivirana_varijabla naziv="DomainObject.Predmet.ProtuStrankaListNazivFormatedOIB_1">
      <item>AFIRMACIJA d.o.o. za gradnju i promet nekretninama, OIB 12297755264</item>
    </derivirana_varijabla>
  </DomainObject.Predmet.ProtuStrankaListNazivFormatedOIB>
  <DomainObject.Predmet.OstaliListFormated>
    <izvorni_sadrzaj>
      <item>Anči Bašić</item>
    </izvorni_sadrzaj>
    <derivirana_varijabla naziv="DomainObject.Predmet.OstaliListFormated_1">
      <item>Anči Bašić</item>
    </derivirana_varijabla>
  </DomainObject.Predmet.OstaliListFormated>
  <DomainObject.Predmet.OstaliListFormatedOIB>
    <izvorni_sadrzaj>
      <item>Anči Bašić, OIB 38874953663</item>
    </izvorni_sadrzaj>
    <derivirana_varijabla naziv="DomainObject.Predmet.OstaliListFormatedOIB_1">
      <item>Anči Bašić, OIB 38874953663</item>
    </derivirana_varijabla>
  </DomainObject.Predmet.OstaliListFormatedOIB>
  <DomainObject.Predmet.OstaliListFormatedWithAdress>
    <izvorni_sadrzaj>
      <item>Anči Bašić, Mažuranićevo šetalište 35, 21000 Split</item>
    </izvorni_sadrzaj>
    <derivirana_varijabla naziv="DomainObject.Predmet.OstaliListFormatedWithAdress_1">
      <item>Anči Bašić, Mažuranićevo šetalište 35, 21000 Split</item>
    </derivirana_varijabla>
  </DomainObject.Predmet.OstaliListFormatedWithAdress>
  <DomainObject.Predmet.OstaliListFormatedWithAdressOIB>
    <izvorni_sadrzaj>
      <item>Anči Bašić, OIB 38874953663, Mažuranićevo šetalište 35, 21000 Split</item>
    </izvorni_sadrzaj>
    <derivirana_varijabla naziv="DomainObject.Predmet.OstaliListFormatedWithAdressOIB_1">
      <item>Anči Bašić, OIB 38874953663, Mažuranićevo šetalište 35, 21000 Split</item>
    </derivirana_varijabla>
  </DomainObject.Predmet.OstaliListFormatedWithAdressOIB>
  <DomainObject.Predmet.OstaliListNazivFormated>
    <izvorni_sadrzaj>
      <item>Anči Bašić</item>
    </izvorni_sadrzaj>
    <derivirana_varijabla naziv="DomainObject.Predmet.OstaliListNazivFormated_1">
      <item>Anči Bašić</item>
    </derivirana_varijabla>
  </DomainObject.Predmet.OstaliListNazivFormated>
  <DomainObject.Predmet.OstaliListNazivFormatedOIB>
    <izvorni_sadrzaj>
      <item>Anči Bašić, OIB 38874953663</item>
    </izvorni_sadrzaj>
    <derivirana_varijabla naziv="DomainObject.Predmet.OstaliListNazivFormatedOIB_1">
      <item>Anči Bašić, OIB 38874953663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St-292/2013-72</izvorni_sadrzaj>
    <derivirana_varijabla naziv="DomainObject.PoslovniBrojDokumenta_1">St-292/2013-72</derivirana_varijabla>
  </DomainObject.PoslovniBrojDokumenta>
  <DomainObject.Predmet.StrankaIDrugi>
    <izvorni_sadrzaj>POREZNA UPRAVA, PODRUČNI URED SPLIT</izvorni_sadrzaj>
    <derivirana_varijabla naziv="DomainObject.Predmet.StrankaIDrugi_1">POREZNA UPRAVA, PODRUČNI URED SPLIT</derivirana_varijabla>
  </DomainObject.Predmet.StrankaIDrugi>
  <DomainObject.Predmet.ProtustrankaIDrugi>
    <izvorni_sadrzaj>AFIRMACIJA d.o.o. za gradnju i promet nekretninama</izvorni_sadrzaj>
    <derivirana_varijabla naziv="DomainObject.Predmet.ProtustrankaIDrugi_1">AFIRMACIJA d.o.o. za gradnju i promet nekretninama</derivirana_varijabla>
  </DomainObject.Predmet.ProtustrankaIDrugi>
  <DomainObject.Predmet.StrankaIDrugiAdressOIB>
    <izvorni_sadrzaj>POREZNA UPRAVA, PODRUČNI URED SPLIT, OIB 18683136487, Mažuranićevo šetalište 24b, 21000 Split</izvorni_sadrzaj>
    <derivirana_varijabla naziv="DomainObject.Predmet.StrankaIDrugiAdressOIB_1">POREZNA UPRAVA, PODRUČNI URED SPLIT, OIB 18683136487, Mažuranićevo šetalište 24b, 21000 Split</derivirana_varijabla>
  </DomainObject.Predmet.StrankaIDrugiAdressOIB>
  <DomainObject.Predmet.ProtustrankaIDrugiAdressOIB>
    <izvorni_sadrzaj>AFIRMACIJA d.o.o. za gradnju i promet nekretninama, OIB 12297755264, Sukoišanska 43, Split</izvorni_sadrzaj>
    <derivirana_varijabla naziv="DomainObject.Predmet.ProtustrankaIDrugiAdressOIB_1">AFIRMACIJA d.o.o. za gradnju i promet nekretninama, OIB 12297755264, Sukoišanska 43,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SPLIT</item>
      <item>AFIRMACIJA d.o.o. za gradnju i promet nekretninama</item>
      <item>Anči Bašić</item>
    </izvorni_sadrzaj>
    <derivirana_varijabla naziv="DomainObject.Predmet.SudioniciListNaziv_1">
      <item>POREZNA UPRAVA, PODRUČNI URED SPLIT</item>
      <item>AFIRMACIJA d.o.o. za gradnju i promet nekretninama</item>
      <item>Anči Bašić</item>
    </derivirana_varijabla>
  </DomainObject.Predmet.SudioniciListNaziv>
  <DomainObject.Predmet.SudioniciListAdressOIB>
    <izvorni_sadrzaj>
      <item>POREZNA UPRAVA, PODRUČNI URED SPLIT, OIB 18683136487, Mažuranićevo šetalište 24b,21000 Split</item>
      <item>AFIRMACIJA d.o.o. za gradnju i promet nekretninama, OIB 12297755264, Sukoišanska 43,Split</item>
      <item>Anči Bašić, OIB 38874953663, Mažuranićevo šetalište 35,21000 Split</item>
    </izvorni_sadrzaj>
    <derivirana_varijabla naziv="DomainObject.Predmet.SudioniciListAdressOIB_1">
      <item>POREZNA UPRAVA, PODRUČNI URED SPLIT, OIB 18683136487, Mažuranićevo šetalište 24b,21000 Split</item>
      <item>AFIRMACIJA d.o.o. za gradnju i promet nekretninama, OIB 12297755264, Sukoišanska 43,Split</item>
      <item>Anči Bašić, OIB 38874953663, Mažuranićevo šetalište 35,21000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6ED8D2-1DF1-4A84-950A-79458D0D4C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897</properties:Words>
  <properties:Characters>5035</properties:Characters>
  <properties:Lines>142</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2017-01-11T11:54:00Z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St-292/2013-72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