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9F230" w14:paraId="2E90480C" w:rsidRDefault="003124EC" w:rsidR="00F67DBB" w:rsidRPr="003124EC">
      <w:pPr>
        <w15:collapsed w:val="false"/>
        <w:rPr>
          <w:rFonts w:cs="Calibri" w:hAnsi="Calibri" w:ascii="Calibri"/>
          <w:b/>
          <w:sz w:val="20"/>
          <w:szCs w:val="20"/>
          <w:lang w:val="hr-HR"/>
        </w:rPr>
      </w:pPr>
      <w:bookmarkStart w:name="_GoBack" w:id="0"/>
      <w:bookmarkEnd w:id="0"/>
      <w:r w:rsidRPr="003124EC">
        <w:rPr>
          <w:rFonts w:cs="Calibri" w:hAnsi="Calibri" w:ascii="Calibri"/>
          <w:b/>
          <w:sz w:val="20"/>
          <w:szCs w:val="20"/>
          <w:lang w:val="hr-HR"/>
        </w:rPr>
        <w:t>NAMCO PROMET d.o.o. – u stečaju</w:t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  <w:t>Ured stečajnog upravitelja:</w:t>
      </w:r>
    </w:p>
    <w:p w14:textId="279ACFAF" w14:paraId="047F64E1" w:rsidRDefault="003124EC" w:rsidR="003124EC" w:rsidRPr="003124EC">
      <w:pPr>
        <w:rPr>
          <w:rFonts w:cs="Calibri" w:hAnsi="Calibri" w:ascii="Calibri"/>
          <w:b/>
          <w:sz w:val="20"/>
          <w:szCs w:val="20"/>
          <w:lang w:val="hr-HR"/>
        </w:rPr>
      </w:pPr>
      <w:r w:rsidRPr="003124EC">
        <w:rPr>
          <w:rFonts w:cs="Calibri" w:hAnsi="Calibri" w:ascii="Calibri"/>
          <w:b/>
          <w:sz w:val="20"/>
          <w:szCs w:val="20"/>
          <w:lang w:val="hr-HR"/>
        </w:rPr>
        <w:t>Zagreb, Horvaćanska cesta 43</w:t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  <w:t>Zagreb, Smičiklasova 18</w:t>
      </w:r>
    </w:p>
    <w:p w14:textId="1813129B" w14:paraId="1569A592" w:rsidRDefault="003124EC" w:rsidR="003124EC" w:rsidRPr="003124EC">
      <w:pPr>
        <w:rPr>
          <w:rFonts w:cs="Calibri" w:hAnsi="Calibri" w:ascii="Calibri"/>
          <w:b/>
          <w:sz w:val="20"/>
          <w:szCs w:val="20"/>
          <w:lang w:val="hr-HR"/>
        </w:rPr>
      </w:pPr>
      <w:r w:rsidRPr="003124EC">
        <w:rPr>
          <w:rFonts w:cs="Calibri" w:hAnsi="Calibri" w:ascii="Calibri"/>
          <w:b/>
          <w:sz w:val="20"/>
          <w:szCs w:val="20"/>
          <w:lang w:val="hr-HR"/>
        </w:rPr>
        <w:t>OIB: 21670030850</w:t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  <w:t>Tel: +385 1 244 2454</w:t>
      </w:r>
    </w:p>
    <w:p w14:textId="08A97EFA" w14:paraId="2C241318" w:rsidRDefault="003124EC" w:rsidR="003124EC" w:rsidRPr="003124EC">
      <w:pPr>
        <w:pBdr>
          <w:bottom w:space="1" w:sz="6" w:color="auto" w:val="single"/>
        </w:pBdr>
        <w:rPr>
          <w:rFonts w:cs="Calibri" w:hAnsi="Calibri" w:ascii="Calibri"/>
          <w:b/>
          <w:sz w:val="20"/>
          <w:szCs w:val="20"/>
          <w:lang w:val="hr-HR"/>
        </w:rPr>
      </w:pPr>
      <w:r w:rsidRPr="003124EC">
        <w:rPr>
          <w:rFonts w:cs="Calibri" w:hAnsi="Calibri" w:ascii="Calibri"/>
          <w:b/>
          <w:sz w:val="20"/>
          <w:szCs w:val="20"/>
          <w:lang w:val="hr-HR"/>
        </w:rPr>
        <w:t>Stečajni upravitelj: Tomislav Orehovec</w:t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  <w:t xml:space="preserve">E-mail: </w:t>
      </w:r>
      <w:hyperlink r:id="rId6" w:history="true">
        <w:r w:rsidRPr="003124EC">
          <w:rPr>
            <w:rStyle w:val="Hiperveza"/>
            <w:rFonts w:cs="Calibri" w:hAnsi="Calibri" w:ascii="Calibri"/>
            <w:b/>
            <w:sz w:val="20"/>
            <w:szCs w:val="20"/>
            <w:lang w:val="hr-HR"/>
          </w:rPr>
          <w:t>stecajniupravitelj.orehovec@gmail.com</w:t>
        </w:r>
      </w:hyperlink>
    </w:p>
    <w:p w14:textId="2A7456E7" w14:paraId="3CD09F19" w:rsidRDefault="003124EC" w:rsidR="003124EC" w:rsidRPr="003124EC">
      <w:pPr>
        <w:rPr>
          <w:rFonts w:cs="Calibri" w:hAnsi="Calibri" w:ascii="Calibri"/>
          <w:b/>
          <w:sz w:val="20"/>
          <w:szCs w:val="20"/>
          <w:lang w:val="hr-HR"/>
        </w:rPr>
      </w:pPr>
    </w:p>
    <w:p w14:textId="67B43E7F" w14:paraId="4C36A712" w:rsidRDefault="003124EC" w:rsidR="003124EC" w:rsidRPr="003124EC">
      <w:pPr>
        <w:rPr>
          <w:rFonts w:cs="Calibri" w:hAnsi="Calibri" w:ascii="Calibri"/>
          <w:b/>
          <w:sz w:val="20"/>
          <w:szCs w:val="20"/>
          <w:lang w:val="hr-HR"/>
        </w:rPr>
      </w:pPr>
    </w:p>
    <w:p w14:textId="1600BF5B" w14:paraId="08CE69A1" w:rsidRDefault="003124EC" w:rsidP="003124EC" w:rsidR="003124EC" w:rsidRPr="003124EC">
      <w:pPr>
        <w:jc w:val="right"/>
        <w:rPr>
          <w:rFonts w:cs="Calibri" w:hAnsi="Calibri" w:ascii="Calibri"/>
          <w:b/>
          <w:sz w:val="22"/>
          <w:szCs w:val="22"/>
          <w:lang w:val="hr-HR"/>
        </w:rPr>
      </w:pP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0"/>
          <w:szCs w:val="20"/>
          <w:lang w:val="hr-HR"/>
        </w:rPr>
        <w:tab/>
      </w:r>
      <w:r w:rsidRPr="003124EC">
        <w:rPr>
          <w:rFonts w:cs="Calibri" w:hAnsi="Calibri" w:ascii="Calibri"/>
          <w:b/>
          <w:sz w:val="22"/>
          <w:szCs w:val="22"/>
          <w:lang w:val="hr-HR"/>
        </w:rPr>
        <w:t>TRGOVAČKI SUD U ZAGREBU</w:t>
      </w:r>
    </w:p>
    <w:p w14:textId="30CD716B" w14:paraId="35B9B7D0" w:rsidRDefault="003124EC" w:rsidP="003124EC" w:rsidR="003124EC" w:rsidRPr="003124EC">
      <w:pPr>
        <w:jc w:val="right"/>
        <w:rPr>
          <w:rFonts w:cs="Calibri" w:hAnsi="Calibri" w:ascii="Calibri"/>
          <w:b/>
          <w:sz w:val="22"/>
          <w:szCs w:val="22"/>
          <w:lang w:val="hr-HR"/>
        </w:rPr>
      </w:pPr>
    </w:p>
    <w:p w14:textId="03A13B2C" w14:paraId="5484DAF4" w:rsidRDefault="003124EC" w:rsidP="003124EC" w:rsidR="003124EC" w:rsidRPr="003124EC">
      <w:pPr>
        <w:jc w:val="right"/>
        <w:rPr>
          <w:rFonts w:cs="Calibri" w:hAnsi="Calibri" w:ascii="Calibri"/>
          <w:b/>
          <w:sz w:val="22"/>
          <w:szCs w:val="22"/>
          <w:lang w:val="hr-HR"/>
        </w:rPr>
      </w:pPr>
      <w:r w:rsidRPr="003124EC">
        <w:rPr>
          <w:rFonts w:cs="Calibri" w:hAnsi="Calibri" w:ascii="Calibri"/>
          <w:b/>
          <w:sz w:val="22"/>
          <w:szCs w:val="22"/>
          <w:lang w:val="hr-HR"/>
        </w:rPr>
        <w:t>Posl.br.: St-1694/13</w:t>
      </w:r>
    </w:p>
    <w:p w14:textId="381813A2" w14:paraId="5B67CC5E" w:rsidRDefault="003124EC" w:rsidP="003124EC" w:rsidR="003124EC" w:rsidRPr="003124EC">
      <w:pPr>
        <w:jc w:val="right"/>
        <w:rPr>
          <w:rFonts w:cs="Calibri" w:hAnsi="Calibri" w:ascii="Calibri"/>
          <w:b/>
          <w:sz w:val="22"/>
          <w:szCs w:val="22"/>
          <w:lang w:val="hr-HR"/>
        </w:rPr>
      </w:pPr>
    </w:p>
    <w:p w14:textId="3A49BD51" w14:paraId="0EB5ED65" w:rsidRDefault="003124EC" w:rsidP="003124EC" w:rsidR="003124EC" w:rsidRPr="003124EC">
      <w:pPr>
        <w:jc w:val="right"/>
        <w:rPr>
          <w:rFonts w:cs="Calibri" w:hAnsi="Calibri" w:ascii="Calibri"/>
          <w:b/>
          <w:sz w:val="22"/>
          <w:szCs w:val="22"/>
          <w:lang w:val="hr-HR"/>
        </w:rPr>
      </w:pPr>
      <w:r w:rsidRPr="003124EC">
        <w:rPr>
          <w:rFonts w:cs="Calibri" w:hAnsi="Calibri" w:ascii="Calibri"/>
          <w:b/>
          <w:sz w:val="22"/>
          <w:szCs w:val="22"/>
          <w:lang w:val="hr-HR"/>
        </w:rPr>
        <w:t xml:space="preserve">stečajni sudac Nevenka </w:t>
      </w:r>
    </w:p>
    <w:p w14:textId="5F9EF078" w14:paraId="57EE99CB" w:rsidRDefault="003124EC" w:rsidR="003124EC">
      <w:pPr>
        <w:rPr>
          <w:rFonts w:cs="Calibri" w:hAnsi="Calibri" w:ascii="Calibri"/>
          <w:sz w:val="22"/>
          <w:szCs w:val="22"/>
          <w:lang w:val="hr-HR"/>
        </w:rPr>
      </w:pPr>
    </w:p>
    <w:p w14:textId="77777777" w14:paraId="6F7C117E" w:rsidRDefault="003124EC" w:rsidR="003124EC" w:rsidRPr="003124EC">
      <w:pPr>
        <w:rPr>
          <w:rFonts w:cs="Calibri" w:hAnsi="Calibri" w:ascii="Calibri"/>
          <w:sz w:val="22"/>
          <w:szCs w:val="22"/>
          <w:lang w:val="hr-HR"/>
        </w:rPr>
      </w:pPr>
    </w:p>
    <w:p w14:textId="39F096D5" w14:paraId="400DEB06" w:rsidRDefault="003124EC" w:rsidR="003124EC" w:rsidRPr="003124EC">
      <w:pPr>
        <w:rPr>
          <w:rFonts w:cs="Calibri" w:hAnsi="Calibri" w:ascii="Calibri"/>
          <w:sz w:val="22"/>
          <w:szCs w:val="22"/>
          <w:lang w:val="hr-HR"/>
        </w:rPr>
      </w:pPr>
    </w:p>
    <w:p w14:textId="6604C24D" w14:paraId="5DD72B04" w:rsidRDefault="003124EC" w:rsidP="003124EC" w:rsidR="003124EC" w:rsidRPr="003124EC">
      <w:pPr>
        <w:ind w:hanging="2160" w:left="2160"/>
        <w:jc w:val="both"/>
        <w:rPr>
          <w:rFonts w:cs="Calibri" w:hAnsi="Calibri" w:ascii="Calibri"/>
          <w:sz w:val="22"/>
          <w:szCs w:val="22"/>
          <w:lang w:val="hr-HR"/>
        </w:rPr>
      </w:pPr>
      <w:r>
        <w:rPr>
          <w:rFonts w:cs="Calibri" w:hAnsi="Calibri" w:ascii="Calibri"/>
          <w:b/>
          <w:sz w:val="22"/>
          <w:szCs w:val="22"/>
          <w:lang w:val="hr-HR"/>
        </w:rPr>
        <w:t>Stečajni dužnik:</w:t>
      </w:r>
      <w:r>
        <w:rPr>
          <w:rFonts w:cs="Calibri" w:hAnsi="Calibri" w:ascii="Calibri"/>
          <w:b/>
          <w:sz w:val="22"/>
          <w:szCs w:val="22"/>
          <w:lang w:val="hr-HR"/>
        </w:rPr>
        <w:tab/>
      </w:r>
      <w:r w:rsidRPr="003124EC">
        <w:rPr>
          <w:rFonts w:cs="Calibri" w:hAnsi="Calibri" w:ascii="Calibri"/>
          <w:b/>
          <w:sz w:val="22"/>
          <w:szCs w:val="22"/>
          <w:lang w:val="hr-HR"/>
        </w:rPr>
        <w:t>NAMCO PROMET d.o.o. – u stečaju</w:t>
      </w:r>
      <w:r w:rsidRPr="003124EC">
        <w:rPr>
          <w:rFonts w:cs="Calibri" w:hAnsi="Calibri" w:ascii="Calibri"/>
          <w:sz w:val="22"/>
          <w:szCs w:val="22"/>
          <w:lang w:val="hr-HR"/>
        </w:rPr>
        <w:t>, Zagreb, Horvaćanska cesta 43, OIB: 21670030850, kojeg zastupa stečajni upravitelj Tomislav Orehovec iz Zagreba, Smičiklasova 18</w:t>
      </w:r>
    </w:p>
    <w:p w14:textId="77777777" w14:paraId="0C691129" w:rsidRDefault="003124EC" w:rsidR="003124EC" w:rsidRPr="003124EC">
      <w:pPr>
        <w:rPr>
          <w:rFonts w:cs="Calibri" w:hAnsi="Calibri" w:ascii="Calibri"/>
          <w:sz w:val="22"/>
          <w:szCs w:val="22"/>
          <w:lang w:val="hr-HR"/>
        </w:rPr>
      </w:pPr>
    </w:p>
    <w:p w14:textId="05B8102E" w14:paraId="6082CE47" w:rsidRDefault="003124EC" w:rsidR="003124EC">
      <w:pPr>
        <w:rPr>
          <w:rFonts w:cs="Calibri" w:hAnsi="Calibri" w:ascii="Calibri"/>
          <w:sz w:val="22"/>
          <w:szCs w:val="22"/>
          <w:lang w:val="hr-HR"/>
        </w:rPr>
      </w:pPr>
    </w:p>
    <w:p w14:textId="62B2B4A8" w14:paraId="7192439E" w:rsidRDefault="003124EC" w:rsidP="003124EC" w:rsidR="003124EC">
      <w:pPr>
        <w:pBdr>
          <w:bottom w:space="1" w:sz="6" w:color="auto" w:val="single"/>
        </w:pBdr>
        <w:rPr>
          <w:rFonts w:cs="Calibri" w:hAnsi="Calibri" w:ascii="Calibri"/>
          <w:b/>
          <w:sz w:val="22"/>
          <w:szCs w:val="22"/>
          <w:lang w:val="hr-HR"/>
        </w:rPr>
      </w:pPr>
      <w:r>
        <w:rPr>
          <w:rFonts w:cs="Calibri" w:hAnsi="Calibri" w:ascii="Calibri"/>
          <w:sz w:val="22"/>
          <w:szCs w:val="22"/>
          <w:lang w:val="hr-HR"/>
        </w:rPr>
        <w:t>PREDMET:</w:t>
      </w:r>
      <w:r>
        <w:rPr>
          <w:rFonts w:cs="Calibri" w:hAnsi="Calibri" w:ascii="Calibri"/>
          <w:sz w:val="22"/>
          <w:szCs w:val="22"/>
          <w:lang w:val="hr-HR"/>
        </w:rPr>
        <w:tab/>
      </w:r>
      <w:r>
        <w:rPr>
          <w:rFonts w:cs="Calibri" w:hAnsi="Calibri" w:ascii="Calibri"/>
          <w:sz w:val="22"/>
          <w:szCs w:val="22"/>
          <w:lang w:val="hr-HR"/>
        </w:rPr>
        <w:tab/>
      </w:r>
      <w:r w:rsidRPr="003124EC">
        <w:rPr>
          <w:rFonts w:cs="Calibri" w:hAnsi="Calibri" w:ascii="Calibri"/>
          <w:b/>
          <w:sz w:val="22"/>
          <w:szCs w:val="22"/>
          <w:lang w:val="hr-HR"/>
        </w:rPr>
        <w:t xml:space="preserve">Prijedlog za sazivanje skupštine vjerovnika </w:t>
      </w:r>
    </w:p>
    <w:p w14:textId="7FBF0070" w14:paraId="3D945CF5" w:rsidRDefault="003124EC" w:rsidP="003124EC" w:rsidR="003124EC">
      <w:pPr>
        <w:rPr>
          <w:rFonts w:cs="Calibri" w:hAnsi="Calibri" w:ascii="Calibri"/>
          <w:b/>
          <w:sz w:val="22"/>
          <w:szCs w:val="22"/>
          <w:lang w:val="hr-HR"/>
        </w:rPr>
      </w:pPr>
    </w:p>
    <w:p w14:textId="77777777" w14:paraId="337805FF" w:rsidRDefault="003124EC" w:rsidP="0072453F" w:rsidR="003124EC">
      <w:pPr>
        <w:jc w:val="both"/>
        <w:rPr>
          <w:rFonts w:cs="Calibri" w:hAnsi="Calibri" w:ascii="Calibri"/>
          <w:sz w:val="22"/>
          <w:szCs w:val="22"/>
          <w:lang w:val="hr-HR"/>
        </w:rPr>
      </w:pPr>
      <w:r>
        <w:rPr>
          <w:rFonts w:cs="Calibri" w:hAnsi="Calibri" w:ascii="Calibri"/>
          <w:sz w:val="22"/>
          <w:szCs w:val="22"/>
          <w:lang w:val="hr-HR"/>
        </w:rPr>
        <w:t>Ovim putem stečajni upravitelj predlaže naslovnom sudu sazivanje skupštine vjerovnika sa sljedećim dnevnim redom:</w:t>
      </w:r>
    </w:p>
    <w:p w14:textId="77777777" w14:paraId="4D9D5DA9" w:rsidRDefault="003124EC" w:rsidP="003124EC" w:rsidR="003124EC">
      <w:pPr>
        <w:rPr>
          <w:rFonts w:cs="Calibri" w:hAnsi="Calibri" w:ascii="Calibri"/>
          <w:sz w:val="22"/>
          <w:szCs w:val="22"/>
          <w:lang w:val="hr-HR"/>
        </w:rPr>
      </w:pPr>
    </w:p>
    <w:p w14:textId="0E9D56F9" w14:paraId="5D80B5EE" w:rsidRDefault="0072453F" w:rsidP="0072453F" w:rsidR="003124EC" w:rsidRPr="0072453F">
      <w:pPr>
        <w:ind w:hanging="720" w:left="1440"/>
        <w:rPr>
          <w:rFonts w:cs="Calibri" w:hAnsi="Calibri" w:ascii="Calibri"/>
          <w:b/>
          <w:sz w:val="22"/>
          <w:szCs w:val="22"/>
          <w:lang w:val="hr-HR"/>
        </w:rPr>
      </w:pPr>
      <w:r w:rsidRPr="0072453F">
        <w:rPr>
          <w:rFonts w:cs="Calibri" w:hAnsi="Calibri" w:ascii="Calibri"/>
          <w:b/>
          <w:sz w:val="22"/>
          <w:szCs w:val="22"/>
          <w:lang w:val="hr-HR"/>
        </w:rPr>
        <w:t>1)</w:t>
      </w:r>
      <w:r w:rsidRPr="0072453F">
        <w:rPr>
          <w:rFonts w:cs="Calibri" w:hAnsi="Calibri" w:ascii="Calibri"/>
          <w:b/>
          <w:sz w:val="22"/>
          <w:szCs w:val="22"/>
          <w:lang w:val="hr-HR"/>
        </w:rPr>
        <w:tab/>
        <w:t>Rasprava o daljnjem tijeku parničnih postupaka između stečajnog dužnika i društava Ample d.o.o., Kabrio d.o.o., Supernova Dubrava d.o.o. i Supernova Koprivnica d.o.o.</w:t>
      </w:r>
      <w:r w:rsidR="003124EC" w:rsidRPr="0072453F">
        <w:rPr>
          <w:rFonts w:cs="Calibri" w:hAnsi="Calibri" w:ascii="Calibri"/>
          <w:b/>
          <w:sz w:val="22"/>
          <w:szCs w:val="22"/>
          <w:lang w:val="hr-HR"/>
        </w:rPr>
        <w:t xml:space="preserve"> </w:t>
      </w:r>
    </w:p>
    <w:p w14:textId="77777777" w14:paraId="2ECDB54B" w:rsidRDefault="003124EC" w:rsidP="003124EC" w:rsidR="003124EC" w:rsidRPr="003124EC">
      <w:pPr>
        <w:rPr>
          <w:rFonts w:cs="Calibri" w:hAnsi="Calibri" w:ascii="Calibri"/>
          <w:b/>
          <w:sz w:val="22"/>
          <w:szCs w:val="22"/>
          <w:lang w:val="hr-HR"/>
        </w:rPr>
      </w:pPr>
    </w:p>
    <w:p w14:textId="3383CDA6" w14:paraId="58B4762E" w:rsidRDefault="0072453F" w:rsidP="0072453F" w:rsidR="003124EC" w:rsidRPr="003124EC">
      <w:pPr>
        <w:ind w:hanging="720" w:left="720"/>
        <w:jc w:val="both"/>
        <w:rPr>
          <w:rFonts w:cs="Calibri" w:hAnsi="Calibri" w:ascii="Calibri"/>
          <w:sz w:val="22"/>
          <w:szCs w:val="22"/>
          <w:lang w:val="hr-HR"/>
        </w:rPr>
      </w:pPr>
      <w:r>
        <w:rPr>
          <w:rFonts w:cs="Calibri" w:hAnsi="Calibri" w:ascii="Calibri"/>
          <w:sz w:val="22"/>
          <w:szCs w:val="22"/>
          <w:lang w:val="hr-HR"/>
        </w:rPr>
        <w:t>I.</w:t>
      </w:r>
      <w:r>
        <w:rPr>
          <w:rFonts w:cs="Calibri" w:hAnsi="Calibri" w:ascii="Calibri"/>
          <w:sz w:val="22"/>
          <w:szCs w:val="22"/>
          <w:lang w:val="hr-HR"/>
        </w:rPr>
        <w:tab/>
        <w:t xml:space="preserve">Pred Trgovačkim sudom u Zagrebu, pod brojem </w:t>
      </w:r>
      <w:r w:rsidR="001F5F83">
        <w:rPr>
          <w:rFonts w:cs="Calibri" w:eastAsia="Times New Roman" w:hAnsi="Calibri" w:ascii="Calibri"/>
          <w:sz w:val="22"/>
          <w:szCs w:val="22"/>
          <w:lang w:val="hr-HR"/>
        </w:rPr>
        <w:t>P-</w:t>
      </w:r>
      <w:r w:rsidRPr="003124EC">
        <w:rPr>
          <w:rFonts w:cs="Calibri" w:eastAsia="Times New Roman" w:hAnsi="Calibri" w:ascii="Calibri"/>
          <w:sz w:val="22"/>
          <w:szCs w:val="22"/>
          <w:lang w:val="hr-HR"/>
        </w:rPr>
        <w:t>2452/14</w:t>
      </w:r>
      <w:r>
        <w:rPr>
          <w:rFonts w:cs="Calibri" w:eastAsia="Times New Roman" w:hAnsi="Calibri" w:ascii="Calibri"/>
          <w:sz w:val="22"/>
          <w:szCs w:val="22"/>
          <w:lang w:val="hr-HR"/>
        </w:rPr>
        <w:t xml:space="preserve">, u tijeku je parnični postupak stečajnog dužnika, kao tužitelja, protiv društva Ample d.o.o., kao tuženika, VPS: </w:t>
      </w:r>
      <w:r w:rsidRPr="003124EC">
        <w:rPr>
          <w:rFonts w:cs="Calibri" w:eastAsia="Times New Roman" w:hAnsi="Calibri" w:ascii="Calibri"/>
          <w:sz w:val="22"/>
          <w:szCs w:val="22"/>
          <w:lang w:val="hr-HR"/>
        </w:rPr>
        <w:t>3.450.646,15</w:t>
      </w:r>
      <w:r w:rsidR="00627176">
        <w:rPr>
          <w:rFonts w:cs="Calibri" w:eastAsia="Times New Roman" w:hAnsi="Calibri" w:ascii="Calibri"/>
          <w:sz w:val="22"/>
          <w:szCs w:val="22"/>
          <w:lang w:val="hr-HR"/>
        </w:rPr>
        <w:t xml:space="preserve"> kn, a s osnova naknade štete.</w:t>
      </w:r>
    </w:p>
    <w:p w14:textId="46137D9C" w14:paraId="0FADC74E" w:rsidRDefault="0072453F" w:rsidP="001F5F83" w:rsidR="001F5F83">
      <w:pPr>
        <w:spacing w:afterAutospacing="true" w:after="100" w:beforeAutospacing="true" w:before="100"/>
        <w:ind w:left="720"/>
        <w:jc w:val="both"/>
        <w:rPr>
          <w:rFonts w:cs="Calibri" w:eastAsia="Times New Roman" w:hAnsi="Calibri" w:ascii="Calibri"/>
          <w:sz w:val="22"/>
          <w:szCs w:val="22"/>
          <w:lang w:val="hr-HR"/>
        </w:rPr>
      </w:pPr>
      <w:r>
        <w:rPr>
          <w:rFonts w:cs="Calibri" w:eastAsia="Times New Roman" w:hAnsi="Calibri" w:ascii="Calibri"/>
          <w:sz w:val="22"/>
          <w:szCs w:val="22"/>
          <w:lang w:val="hr-HR"/>
        </w:rPr>
        <w:t>Stečajni dužnik</w:t>
      </w:r>
      <w:r w:rsidR="003124EC" w:rsidRPr="003124EC">
        <w:rPr>
          <w:rFonts w:cs="Calibri" w:eastAsia="Times New Roman" w:hAnsi="Calibri" w:ascii="Calibri"/>
          <w:sz w:val="22"/>
          <w:szCs w:val="22"/>
          <w:lang w:val="hr-HR"/>
        </w:rPr>
        <w:t xml:space="preserve"> je dana 18</w:t>
      </w:r>
      <w:r>
        <w:rPr>
          <w:rFonts w:cs="Calibri" w:eastAsia="Times New Roman" w:hAnsi="Calibri" w:ascii="Calibri"/>
          <w:sz w:val="22"/>
          <w:szCs w:val="22"/>
          <w:lang w:val="hr-HR"/>
        </w:rPr>
        <w:t>. travnja 2012. godine pokrenuo</w:t>
      </w:r>
      <w:r w:rsidR="00627176">
        <w:rPr>
          <w:rFonts w:cs="Calibri" w:eastAsia="Times New Roman" w:hAnsi="Calibri" w:ascii="Calibri"/>
          <w:sz w:val="22"/>
          <w:szCs w:val="22"/>
          <w:lang w:val="hr-HR"/>
        </w:rPr>
        <w:t xml:space="preserve"> parnični</w:t>
      </w:r>
      <w:r w:rsidR="003124EC" w:rsidRPr="003124EC">
        <w:rPr>
          <w:rFonts w:cs="Calibri" w:eastAsia="Times New Roman" w:hAnsi="Calibri" w:ascii="Calibri"/>
          <w:sz w:val="22"/>
          <w:szCs w:val="22"/>
          <w:lang w:val="hr-HR"/>
        </w:rPr>
        <w:t xml:space="preserve"> postupak radi naknade štete uzrokovan</w:t>
      </w:r>
      <w:r>
        <w:rPr>
          <w:rFonts w:cs="Calibri" w:eastAsia="Times New Roman" w:hAnsi="Calibri" w:ascii="Calibri"/>
          <w:sz w:val="22"/>
          <w:szCs w:val="22"/>
          <w:lang w:val="hr-HR"/>
        </w:rPr>
        <w:t>e</w:t>
      </w:r>
      <w:r w:rsidR="003124EC" w:rsidRPr="003124EC">
        <w:rPr>
          <w:rFonts w:cs="Calibri" w:eastAsia="Times New Roman" w:hAnsi="Calibri" w:ascii="Calibri"/>
          <w:sz w:val="22"/>
          <w:szCs w:val="22"/>
          <w:lang w:val="hr-HR"/>
        </w:rPr>
        <w:t xml:space="preserve"> jednostranim raskida Ugovora o održavanju i upravljanju SC Koprivnica</w:t>
      </w:r>
      <w:r w:rsidR="001F5F83">
        <w:rPr>
          <w:rFonts w:cs="Calibri" w:eastAsia="Times New Roman" w:hAnsi="Calibri" w:ascii="Calibri"/>
          <w:sz w:val="22"/>
          <w:szCs w:val="22"/>
          <w:lang w:val="hr-HR"/>
        </w:rPr>
        <w:t>, kojeg je vlasnik bio tuženik,</w:t>
      </w:r>
      <w:r w:rsidR="003124EC" w:rsidRPr="003124EC">
        <w:rPr>
          <w:rFonts w:cs="Calibri" w:eastAsia="Times New Roman" w:hAnsi="Calibri" w:ascii="Calibri"/>
          <w:sz w:val="22"/>
          <w:szCs w:val="22"/>
          <w:lang w:val="hr-HR"/>
        </w:rPr>
        <w:t xml:space="preserve"> sklopljenog dana 24. studenog 2009. u iznosu od 3.450.646,15 kn.</w:t>
      </w:r>
      <w:r>
        <w:rPr>
          <w:rFonts w:cs="Calibri" w:eastAsia="Times New Roman" w:hAnsi="Calibri" w:ascii="Calibri"/>
          <w:sz w:val="22"/>
          <w:szCs w:val="22"/>
          <w:lang w:val="hr-HR"/>
        </w:rPr>
        <w:t xml:space="preserve"> Unatoč više provedenih vještačenja na okolnost iznosa izmakle dobiti</w:t>
      </w:r>
      <w:r w:rsidR="00627176">
        <w:rPr>
          <w:rFonts w:cs="Calibri" w:eastAsia="Times New Roman" w:hAnsi="Calibri" w:ascii="Calibri"/>
          <w:sz w:val="22"/>
          <w:szCs w:val="22"/>
          <w:lang w:val="hr-HR"/>
        </w:rPr>
        <w:t xml:space="preserve"> naslovni je sud dana </w:t>
      </w:r>
      <w:r w:rsidR="001F5F83">
        <w:rPr>
          <w:rFonts w:cs="Calibri" w:eastAsia="Times New Roman" w:hAnsi="Calibri" w:ascii="Calibri"/>
          <w:sz w:val="22"/>
          <w:szCs w:val="22"/>
          <w:lang w:val="hr-HR"/>
        </w:rPr>
        <w:t>20. kolovoza 2018. godine objavio presudu kojom se tužbeni zahtjev odbija u cijelosti te nalaže tužitelju nadoknaditi tuženiku troškova parničnog postupka u iznosu od 265.898,00 kn. Protiv navedene presude izjavljena je žalba.</w:t>
      </w:r>
    </w:p>
    <w:p w14:textId="089E805F" w14:paraId="74C6A0E3" w:rsidRDefault="001F5F83" w:rsidP="001F5F83" w:rsidR="001F5F83">
      <w:pPr>
        <w:spacing w:afterAutospacing="true" w:after="100" w:beforeAutospacing="true" w:before="100"/>
        <w:ind w:left="720"/>
        <w:jc w:val="both"/>
        <w:rPr>
          <w:rFonts w:cs="Calibri" w:eastAsia="Times New Roman" w:hAnsi="Calibri" w:ascii="Calibri"/>
          <w:sz w:val="22"/>
          <w:szCs w:val="22"/>
          <w:lang w:val="hr-HR"/>
        </w:rPr>
      </w:pPr>
      <w:r>
        <w:rPr>
          <w:rFonts w:cs="Calibri" w:eastAsia="Times New Roman" w:hAnsi="Calibri" w:ascii="Calibri"/>
          <w:sz w:val="22"/>
          <w:szCs w:val="22"/>
          <w:lang w:val="hr-HR"/>
        </w:rPr>
        <w:t xml:space="preserve">Kako je tuženik tijekom 2016. godine predmetni SC Koprivnica, koji je predstavljao njegovu jedinu materijalnu imovinu, prodao društvu </w:t>
      </w:r>
      <w:r w:rsidR="00A56F43">
        <w:rPr>
          <w:rFonts w:cs="Calibri" w:eastAsia="Times New Roman" w:hAnsi="Calibri" w:ascii="Calibri"/>
          <w:sz w:val="22"/>
          <w:szCs w:val="22"/>
          <w:lang w:val="hr-HR"/>
        </w:rPr>
        <w:t>Supernova Koprivnica d.o.o., stečajni dužnik je pokrenuo i parnični postupak protiv navedenog društva radi pobijanja dužnikovih pravnih radnji, a koji se vodi pred naslovnom sudom pod brojem: P-2585/2017.</w:t>
      </w:r>
    </w:p>
    <w:p w14:textId="68CE8D51" w14:paraId="49E494BF" w:rsidRDefault="0072453F" w:rsidP="00627176" w:rsidR="00627176">
      <w:pPr>
        <w:spacing w:afterAutospacing="true" w:after="100" w:beforeAutospacing="true" w:before="100"/>
        <w:ind w:hanging="720" w:left="720"/>
        <w:jc w:val="both"/>
        <w:rPr>
          <w:rFonts w:cs="Calibri" w:eastAsia="Times New Roman" w:hAnsi="Calibri" w:ascii="Calibri"/>
          <w:sz w:val="22"/>
          <w:szCs w:val="22"/>
          <w:lang w:val="hr-HR"/>
        </w:rPr>
      </w:pPr>
      <w:r>
        <w:rPr>
          <w:rFonts w:cs="Calibri" w:eastAsia="Times New Roman" w:hAnsi="Calibri" w:ascii="Calibri"/>
          <w:sz w:val="22"/>
          <w:szCs w:val="22"/>
          <w:lang w:val="hr-HR"/>
        </w:rPr>
        <w:t>II.</w:t>
      </w:r>
      <w:r>
        <w:rPr>
          <w:rFonts w:cs="Calibri" w:eastAsia="Times New Roman" w:hAnsi="Calibri" w:ascii="Calibri"/>
          <w:sz w:val="22"/>
          <w:szCs w:val="22"/>
          <w:lang w:val="hr-HR"/>
        </w:rPr>
        <w:tab/>
        <w:t xml:space="preserve">Pred Trgovačkim sudom u Zagrebu, pod brojem </w:t>
      </w:r>
      <w:r w:rsidR="001F5F83">
        <w:rPr>
          <w:rFonts w:cs="Calibri" w:eastAsia="Times New Roman" w:hAnsi="Calibri" w:ascii="Calibri"/>
          <w:sz w:val="22"/>
          <w:szCs w:val="22"/>
          <w:lang w:val="hr-HR"/>
        </w:rPr>
        <w:t>P-</w:t>
      </w:r>
      <w:r w:rsidRPr="003124EC">
        <w:rPr>
          <w:rFonts w:cs="Calibri" w:eastAsia="Times New Roman" w:hAnsi="Calibri" w:ascii="Calibri"/>
          <w:sz w:val="22"/>
          <w:szCs w:val="22"/>
          <w:lang w:val="hr-HR"/>
        </w:rPr>
        <w:t>2457/14</w:t>
      </w:r>
      <w:r>
        <w:rPr>
          <w:rFonts w:cs="Calibri" w:eastAsia="Times New Roman" w:hAnsi="Calibri" w:ascii="Calibri"/>
          <w:sz w:val="22"/>
          <w:szCs w:val="22"/>
          <w:lang w:val="hr-HR"/>
        </w:rPr>
        <w:t xml:space="preserve">, u tijeku je parnični postupak stečajnog dužnika, kao tužitelja, protiv društva Kabrio d.o.o., kao tuženika, VPS: </w:t>
      </w:r>
      <w:r w:rsidRPr="003124EC">
        <w:rPr>
          <w:rFonts w:cs="Calibri" w:eastAsia="Times New Roman" w:hAnsi="Calibri" w:ascii="Calibri"/>
          <w:sz w:val="22"/>
          <w:szCs w:val="22"/>
          <w:lang w:val="hr-HR"/>
        </w:rPr>
        <w:t>4.463.786,24 kn</w:t>
      </w:r>
      <w:r>
        <w:rPr>
          <w:rFonts w:cs="Calibri" w:eastAsia="Times New Roman" w:hAnsi="Calibri" w:ascii="Calibri"/>
          <w:sz w:val="22"/>
          <w:szCs w:val="22"/>
          <w:lang w:val="hr-HR"/>
        </w:rPr>
        <w:t>, a s osnova naknade štete</w:t>
      </w:r>
      <w:r w:rsidR="00627176">
        <w:rPr>
          <w:rFonts w:cs="Calibri" w:eastAsia="Times New Roman" w:hAnsi="Calibri" w:ascii="Calibri"/>
          <w:sz w:val="22"/>
          <w:szCs w:val="22"/>
          <w:lang w:val="hr-HR"/>
        </w:rPr>
        <w:t>.</w:t>
      </w:r>
    </w:p>
    <w:p w14:textId="3E2E3A26" w14:paraId="02493865" w:rsidRDefault="00627176" w:rsidP="001F5F83" w:rsidR="001F5F83">
      <w:pPr>
        <w:spacing w:afterAutospacing="true" w:after="100" w:beforeAutospacing="true" w:before="100"/>
        <w:ind w:left="720"/>
        <w:jc w:val="both"/>
        <w:rPr>
          <w:rFonts w:cs="Calibri" w:eastAsia="Times New Roman" w:hAnsi="Calibri" w:ascii="Calibri"/>
          <w:sz w:val="22"/>
          <w:szCs w:val="22"/>
          <w:lang w:val="hr-HR"/>
        </w:rPr>
      </w:pPr>
      <w:r>
        <w:rPr>
          <w:rFonts w:cs="Calibri" w:eastAsia="Times New Roman" w:hAnsi="Calibri" w:ascii="Calibri"/>
          <w:sz w:val="22"/>
          <w:szCs w:val="22"/>
          <w:lang w:val="hr-HR"/>
        </w:rPr>
        <w:t>Stečajni dužnik je dana 17. travnja 2012. godine pokrenuo parnični postupak</w:t>
      </w:r>
      <w:r w:rsidR="0072453F">
        <w:rPr>
          <w:rFonts w:cs="Calibri" w:eastAsia="Times New Roman" w:hAnsi="Calibri" w:ascii="Calibri"/>
          <w:sz w:val="22"/>
          <w:szCs w:val="22"/>
          <w:lang w:val="hr-HR"/>
        </w:rPr>
        <w:t xml:space="preserve"> </w:t>
      </w:r>
      <w:r>
        <w:rPr>
          <w:rFonts w:cs="Calibri" w:eastAsia="Times New Roman" w:hAnsi="Calibri" w:ascii="Calibri"/>
          <w:sz w:val="22"/>
          <w:szCs w:val="22"/>
          <w:lang w:val="hr-HR"/>
        </w:rPr>
        <w:t>radi naknade štete uzrokovane jednostranim raskidom</w:t>
      </w:r>
      <w:r w:rsidRPr="003124EC">
        <w:rPr>
          <w:rFonts w:cs="Calibri" w:eastAsia="Times New Roman" w:hAnsi="Calibri" w:ascii="Calibri"/>
          <w:sz w:val="22"/>
          <w:szCs w:val="22"/>
          <w:lang w:val="hr-HR"/>
        </w:rPr>
        <w:t xml:space="preserve"> Ugovora o održavanju i upravljanju GRK Dubrava</w:t>
      </w:r>
      <w:r w:rsidR="001F5F83">
        <w:rPr>
          <w:rFonts w:cs="Calibri" w:eastAsia="Times New Roman" w:hAnsi="Calibri" w:ascii="Calibri"/>
          <w:sz w:val="22"/>
          <w:szCs w:val="22"/>
          <w:lang w:val="hr-HR"/>
        </w:rPr>
        <w:t>, kojeg je vlasnik bio tuženik,</w:t>
      </w:r>
      <w:r w:rsidRPr="003124EC">
        <w:rPr>
          <w:rFonts w:cs="Calibri" w:eastAsia="Times New Roman" w:hAnsi="Calibri" w:ascii="Calibri"/>
          <w:sz w:val="22"/>
          <w:szCs w:val="22"/>
          <w:lang w:val="hr-HR"/>
        </w:rPr>
        <w:t xml:space="preserve"> sklopljenog dana 27. studenog 2009. godine</w:t>
      </w:r>
      <w:r>
        <w:rPr>
          <w:rFonts w:cs="Calibri" w:eastAsia="Times New Roman" w:hAnsi="Calibri" w:ascii="Calibri"/>
          <w:sz w:val="22"/>
          <w:szCs w:val="22"/>
          <w:lang w:val="hr-HR"/>
        </w:rPr>
        <w:t xml:space="preserve">. </w:t>
      </w:r>
      <w:r w:rsidR="001F5F83">
        <w:rPr>
          <w:rFonts w:cs="Calibri" w:eastAsia="Times New Roman" w:hAnsi="Calibri" w:ascii="Calibri"/>
          <w:sz w:val="22"/>
          <w:szCs w:val="22"/>
          <w:lang w:val="hr-HR"/>
        </w:rPr>
        <w:t xml:space="preserve">Unatoč više </w:t>
      </w:r>
      <w:r w:rsidR="001F5F83">
        <w:rPr>
          <w:rFonts w:cs="Calibri" w:eastAsia="Times New Roman" w:hAnsi="Calibri" w:ascii="Calibri"/>
          <w:sz w:val="22"/>
          <w:szCs w:val="22"/>
          <w:lang w:val="hr-HR"/>
        </w:rPr>
        <w:lastRenderedPageBreak/>
        <w:t>provedenih vještačenja na okolnost iznosa izmakle dobiti naslovni je sud dana 20. kolovoza 2018. godine objavio presudu kojom se tužbeni zahtjev odbija u cijelosti te nalaže tužitelju nadoknaditi tuženiku troškova parničnog postupka u iznosu od 558.254,25 kn. Protiv navedene presude izjavljena je žalba.</w:t>
      </w:r>
    </w:p>
    <w:p w14:textId="76E4BBD0" w14:paraId="6AB89394" w:rsidRDefault="00A56F43" w:rsidP="00A56F43" w:rsidR="00A56F43">
      <w:pPr>
        <w:spacing w:afterAutospacing="true" w:after="100" w:beforeAutospacing="true" w:before="100"/>
        <w:ind w:left="720"/>
        <w:jc w:val="both"/>
        <w:rPr>
          <w:rFonts w:cs="Calibri" w:eastAsia="Times New Roman" w:hAnsi="Calibri" w:ascii="Calibri"/>
          <w:sz w:val="22"/>
          <w:szCs w:val="22"/>
          <w:lang w:val="hr-HR"/>
        </w:rPr>
      </w:pPr>
      <w:r>
        <w:rPr>
          <w:rFonts w:cs="Calibri" w:eastAsia="Times New Roman" w:hAnsi="Calibri" w:ascii="Calibri"/>
          <w:sz w:val="22"/>
          <w:szCs w:val="22"/>
          <w:lang w:val="hr-HR"/>
        </w:rPr>
        <w:t xml:space="preserve">Kako je tuženik tijekom 2016. godine predmetni </w:t>
      </w:r>
      <w:r w:rsidRPr="003124EC">
        <w:rPr>
          <w:rFonts w:cs="Calibri" w:eastAsia="Times New Roman" w:hAnsi="Calibri" w:ascii="Calibri"/>
          <w:sz w:val="22"/>
          <w:szCs w:val="22"/>
          <w:lang w:val="hr-HR"/>
        </w:rPr>
        <w:t>GRK Dubrava</w:t>
      </w:r>
      <w:r>
        <w:rPr>
          <w:rFonts w:cs="Calibri" w:eastAsia="Times New Roman" w:hAnsi="Calibri" w:ascii="Calibri"/>
          <w:sz w:val="22"/>
          <w:szCs w:val="22"/>
          <w:lang w:val="hr-HR"/>
        </w:rPr>
        <w:t>, koji je predstavljao njegovu jedinu materijalnu imovinu, prodao društvu Supernova Dubrava d.o.o., stečajni dužnik je pokrenuo i parnični postupak protiv navedenog društva radi pobijanja dužnikovih pravnih radnji, a koji se vodi pred naslovnom sudom pod brojem: P-2585/2017.</w:t>
      </w:r>
    </w:p>
    <w:p w14:textId="540E0FEF" w14:paraId="0E799E3F" w:rsidRDefault="005C7013" w:rsidP="005C7013" w:rsidR="00A56F43">
      <w:pPr>
        <w:spacing w:afterAutospacing="true" w:after="100" w:beforeAutospacing="true" w:before="100"/>
        <w:ind w:hanging="720" w:left="720"/>
        <w:jc w:val="both"/>
        <w:rPr>
          <w:rFonts w:cs="Calibri" w:eastAsia="Times New Roman" w:hAnsi="Calibri" w:ascii="Calibri"/>
          <w:sz w:val="22"/>
          <w:szCs w:val="22"/>
          <w:lang w:val="hr-HR"/>
        </w:rPr>
      </w:pPr>
      <w:r>
        <w:rPr>
          <w:rFonts w:cs="Calibri" w:eastAsia="Times New Roman" w:hAnsi="Calibri" w:ascii="Calibri"/>
          <w:sz w:val="22"/>
          <w:szCs w:val="22"/>
          <w:lang w:val="hr-HR"/>
        </w:rPr>
        <w:t>III.</w:t>
      </w:r>
      <w:r>
        <w:rPr>
          <w:rFonts w:cs="Calibri" w:eastAsia="Times New Roman" w:hAnsi="Calibri" w:ascii="Calibri"/>
          <w:sz w:val="22"/>
          <w:szCs w:val="22"/>
          <w:lang w:val="hr-HR"/>
        </w:rPr>
        <w:tab/>
        <w:t>S obzirom na možebitnu obvezu nadoknade dosuđenih parničnih troškova suprotnoj strani temeljem gore prvostupanjskih presuda, a koji predstavljaju predvidivu obvezu stečajne mase, ukazuje se osnovanim zakazati skupštinu vjerovnika radi rasprave o daljnjem tijeku gore navedenih parničnih postupaka.</w:t>
      </w:r>
    </w:p>
    <w:p w14:textId="3E7DF498" w14:paraId="13870956" w:rsidRDefault="005C7013" w:rsidP="005C7013" w:rsidR="005C7013">
      <w:pPr>
        <w:spacing w:afterAutospacing="true" w:after="100" w:beforeAutospacing="true" w:before="100"/>
        <w:ind w:hanging="720" w:left="720"/>
        <w:jc w:val="both"/>
        <w:rPr>
          <w:rFonts w:cs="Calibri" w:eastAsia="Times New Roman" w:hAnsi="Calibri" w:ascii="Calibri"/>
          <w:sz w:val="22"/>
          <w:szCs w:val="22"/>
          <w:lang w:val="hr-HR"/>
        </w:rPr>
      </w:pPr>
    </w:p>
    <w:p w14:textId="310117FB" w14:paraId="011D4895" w:rsidRDefault="005C7013" w:rsidP="005C7013" w:rsidR="005C7013">
      <w:pPr>
        <w:spacing w:afterAutospacing="true" w:after="100" w:beforeAutospacing="true" w:before="100"/>
        <w:ind w:hanging="720" w:left="720"/>
        <w:jc w:val="right"/>
        <w:rPr>
          <w:rFonts w:cs="Calibri" w:eastAsia="Times New Roman" w:hAnsi="Calibri" w:ascii="Calibri"/>
          <w:sz w:val="22"/>
          <w:szCs w:val="22"/>
          <w:lang w:val="hr-HR"/>
        </w:rPr>
      </w:pPr>
      <w:r>
        <w:rPr>
          <w:rFonts w:cs="Calibri" w:eastAsia="Times New Roman" w:hAnsi="Calibri" w:ascii="Calibri"/>
          <w:sz w:val="22"/>
          <w:szCs w:val="22"/>
          <w:lang w:val="hr-HR"/>
        </w:rPr>
        <w:t>Stečajni upravitelj</w:t>
      </w:r>
    </w:p>
    <w:p w14:textId="46A035C5" w14:paraId="1201BAA6" w:rsidRDefault="005C7013" w:rsidP="005C7013" w:rsidR="005C7013">
      <w:pPr>
        <w:spacing w:afterAutospacing="true" w:after="100" w:beforeAutospacing="true" w:before="100"/>
        <w:ind w:hanging="720" w:left="720"/>
        <w:jc w:val="right"/>
        <w:rPr>
          <w:rFonts w:cs="Calibri" w:eastAsia="Times New Roman" w:hAnsi="Calibri" w:ascii="Calibri"/>
          <w:sz w:val="22"/>
          <w:szCs w:val="22"/>
          <w:lang w:val="hr-HR"/>
        </w:rPr>
      </w:pPr>
      <w:r>
        <w:rPr>
          <w:rFonts w:cs="Calibri" w:eastAsia="Times New Roman" w:hAnsi="Calibri" w:ascii="Calibri"/>
          <w:sz w:val="22"/>
          <w:szCs w:val="22"/>
          <w:lang w:val="hr-HR"/>
        </w:rPr>
        <w:t>Tomislav Orehove</w:t>
      </w:r>
      <w:r w:rsidR="00C423D1">
        <w:rPr>
          <w:rFonts w:cs="Calibri" w:eastAsia="Times New Roman" w:hAnsi="Calibri" w:ascii="Calibri"/>
          <w:sz w:val="22"/>
          <w:szCs w:val="22"/>
          <w:lang w:val="hr-HR"/>
        </w:rPr>
        <w:t>c</w:t>
      </w:r>
    </w:p>
    <w:p w14:textId="77777777" w14:paraId="7ED3882B" w:rsidRDefault="003124EC" w:rsidR="003124EC" w:rsidRPr="003124EC">
      <w:pPr>
        <w:rPr>
          <w:rFonts w:cs="Calibri" w:hAnsi="Calibri" w:ascii="Calibri"/>
          <w:sz w:val="22"/>
          <w:szCs w:val="22"/>
          <w:lang w:val="hr-HR"/>
        </w:rPr>
      </w:pPr>
    </w:p>
    <w:sectPr w:rsidSect="006E7BBB" w:rsidR="003124EC" w:rsidRPr="003124EC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24EC"/>
    <w:rsid w:val="000E2C30"/>
    <w:rsid w:val="001F5F83"/>
    <w:rsid w:val="00291AB0"/>
    <w:rsid w:val="0030442A"/>
    <w:rsid w:val="003124EC"/>
    <w:rsid w:val="004B3699"/>
    <w:rsid w:val="004D12EA"/>
    <w:rsid w:val="005C7013"/>
    <w:rsid w:val="00627176"/>
    <w:rsid w:val="006C0293"/>
    <w:rsid w:val="006E7BBB"/>
    <w:rsid w:val="0072453F"/>
    <w:rsid w:val="009075C5"/>
    <w:rsid w:val="00A56F43"/>
    <w:rsid w:val="00C423D1"/>
    <w:rsid w:val="00D7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455CB2"/>
  <w14:defaultImageDpi w14:val="32767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GB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0E2C30"/>
    <w:pPr>
      <w:keepNext/>
      <w:outlineLvl w:val="0"/>
    </w:pPr>
    <w:rPr>
      <w:rFonts w:cs="Times New Roman" w:eastAsia="Times New Roman"/>
      <w:b/>
      <w:color w:themeColor="text1" w:val="000000"/>
      <w:sz w:val="22"/>
      <w:szCs w:val="6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E2C30"/>
    <w:rPr>
      <w:rFonts w:cs="Times New Roman" w:eastAsia="Times New Roman"/>
      <w:b/>
      <w:color w:themeColor="text1" w:val="000000"/>
      <w:sz w:val="22"/>
      <w:szCs w:val="60"/>
      <w:lang w:eastAsia="hr-HR" w:val="en-US"/>
    </w:rPr>
  </w:style>
  <w:style w:styleId="StandardWeb" w:type="paragraph">
    <w:name w:val="Normal (Web)"/>
    <w:basedOn w:val="Normal"/>
    <w:uiPriority w:val="99"/>
    <w:semiHidden/>
    <w:unhideWhenUsed/>
    <w:rsid w:val="003124EC"/>
    <w:pPr>
      <w:spacing w:afterAutospacing="true" w:after="100" w:beforeAutospacing="true" w:before="100"/>
    </w:pPr>
    <w:rPr>
      <w:rFonts w:cs="Times New Roman" w:eastAsia="Times New Roman" w:hAnsi="Times New Roman" w:ascii="Times New Roman"/>
      <w:lang w:val="hr-HR"/>
    </w:rPr>
  </w:style>
  <w:style w:styleId="Hiperveza" w:type="character">
    <w:name w:val="Hyperlink"/>
    <w:basedOn w:val="Zadanifontodlomka"/>
    <w:uiPriority w:val="99"/>
    <w:unhideWhenUsed/>
    <w:rsid w:val="003124EC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rsid w:val="003124EC"/>
    <w:rPr>
      <w:color w:val="605E5C"/>
      <w:shd w:fill="E1DFDD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D71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EBF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EBF"/>
    <w:rPr>
      <w:rFonts w:cs="Calibri" w:hAnsi="Calibri" w:ascii="Calibri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EBF"/>
    <w:rPr>
      <w:rFonts w:cs="Calibri" w:hAnsi="Calibri" w:ascii="Calibri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EBF"/>
    <w:rPr>
      <w:rFonts w:cs="Calibri" w:hAnsi="Calibri" w:ascii="Calibri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GB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0E2C30"/>
    <w:pPr>
      <w:keepNext/>
      <w:outlineLvl w:val="0"/>
    </w:pPr>
    <w:rPr>
      <w:rFonts w:cs="Times New Roman" w:eastAsia="Times New Roman"/>
      <w:b/>
      <w:color w:themeColor="text1" w:val="000000"/>
      <w:sz w:val="22"/>
      <w:szCs w:val="6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E2C30"/>
    <w:rPr>
      <w:rFonts w:cs="Times New Roman" w:eastAsia="Times New Roman"/>
      <w:b/>
      <w:color w:themeColor="text1" w:val="000000"/>
      <w:sz w:val="22"/>
      <w:szCs w:val="60"/>
      <w:lang w:eastAsia="hr-HR" w:val="en-US"/>
    </w:rPr>
  </w:style>
  <w:style w:styleId="StandardWeb" w:type="paragraph">
    <w:name w:val="Normal (Web)"/>
    <w:basedOn w:val="Normal"/>
    <w:uiPriority w:val="99"/>
    <w:semiHidden/>
    <w:unhideWhenUsed/>
    <w:rsid w:val="003124EC"/>
    <w:pPr>
      <w:spacing w:after="100" w:afterAutospacing="1" w:before="100" w:beforeAutospacing="1"/>
    </w:pPr>
    <w:rPr>
      <w:rFonts w:ascii="Times New Roman" w:cs="Times New Roman" w:eastAsia="Times New Roman" w:hAnsi="Times New Roman"/>
      <w:lang w:val="hr-HR"/>
    </w:rPr>
  </w:style>
  <w:style w:styleId="Hiperveza" w:type="character">
    <w:name w:val="Hyperlink"/>
    <w:basedOn w:val="Zadanifontodlomka"/>
    <w:uiPriority w:val="99"/>
    <w:unhideWhenUsed/>
    <w:rsid w:val="003124EC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rsid w:val="003124EC"/>
    <w:rPr>
      <w:color w:val="605E5C"/>
      <w:shd w:color="auto" w:fill="E1DFDD" w:val="clear"/>
    </w:rPr>
  </w:style>
  <w:style w:styleId="Tekstrezerviranogmjesta" w:type="character">
    <w:name w:val="Placeholder Text"/>
    <w:basedOn w:val="Zadanifontodlomka"/>
    <w:uiPriority w:val="99"/>
    <w:semiHidden/>
    <w:rsid w:val="00D71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EBF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EBF"/>
    <w:rPr>
      <w:rFonts w:ascii="Calibri" w:cs="Calibri" w:hAnsi="Calibri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EBF"/>
    <w:rPr>
      <w:rFonts w:ascii="Calibri" w:cs="Calibri" w:hAnsi="Calibri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EBF"/>
    <w:rPr>
      <w:rFonts w:ascii="Calibri" w:cs="Calibri" w:hAnsi="Calibri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114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4483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36725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481955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049115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42884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7541635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2188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2351600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6046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794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3249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514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53562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285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0446744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6817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59606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tecajniupravitelj.orehovec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2953</properties:Characters>
  <properties:Lines>63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2018-10-12T12:00:00Z</dcterms:created>
  <dc:creator>Tomislav Orehovec</dc:creator>
  <cp:lastModifiedBy>Vinka Mihalinčić</cp:lastModifiedBy>
  <cp:lastPrinted>2018-10-12T09:27:00Z</cp:lastPrinted>
  <dcterms:modified xmlns:xsi="http://www.w3.org/2001/XMLSchema-instance" xsi:type="dcterms:W3CDTF">2018-10-16T11:47:00Z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(NAMCO PROMET skupština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