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7c63" w14:paraId="3ff7c63" w:rsidRDefault="007B2324" w:rsidP="007B2324" w:rsidR="007B2324" w:rsidRPr="007B2324">
      <w:pPr>
        <w15:collapsed w:val="false"/>
        <w:rPr>
          <w:sz w:val="24"/>
          <w:szCs w:val="24"/>
        </w:rPr>
      </w:pPr>
      <w:bookmarkStart w:name="_GoBack" w:id="0"/>
      <w:bookmarkEnd w:id="0"/>
      <w:r w:rsidRPr="007B2324">
        <w:rPr>
          <w:noProof/>
          <w:sz w:val="24"/>
          <w:szCs w:val="24"/>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7B2324" w:rsidP="007B2324" w:rsidR="007B2324" w:rsidRPr="007B2324">
      <w:pPr>
        <w:rPr>
          <w:sz w:val="24"/>
          <w:szCs w:val="24"/>
        </w:rPr>
      </w:pPr>
      <w:r w:rsidRPr="007B2324">
        <w:rPr>
          <w:sz w:val="24"/>
          <w:szCs w:val="24"/>
        </w:rPr>
        <w:t>REPUBLIKA HRVATSKA</w:t>
      </w:r>
    </w:p>
    <w:p w:rsidRDefault="007B2324" w:rsidP="007B2324" w:rsidR="007B2324" w:rsidRPr="007B2324">
      <w:pPr>
        <w:rPr>
          <w:sz w:val="24"/>
          <w:szCs w:val="24"/>
        </w:rPr>
      </w:pPr>
      <w:r w:rsidRPr="007B2324">
        <w:rPr>
          <w:sz w:val="24"/>
          <w:szCs w:val="24"/>
        </w:rPr>
        <w:t>Trgovački sud u Zagrebu</w:t>
      </w:r>
    </w:p>
    <w:p w:rsidRDefault="007B2324" w:rsidP="007B2324" w:rsidR="007B2324" w:rsidRPr="007B2324">
      <w:pPr>
        <w:rPr>
          <w:sz w:val="24"/>
          <w:szCs w:val="24"/>
        </w:rPr>
      </w:pPr>
      <w:r w:rsidRPr="007B2324">
        <w:rPr>
          <w:sz w:val="24"/>
          <w:szCs w:val="24"/>
        </w:rPr>
        <w:t xml:space="preserve">Zagreb, Amruševa 2/II                                                                     </w:t>
      </w:r>
    </w:p>
    <w:p w:rsidRDefault="007B2324" w:rsidP="007B2324" w:rsidR="007B2324" w:rsidRPr="007B2324">
      <w:pPr>
        <w:jc w:val="right"/>
        <w:rPr>
          <w:sz w:val="24"/>
          <w:szCs w:val="24"/>
        </w:rPr>
      </w:pPr>
    </w:p>
    <w:p w:rsidRDefault="007B2324" w:rsidP="007B2324" w:rsidR="007B2324" w:rsidRPr="007B2324">
      <w:pPr>
        <w:jc w:val="center"/>
        <w:rPr>
          <w:sz w:val="24"/>
          <w:szCs w:val="24"/>
        </w:rPr>
      </w:pPr>
    </w:p>
    <w:p w:rsidRDefault="007B2324" w:rsidP="007B2324" w:rsidR="007B2324">
      <w:pPr>
        <w:jc w:val="center"/>
        <w:rPr>
          <w:sz w:val="24"/>
          <w:szCs w:val="24"/>
        </w:rPr>
      </w:pPr>
      <w:r w:rsidRPr="007B2324">
        <w:rPr>
          <w:sz w:val="24"/>
          <w:szCs w:val="24"/>
        </w:rPr>
        <w:t>U  I M E   R E P U B L I K E   H R V A T S K E</w:t>
      </w:r>
    </w:p>
    <w:p w:rsidRDefault="007B2324" w:rsidP="007B2324" w:rsidR="007B2324" w:rsidRPr="007B2324">
      <w:pPr>
        <w:jc w:val="center"/>
        <w:rPr>
          <w:sz w:val="24"/>
          <w:szCs w:val="24"/>
        </w:rPr>
      </w:pPr>
    </w:p>
    <w:p w:rsidRDefault="007B2324" w:rsidP="007B2324" w:rsidR="007B2324" w:rsidRPr="007B2324">
      <w:pPr>
        <w:jc w:val="center"/>
        <w:rPr>
          <w:sz w:val="24"/>
          <w:szCs w:val="24"/>
        </w:rPr>
      </w:pPr>
      <w:r w:rsidRPr="007B2324">
        <w:rPr>
          <w:sz w:val="24"/>
          <w:szCs w:val="24"/>
        </w:rPr>
        <w:t>R J E Š E NJ E</w:t>
      </w:r>
    </w:p>
    <w:p w:rsidRDefault="007B2324" w:rsidP="007B2324" w:rsidR="007B2324" w:rsidRPr="007B2324">
      <w:pPr>
        <w:ind w:firstLine="720"/>
        <w:jc w:val="both"/>
        <w:rPr>
          <w:sz w:val="24"/>
          <w:szCs w:val="24"/>
          <w:lang w:eastAsia="en-US"/>
        </w:rPr>
      </w:pPr>
    </w:p>
    <w:p w:rsidRDefault="007B2324" w:rsidP="007B2324" w:rsidR="007B2324" w:rsidRPr="007B2324">
      <w:pPr>
        <w:ind w:firstLine="708"/>
        <w:jc w:val="both"/>
        <w:rPr>
          <w:sz w:val="24"/>
          <w:szCs w:val="24"/>
        </w:rPr>
      </w:pPr>
      <w:r w:rsidRPr="007B2324">
        <w:rPr>
          <w:sz w:val="24"/>
          <w:szCs w:val="24"/>
          <w:lang w:eastAsia="en-US"/>
        </w:rPr>
        <w:t>Trgovački sud u Zagrebu, po sucu Nikoli Ribariću, u stečajnom postupku nad dužnikom SAN</w:t>
      </w:r>
      <w:r>
        <w:rPr>
          <w:sz w:val="24"/>
          <w:szCs w:val="24"/>
          <w:lang w:eastAsia="en-US"/>
        </w:rPr>
        <w:t xml:space="preserve">SINO d.o.o. u stečaju, Zagreb, </w:t>
      </w:r>
      <w:r w:rsidRPr="007B2324">
        <w:rPr>
          <w:sz w:val="24"/>
          <w:szCs w:val="24"/>
          <w:lang w:eastAsia="en-US"/>
        </w:rPr>
        <w:t>Zvonimirova 60, MBS: 080270001,  OIB:23031472784</w:t>
      </w:r>
      <w:r>
        <w:rPr>
          <w:sz w:val="24"/>
          <w:szCs w:val="24"/>
          <w:lang w:val="pt-BR"/>
        </w:rPr>
        <w:t>, dana 18. prosinca</w:t>
      </w:r>
      <w:r w:rsidRPr="007B2324">
        <w:rPr>
          <w:sz w:val="24"/>
          <w:szCs w:val="24"/>
          <w:lang w:val="pt-BR"/>
        </w:rPr>
        <w:t xml:space="preserve"> 2018. godine,</w:t>
      </w:r>
    </w:p>
    <w:p w:rsidRDefault="007B2324" w:rsidP="007B2324" w:rsidR="007B2324" w:rsidRPr="007B2324">
      <w:pPr>
        <w:ind w:firstLine="720"/>
        <w:jc w:val="both"/>
        <w:rPr>
          <w:sz w:val="24"/>
          <w:szCs w:val="24"/>
        </w:rPr>
      </w:pPr>
    </w:p>
    <w:p w:rsidRDefault="007B2324" w:rsidP="007B2324" w:rsidR="007B2324" w:rsidRPr="007B2324">
      <w:pPr>
        <w:ind w:firstLine="720" w:left="2880"/>
        <w:jc w:val="both"/>
        <w:rPr>
          <w:sz w:val="24"/>
          <w:szCs w:val="24"/>
          <w:lang w:val="hr-HR"/>
        </w:rPr>
      </w:pPr>
      <w:r w:rsidRPr="007B2324">
        <w:rPr>
          <w:sz w:val="24"/>
          <w:szCs w:val="24"/>
          <w:lang w:val="hr-HR"/>
        </w:rPr>
        <w:t xml:space="preserve">r i j e š i o  j e </w:t>
      </w:r>
    </w:p>
    <w:p w:rsidRDefault="007B2324" w:rsidP="007B2324" w:rsidR="007B2324" w:rsidRPr="007B2324">
      <w:pPr>
        <w:jc w:val="both"/>
        <w:rPr>
          <w:sz w:val="24"/>
          <w:szCs w:val="24"/>
          <w:lang w:val="hr-HR"/>
        </w:rPr>
      </w:pPr>
    </w:p>
    <w:p w:rsidRDefault="007B2324" w:rsidP="007B2324" w:rsidR="007B2324">
      <w:pPr>
        <w:ind w:firstLine="720"/>
        <w:jc w:val="both"/>
        <w:rPr>
          <w:sz w:val="24"/>
          <w:szCs w:val="24"/>
          <w:lang w:eastAsia="en-US"/>
        </w:rPr>
      </w:pPr>
      <w:r w:rsidRPr="007B2324">
        <w:rPr>
          <w:b/>
          <w:sz w:val="24"/>
          <w:szCs w:val="24"/>
          <w:lang w:val="hr-HR"/>
        </w:rPr>
        <w:t xml:space="preserve">I. Obustavlja se i zaključuje </w:t>
      </w:r>
      <w:r w:rsidRPr="007B2324">
        <w:rPr>
          <w:sz w:val="24"/>
          <w:szCs w:val="24"/>
          <w:lang w:val="hr-HR"/>
        </w:rPr>
        <w:t xml:space="preserve">stečajni postupak nad dužnikom </w:t>
      </w:r>
      <w:r w:rsidR="001D0FAA" w:rsidRPr="007B2324">
        <w:rPr>
          <w:sz w:val="24"/>
          <w:szCs w:val="24"/>
          <w:lang w:eastAsia="en-US"/>
        </w:rPr>
        <w:t>SAN</w:t>
      </w:r>
      <w:r w:rsidR="001D0FAA">
        <w:rPr>
          <w:sz w:val="24"/>
          <w:szCs w:val="24"/>
          <w:lang w:eastAsia="en-US"/>
        </w:rPr>
        <w:t xml:space="preserve">SINO d.o.o. u stečaju, Zagreb, </w:t>
      </w:r>
      <w:r w:rsidR="001D0FAA" w:rsidRPr="007B2324">
        <w:rPr>
          <w:sz w:val="24"/>
          <w:szCs w:val="24"/>
          <w:lang w:eastAsia="en-US"/>
        </w:rPr>
        <w:t>Z</w:t>
      </w:r>
      <w:r w:rsidR="001D0FAA">
        <w:rPr>
          <w:sz w:val="24"/>
          <w:szCs w:val="24"/>
          <w:lang w:eastAsia="en-US"/>
        </w:rPr>
        <w:t xml:space="preserve">vonimirova 60, MBS: 080270001, </w:t>
      </w:r>
      <w:r w:rsidR="001D0FAA" w:rsidRPr="007B2324">
        <w:rPr>
          <w:sz w:val="24"/>
          <w:szCs w:val="24"/>
          <w:lang w:eastAsia="en-US"/>
        </w:rPr>
        <w:t>OIB:23031472784</w:t>
      </w:r>
      <w:r w:rsidR="001D0FAA">
        <w:rPr>
          <w:sz w:val="24"/>
          <w:szCs w:val="24"/>
          <w:lang w:eastAsia="en-US"/>
        </w:rPr>
        <w:t>.</w:t>
      </w:r>
    </w:p>
    <w:p w:rsidRDefault="001D0FAA" w:rsidP="001D0FAA" w:rsidR="001D0FAA">
      <w:pPr>
        <w:ind w:firstLine="708"/>
        <w:jc w:val="both"/>
        <w:rPr>
          <w:sz w:val="24"/>
          <w:szCs w:val="24"/>
          <w:lang w:val="hr-HR"/>
        </w:rPr>
      </w:pPr>
    </w:p>
    <w:p w:rsidRDefault="007B2324" w:rsidP="001D0FAA" w:rsidR="007B2324" w:rsidRPr="007B2324">
      <w:pPr>
        <w:ind w:firstLine="708"/>
        <w:jc w:val="both"/>
        <w:rPr>
          <w:sz w:val="24"/>
          <w:szCs w:val="24"/>
          <w:lang w:val="hr-HR"/>
        </w:rPr>
      </w:pPr>
      <w:r w:rsidRPr="007B2324">
        <w:rPr>
          <w:sz w:val="24"/>
          <w:szCs w:val="24"/>
          <w:lang w:val="hr-HR"/>
        </w:rPr>
        <w:t>II. Ovo rješenje objaviti će se na mrežnim stranicama E oglasna ploča i nakon pravomoćnosti dostaviti registru ovog suda radi brisanja dužnika iz istog.</w:t>
      </w:r>
    </w:p>
    <w:p w:rsidRDefault="007B2324" w:rsidP="007B2324" w:rsidR="007B2324" w:rsidRPr="007B2324">
      <w:pPr>
        <w:ind w:firstLine="720"/>
        <w:jc w:val="center"/>
        <w:rPr>
          <w:sz w:val="24"/>
          <w:szCs w:val="24"/>
          <w:lang w:val="hr-HR"/>
        </w:rPr>
      </w:pPr>
    </w:p>
    <w:p w:rsidRDefault="007B2324" w:rsidP="007B2324" w:rsidR="007B2324" w:rsidRPr="007B2324">
      <w:pPr>
        <w:ind w:firstLine="720"/>
        <w:jc w:val="center"/>
        <w:rPr>
          <w:sz w:val="24"/>
          <w:szCs w:val="24"/>
          <w:lang w:val="hr-HR"/>
        </w:rPr>
      </w:pPr>
      <w:r w:rsidRPr="007B2324">
        <w:rPr>
          <w:sz w:val="24"/>
          <w:szCs w:val="24"/>
          <w:lang w:val="hr-HR"/>
        </w:rPr>
        <w:t>O b r a z l o ž e nj e</w:t>
      </w:r>
    </w:p>
    <w:p w:rsidRDefault="007B2324" w:rsidP="007B2324" w:rsidR="007B2324" w:rsidRPr="007B2324">
      <w:pPr>
        <w:jc w:val="both"/>
        <w:rPr>
          <w:sz w:val="24"/>
          <w:szCs w:val="24"/>
          <w:lang w:val="hr-HR"/>
        </w:rPr>
      </w:pPr>
    </w:p>
    <w:p w:rsidRDefault="007B2324" w:rsidP="007B2324" w:rsidR="007B2324" w:rsidRPr="007B2324">
      <w:pPr>
        <w:jc w:val="both"/>
        <w:rPr>
          <w:sz w:val="24"/>
          <w:szCs w:val="24"/>
        </w:rPr>
      </w:pPr>
      <w:r w:rsidRPr="007B2324">
        <w:rPr>
          <w:sz w:val="24"/>
          <w:szCs w:val="24"/>
          <w:lang w:val="hr-HR"/>
        </w:rPr>
        <w:tab/>
      </w:r>
      <w:r w:rsidRPr="007B2324">
        <w:rPr>
          <w:sz w:val="24"/>
          <w:szCs w:val="24"/>
        </w:rPr>
        <w:t>U stečajnom postupku nad gore navedenim stečajnim dužnikom, stečajni upravitelj podnio je prijedlog za obustavu i zaključenje stečajnog postupka u smislu čl. 293. Stečajnog zakona (“Narodne novine” broj 71/15; dalje: SZ), jer stečajna masa nije dostatna za pokriće troškova u stečajnom postupku.</w:t>
      </w:r>
    </w:p>
    <w:p w:rsidRDefault="007B2324" w:rsidP="007B2324" w:rsidR="007B2324" w:rsidRPr="007B2324">
      <w:pPr>
        <w:jc w:val="both"/>
        <w:rPr>
          <w:sz w:val="24"/>
          <w:szCs w:val="24"/>
        </w:rPr>
      </w:pPr>
    </w:p>
    <w:p w:rsidRDefault="007B2324" w:rsidP="007B2324" w:rsidR="007B2324" w:rsidRPr="007B2324">
      <w:pPr>
        <w:jc w:val="both"/>
        <w:rPr>
          <w:sz w:val="24"/>
          <w:szCs w:val="24"/>
        </w:rPr>
      </w:pPr>
      <w:r w:rsidRPr="007B2324">
        <w:rPr>
          <w:sz w:val="24"/>
          <w:szCs w:val="24"/>
        </w:rPr>
        <w:tab/>
      </w:r>
      <w:r w:rsidRPr="007B2324">
        <w:rPr>
          <w:sz w:val="24"/>
          <w:szCs w:val="24"/>
          <w:lang w:val="hr-HR"/>
        </w:rPr>
        <w:t xml:space="preserve">Na skupštini vjerovnika održanoj </w:t>
      </w:r>
      <w:r w:rsidR="007E373F">
        <w:rPr>
          <w:sz w:val="24"/>
          <w:szCs w:val="24"/>
          <w:lang w:val="hr-HR"/>
        </w:rPr>
        <w:t>2</w:t>
      </w:r>
      <w:r w:rsidRPr="007B2324">
        <w:rPr>
          <w:sz w:val="24"/>
          <w:szCs w:val="24"/>
          <w:lang w:val="hr-HR"/>
        </w:rPr>
        <w:t>.</w:t>
      </w:r>
      <w:r w:rsidR="007E373F">
        <w:rPr>
          <w:sz w:val="24"/>
          <w:szCs w:val="24"/>
          <w:lang w:val="hr-HR"/>
        </w:rPr>
        <w:t xml:space="preserve"> listopada</w:t>
      </w:r>
      <w:r w:rsidRPr="007B2324">
        <w:rPr>
          <w:sz w:val="24"/>
          <w:szCs w:val="24"/>
          <w:lang w:val="hr-HR"/>
        </w:rPr>
        <w:t xml:space="preserve"> 2018. nazočni vjerovnici prihvatili su izvješće stečajnog upravitelja, koje je bilo objavljeno na E oglasnoj ploči, kao i sve poduzete radnje u ovom postupku.</w:t>
      </w:r>
    </w:p>
    <w:p w:rsidRDefault="007B2324" w:rsidP="007B2324" w:rsidR="007B2324" w:rsidRPr="007B2324">
      <w:pPr>
        <w:jc w:val="both"/>
        <w:rPr>
          <w:sz w:val="24"/>
          <w:szCs w:val="24"/>
          <w:lang w:val="hr-HR"/>
        </w:rPr>
      </w:pPr>
    </w:p>
    <w:p w:rsidRDefault="007B2324" w:rsidP="007E373F" w:rsidR="007B2324" w:rsidRPr="007B2324">
      <w:pPr>
        <w:jc w:val="both"/>
        <w:rPr>
          <w:sz w:val="24"/>
          <w:szCs w:val="24"/>
          <w:lang w:val="hr-HR"/>
        </w:rPr>
      </w:pPr>
      <w:r w:rsidRPr="007B2324">
        <w:rPr>
          <w:sz w:val="24"/>
          <w:szCs w:val="24"/>
          <w:lang w:val="hr-HR"/>
        </w:rPr>
        <w:tab/>
        <w:t xml:space="preserve">U sklopu svojeg izvješća i na skupštini vjerovnika održanoj </w:t>
      </w:r>
      <w:r w:rsidR="007E373F">
        <w:rPr>
          <w:sz w:val="24"/>
          <w:szCs w:val="24"/>
          <w:lang w:val="hr-HR"/>
        </w:rPr>
        <w:t>2</w:t>
      </w:r>
      <w:r w:rsidRPr="007B2324">
        <w:rPr>
          <w:sz w:val="24"/>
          <w:szCs w:val="24"/>
          <w:lang w:val="hr-HR"/>
        </w:rPr>
        <w:t>.</w:t>
      </w:r>
      <w:r w:rsidR="007E373F">
        <w:rPr>
          <w:sz w:val="24"/>
          <w:szCs w:val="24"/>
          <w:lang w:val="hr-HR"/>
        </w:rPr>
        <w:t xml:space="preserve"> listopad</w:t>
      </w:r>
      <w:r w:rsidRPr="007B2324">
        <w:rPr>
          <w:sz w:val="24"/>
          <w:szCs w:val="24"/>
          <w:lang w:val="hr-HR"/>
        </w:rPr>
        <w:t xml:space="preserve">a 2018. godine stečajni upravitelj je naveo kako je u </w:t>
      </w:r>
      <w:r w:rsidR="0086569E">
        <w:rPr>
          <w:sz w:val="24"/>
          <w:szCs w:val="24"/>
          <w:lang w:val="hr-HR"/>
        </w:rPr>
        <w:t>dosadašnjem tijeku stečajnog postupka prihodovano 0,00 kn. Nastavno je upravitelj naveo kako je stečajni postupak otvoren radi činjenice što je stečajni du</w:t>
      </w:r>
      <w:r w:rsidR="00D91E47">
        <w:rPr>
          <w:sz w:val="24"/>
          <w:szCs w:val="24"/>
          <w:lang w:val="hr-HR"/>
        </w:rPr>
        <w:t>žnik bio u zemljišn</w:t>
      </w:r>
      <w:r w:rsidR="0086569E">
        <w:rPr>
          <w:sz w:val="24"/>
          <w:szCs w:val="24"/>
          <w:lang w:val="hr-HR"/>
        </w:rPr>
        <w:t xml:space="preserve">im knjigama evidentiran kao vlasnik </w:t>
      </w:r>
      <w:r w:rsidR="00D91E47">
        <w:rPr>
          <w:sz w:val="24"/>
          <w:szCs w:val="24"/>
          <w:lang w:val="hr-HR"/>
        </w:rPr>
        <w:t>nekretnine. Međutim, nekretnina je prije otvaranja postupka prodana, novi vlasnik se nije upisao u zemljišnim knjigama, a isto je učinio tek tijekom samog stečajnog postupka temeljem tabularne isprave koju je dao stečajni uprav. u skladu s poslovnom dokumentacijom stečajnog dužnika. Slijedom navedenog nakon što je otvoren stečajni postupak, imovine koja bi se unovčavala, više nema. Stoga je stečajni upravitelj predložio zaključiti stečajni postupak obzirom da stečajna masa nije dostatna za pokriće troškova stečajnog postupka odsnosno stečajne mase uopće i nema.</w:t>
      </w: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r w:rsidRPr="007B2324">
        <w:rPr>
          <w:sz w:val="24"/>
          <w:szCs w:val="24"/>
          <w:lang w:val="hr-HR"/>
        </w:rPr>
        <w:t>Nakon što je stečajni upravitelj prezentirao svoje izvješće skupštini na isto nije bilo primjedbi.</w:t>
      </w:r>
    </w:p>
    <w:p w:rsidRDefault="007B2324" w:rsidP="007B2324" w:rsidR="007B2324" w:rsidRPr="007B2324">
      <w:pPr>
        <w:jc w:val="both"/>
        <w:rPr>
          <w:sz w:val="24"/>
          <w:szCs w:val="24"/>
          <w:lang w:val="hr-HR"/>
        </w:rPr>
      </w:pPr>
    </w:p>
    <w:p w:rsidRDefault="007B2324" w:rsidP="007B2324" w:rsidR="007B2324" w:rsidRPr="007B2324">
      <w:pPr>
        <w:tabs>
          <w:tab w:pos="7230" w:val="left"/>
          <w:tab w:pos="7938" w:val="left"/>
        </w:tabs>
        <w:ind w:right="46"/>
        <w:jc w:val="both"/>
        <w:rPr>
          <w:sz w:val="24"/>
          <w:szCs w:val="24"/>
          <w:lang w:val="hr-HR"/>
        </w:rPr>
      </w:pPr>
      <w:r w:rsidRPr="007B2324">
        <w:rPr>
          <w:sz w:val="24"/>
          <w:szCs w:val="24"/>
          <w:lang w:val="hr-HR"/>
        </w:rPr>
        <w:lastRenderedPageBreak/>
        <w:t xml:space="preserve">Na navedenoj skupštini vjerovnika pribavljena su mišljenja (očitovanja) nazočnih vjerovnika u pogledu prijedloga stečajnog upravitelja te su vjerovnici bili suglasni s prijedlogom stečajnog upravitelja da se nad dužnikom obustavi i zaključi stečajni postupak pozivom na odredbe čl. 293. SZ-a. </w:t>
      </w:r>
    </w:p>
    <w:p w:rsidRDefault="007B2324" w:rsidP="007B2324" w:rsidR="007B2324" w:rsidRPr="007B2324">
      <w:pPr>
        <w:tabs>
          <w:tab w:pos="7230" w:val="left"/>
          <w:tab w:pos="7938" w:val="left"/>
        </w:tabs>
        <w:ind w:right="46"/>
        <w:jc w:val="both"/>
        <w:rPr>
          <w:sz w:val="24"/>
          <w:szCs w:val="24"/>
          <w:lang w:val="hr-HR"/>
        </w:rPr>
      </w:pPr>
      <w:r w:rsidRPr="007B2324">
        <w:rPr>
          <w:sz w:val="24"/>
          <w:szCs w:val="24"/>
          <w:lang w:val="hr-HR"/>
        </w:rPr>
        <w:tab/>
      </w:r>
      <w:r w:rsidRPr="007B2324">
        <w:rPr>
          <w:sz w:val="24"/>
          <w:szCs w:val="24"/>
          <w:lang w:val="hr-HR"/>
        </w:rPr>
        <w:tab/>
      </w:r>
      <w:r w:rsidRPr="007B2324">
        <w:rPr>
          <w:sz w:val="24"/>
          <w:szCs w:val="24"/>
          <w:lang w:val="hr-HR"/>
        </w:rPr>
        <w:tab/>
      </w:r>
    </w:p>
    <w:p w:rsidRDefault="007B2324" w:rsidP="007B2324" w:rsidR="007B2324" w:rsidRPr="007B2324">
      <w:pPr>
        <w:ind w:right="46"/>
        <w:jc w:val="both"/>
        <w:rPr>
          <w:sz w:val="24"/>
          <w:szCs w:val="24"/>
          <w:lang w:val="hr-HR"/>
        </w:rPr>
      </w:pPr>
      <w:r w:rsidRPr="007B2324">
        <w:rPr>
          <w:sz w:val="24"/>
          <w:szCs w:val="24"/>
          <w:lang w:val="hr-HR"/>
        </w:rPr>
        <w:t>Uz nazočne vjerovnike i stečajni upravitelj je dao svoju suglasnost (očitovanje) da se nad stečajnim dužnikom pozivom na odredbe čl. 293. SZ-a obustavi i zaključi stečajni postupak, jer stečajna masa nije dostatna ni za pokriće troškova stečajnog postupka.</w:t>
      </w:r>
    </w:p>
    <w:p w:rsidRDefault="007B2324" w:rsidP="007B2324" w:rsidR="007B2324" w:rsidRPr="007B2324">
      <w:pPr>
        <w:ind w:firstLine="720" w:right="46"/>
        <w:jc w:val="both"/>
        <w:rPr>
          <w:sz w:val="24"/>
          <w:szCs w:val="24"/>
          <w:lang w:val="hr-HR"/>
        </w:rPr>
      </w:pPr>
    </w:p>
    <w:p w:rsidRDefault="007B2324" w:rsidP="007B2324" w:rsidR="007B2324" w:rsidRPr="007B2324">
      <w:pPr>
        <w:ind w:right="46"/>
        <w:jc w:val="both"/>
        <w:rPr>
          <w:sz w:val="24"/>
          <w:szCs w:val="24"/>
          <w:lang w:val="hr-HR"/>
        </w:rPr>
      </w:pPr>
      <w:r w:rsidRPr="007B2324">
        <w:rPr>
          <w:sz w:val="24"/>
          <w:szCs w:val="24"/>
          <w:lang w:val="hr-HR"/>
        </w:rPr>
        <w:t>Nakon pribavljenih mišljenja, očitovanja, nazočnih vjerovnika i stečajnog upravitelja te pošto se nitko od pozvanih vjerovnika i vjerovnika stečajne mase nije protivio obustavi i zaključenju stečajnog postupka, a daljnjom bi se provedbom stečaja stvarali samo novi troškovi, stečajni je sudac po službenoj dužnosti, pozivom na odredbe čl. 293. st. 1. Stečajnog zakona donio rješenje o obustavi i zaključenju stečajnog postupka, jer stečajna masa nije dostatna ni za namirenje troškova stečajnog postupka.</w:t>
      </w:r>
    </w:p>
    <w:p w:rsidRDefault="007B2324" w:rsidP="007B2324" w:rsidR="007B2324" w:rsidRPr="007B2324">
      <w:pPr>
        <w:ind w:firstLine="720" w:right="46"/>
        <w:jc w:val="both"/>
        <w:rPr>
          <w:sz w:val="24"/>
          <w:szCs w:val="24"/>
          <w:lang w:val="hr-HR"/>
        </w:rPr>
      </w:pPr>
    </w:p>
    <w:p w:rsidRDefault="007B2324" w:rsidP="007B2324" w:rsidR="007B2324" w:rsidRPr="007B2324">
      <w:pPr>
        <w:ind w:right="46"/>
        <w:jc w:val="both"/>
        <w:rPr>
          <w:sz w:val="24"/>
          <w:szCs w:val="24"/>
          <w:lang w:val="hr-HR"/>
        </w:rPr>
      </w:pPr>
      <w:r w:rsidRPr="007B2324">
        <w:rPr>
          <w:sz w:val="24"/>
          <w:szCs w:val="24"/>
          <w:lang w:val="hr-HR"/>
        </w:rPr>
        <w:t>Stečajni upravitelj i nakon  zaključenja stečajnoga postupka dužan je zastupati stečajnu masu u skladu s odredbama Stečajnog zakona, kako je to određeno člankom 89. st. 1. Stečajnog zakona.</w:t>
      </w:r>
    </w:p>
    <w:p w:rsidRDefault="007B2324" w:rsidP="007B2324" w:rsidR="007B2324" w:rsidRPr="007B2324">
      <w:pPr>
        <w:ind w:firstLine="720" w:right="46"/>
        <w:jc w:val="both"/>
        <w:rPr>
          <w:sz w:val="24"/>
          <w:szCs w:val="24"/>
          <w:lang w:val="hr-HR"/>
        </w:rPr>
      </w:pPr>
    </w:p>
    <w:p w:rsidRDefault="007B2324" w:rsidP="007B2324" w:rsidR="007B2324" w:rsidRPr="007B2324">
      <w:pPr>
        <w:ind w:right="46"/>
        <w:jc w:val="both"/>
        <w:rPr>
          <w:sz w:val="24"/>
          <w:szCs w:val="24"/>
          <w:lang w:val="hr-HR"/>
        </w:rPr>
      </w:pPr>
      <w:r w:rsidRPr="007B2324">
        <w:rPr>
          <w:sz w:val="24"/>
          <w:szCs w:val="24"/>
          <w:lang w:val="hr-HR"/>
        </w:rPr>
        <w:t>Slijedom navedenoga odlučeno je kao u izreci.</w:t>
      </w:r>
    </w:p>
    <w:p w:rsidRDefault="007B2324" w:rsidP="007B2324" w:rsidR="007B2324" w:rsidRPr="007B2324">
      <w:pPr>
        <w:jc w:val="both"/>
        <w:rPr>
          <w:b/>
          <w:sz w:val="24"/>
          <w:szCs w:val="24"/>
          <w:lang w:val="hr-HR"/>
        </w:rPr>
      </w:pPr>
    </w:p>
    <w:p w:rsidRDefault="007B2324" w:rsidP="007B2324" w:rsidR="007B2324" w:rsidRPr="007B2324">
      <w:pPr>
        <w:jc w:val="both"/>
        <w:rPr>
          <w:sz w:val="24"/>
          <w:szCs w:val="24"/>
          <w:lang w:val="hr-HR"/>
        </w:rPr>
      </w:pPr>
      <w:r w:rsidRPr="007B2324">
        <w:rPr>
          <w:b/>
          <w:sz w:val="24"/>
          <w:szCs w:val="24"/>
          <w:lang w:val="hr-HR"/>
        </w:rPr>
        <w:tab/>
      </w:r>
      <w:r w:rsidRPr="007B2324">
        <w:rPr>
          <w:b/>
          <w:sz w:val="24"/>
          <w:szCs w:val="24"/>
          <w:lang w:val="hr-HR"/>
        </w:rPr>
        <w:tab/>
      </w:r>
      <w:r w:rsidRPr="007B2324">
        <w:rPr>
          <w:b/>
          <w:sz w:val="24"/>
          <w:szCs w:val="24"/>
          <w:lang w:val="hr-HR"/>
        </w:rPr>
        <w:tab/>
      </w:r>
      <w:r w:rsidRPr="007B2324">
        <w:rPr>
          <w:b/>
          <w:sz w:val="24"/>
          <w:szCs w:val="24"/>
          <w:lang w:val="hr-HR"/>
        </w:rPr>
        <w:tab/>
      </w:r>
      <w:r w:rsidRPr="007B2324">
        <w:rPr>
          <w:sz w:val="24"/>
          <w:szCs w:val="24"/>
          <w:lang w:val="hr-HR"/>
        </w:rPr>
        <w:t xml:space="preserve">U Zagrebu, </w:t>
      </w:r>
      <w:r w:rsidR="00D609DF">
        <w:rPr>
          <w:sz w:val="24"/>
          <w:szCs w:val="24"/>
          <w:lang w:val="hr-HR"/>
        </w:rPr>
        <w:t>18</w:t>
      </w:r>
      <w:r w:rsidRPr="007B2324">
        <w:rPr>
          <w:sz w:val="24"/>
          <w:szCs w:val="24"/>
          <w:lang w:val="hr-HR"/>
        </w:rPr>
        <w:t xml:space="preserve">. prosinca 2018. </w:t>
      </w:r>
    </w:p>
    <w:p w:rsidRDefault="007B2324" w:rsidP="007B2324" w:rsidR="007B2324" w:rsidRPr="007B2324">
      <w:pPr>
        <w:pStyle w:val="Podnaslov"/>
        <w:ind w:firstLine="708" w:left="4956"/>
        <w:rPr>
          <w:rFonts w:hAnsi="Times New Roman" w:ascii="Times New Roman"/>
          <w:b w:val="false"/>
          <w:color w:val="auto"/>
          <w:szCs w:val="24"/>
        </w:rPr>
      </w:pPr>
      <w:r w:rsidRPr="007B2324">
        <w:rPr>
          <w:rFonts w:hAnsi="Times New Roman" w:ascii="Times New Roman"/>
          <w:szCs w:val="24"/>
        </w:rPr>
        <w:tab/>
      </w:r>
      <w:r w:rsidRPr="007B2324">
        <w:rPr>
          <w:rFonts w:hAnsi="Times New Roman" w:ascii="Times New Roman"/>
          <w:szCs w:val="24"/>
        </w:rPr>
        <w:tab/>
      </w:r>
      <w:r w:rsidRPr="007B2324">
        <w:rPr>
          <w:rFonts w:hAnsi="Times New Roman" w:ascii="Times New Roman"/>
          <w:szCs w:val="24"/>
        </w:rPr>
        <w:tab/>
      </w:r>
      <w:r w:rsidRPr="007B2324">
        <w:rPr>
          <w:rFonts w:hAnsi="Times New Roman" w:ascii="Times New Roman"/>
          <w:szCs w:val="24"/>
        </w:rPr>
        <w:tab/>
        <w:t xml:space="preserve"> </w:t>
      </w:r>
      <w:r w:rsidRPr="007B2324">
        <w:rPr>
          <w:rFonts w:hAnsi="Times New Roman" w:ascii="Times New Roman"/>
          <w:szCs w:val="24"/>
        </w:rPr>
        <w:tab/>
      </w:r>
      <w:r w:rsidRPr="007B2324">
        <w:rPr>
          <w:rFonts w:hAnsi="Times New Roman" w:ascii="Times New Roman"/>
          <w:szCs w:val="24"/>
        </w:rPr>
        <w:tab/>
      </w:r>
      <w:r w:rsidR="00A86E86">
        <w:rPr>
          <w:rFonts w:hAnsi="Times New Roman" w:ascii="Times New Roman"/>
          <w:szCs w:val="24"/>
        </w:rPr>
        <w:t xml:space="preserve">       </w:t>
      </w:r>
      <w:r w:rsidRPr="007B2324">
        <w:rPr>
          <w:rFonts w:hAnsi="Times New Roman" w:ascii="Times New Roman"/>
          <w:b w:val="false"/>
          <w:color w:val="auto"/>
          <w:szCs w:val="24"/>
        </w:rPr>
        <w:t>Stečajni sudac:</w:t>
      </w:r>
    </w:p>
    <w:p w:rsidRDefault="00A86E86" w:rsidP="00A86E86" w:rsidR="007B2324">
      <w:pPr>
        <w:pStyle w:val="Podnaslov"/>
        <w:ind w:left="6372"/>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A86E86" w:rsidP="00A86E86" w:rsidR="00A86E86">
      <w:pPr>
        <w:pStyle w:val="Podnaslov"/>
        <w:ind w:left="6372"/>
        <w:rPr>
          <w:rFonts w:hAnsi="Times New Roman" w:ascii="Times New Roman"/>
          <w:b w:val="false"/>
          <w:color w:val="auto"/>
          <w:szCs w:val="24"/>
        </w:rPr>
      </w:pPr>
    </w:p>
    <w:p w:rsidRDefault="00A86E86" w:rsidP="00A86E86" w:rsidR="00A86E86">
      <w:pPr>
        <w:pStyle w:val="Podnaslov"/>
        <w:ind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86E86" w:rsidP="00A86E86" w:rsidR="00A86E86" w:rsidRPr="007B2324">
      <w:pPr>
        <w:pStyle w:val="Podnaslov"/>
        <w:ind w:left="6372"/>
        <w:rPr>
          <w:rFonts w:hAnsi="Times New Roman" w:ascii="Times New Roman"/>
          <w:b w:val="false"/>
          <w:color w:val="auto"/>
          <w:szCs w:val="24"/>
        </w:rPr>
      </w:pPr>
      <w:r>
        <w:rPr>
          <w:rFonts w:hAnsi="Times New Roman" w:ascii="Times New Roman"/>
          <w:b w:val="false"/>
          <w:color w:val="auto"/>
          <w:szCs w:val="24"/>
        </w:rPr>
        <w:t xml:space="preserve">       Maja Hajtek</w:t>
      </w: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p>
    <w:p w:rsidRDefault="007B2324" w:rsidP="007B2324" w:rsidR="007B2324" w:rsidRPr="007B2324">
      <w:pPr>
        <w:jc w:val="both"/>
        <w:rPr>
          <w:sz w:val="24"/>
          <w:szCs w:val="24"/>
          <w:lang w:val="hr-HR"/>
        </w:rPr>
      </w:pPr>
      <w:r w:rsidRPr="007B2324">
        <w:rPr>
          <w:sz w:val="24"/>
          <w:szCs w:val="24"/>
          <w:lang w:val="hr-HR"/>
        </w:rPr>
        <w:t>POUKA O PRAVNOM LIJEKU:</w:t>
      </w:r>
    </w:p>
    <w:p w:rsidRDefault="007B2324" w:rsidP="007B2324" w:rsidR="007B2324" w:rsidRPr="007B2324">
      <w:pPr>
        <w:jc w:val="both"/>
        <w:rPr>
          <w:sz w:val="24"/>
          <w:szCs w:val="24"/>
          <w:lang w:val="hr-HR"/>
        </w:rPr>
      </w:pPr>
      <w:r w:rsidRPr="007B2324">
        <w:rPr>
          <w:sz w:val="24"/>
          <w:szCs w:val="24"/>
          <w:lang w:val="hr-HR"/>
        </w:rPr>
        <w:t>Protiv ovog rješenja nezadovoljna stranka može uložiti žalbu Visokom trgovačkom sudu Republike Hrvatske u roku 8 dana po dostavi rješenja, a ulaže se putem ovog Suda u 2 primjerka za Sud i po 1 za svaku protivnu stranku.</w:t>
      </w:r>
      <w:r w:rsidRPr="007B2324">
        <w:rPr>
          <w:sz w:val="24"/>
          <w:szCs w:val="24"/>
        </w:rPr>
        <w:t xml:space="preserve"> </w:t>
      </w:r>
      <w:r w:rsidRPr="007B2324">
        <w:rPr>
          <w:sz w:val="24"/>
          <w:szCs w:val="24"/>
          <w:lang w:val="hr-HR"/>
        </w:rPr>
        <w:t>Dostava se smatra obavljenom istekom osmoga dana od dana objave pismena na mrežnoj stranici e-Oglasna ploča sudova.</w:t>
      </w:r>
    </w:p>
    <w:p w:rsidRDefault="007B2324" w:rsidP="007B2324" w:rsidR="007B2324" w:rsidRPr="007B2324">
      <w:pPr>
        <w:jc w:val="both"/>
        <w:rPr>
          <w:sz w:val="24"/>
          <w:szCs w:val="24"/>
          <w:lang w:val="hr-HR"/>
        </w:rPr>
      </w:pPr>
      <w:r w:rsidRPr="007B2324">
        <w:rPr>
          <w:sz w:val="24"/>
          <w:szCs w:val="24"/>
          <w:lang w:val="hr-HR"/>
        </w:rPr>
        <w:tab/>
      </w:r>
    </w:p>
    <w:p w:rsidRDefault="00DD5D87" w:rsidR="00DD5D87" w:rsidRPr="007B2324">
      <w:pPr>
        <w:rPr>
          <w:sz w:val="24"/>
          <w:szCs w:val="24"/>
        </w:rPr>
      </w:pPr>
    </w:p>
    <w:sectPr w:rsidSect="0003196B" w:rsidR="00DD5D87" w:rsidRPr="007B2324">
      <w:headerReference w:type="default" r:id="rId10"/>
      <w:footerReference w:type="default" r:id="rId11"/>
      <w:headerReference w:type="first" r:id="rId12"/>
      <w:pgSz w:code="9" w:h="16840" w:w="11907"/>
      <w:pgMar w:gutter="0" w:footer="720" w:header="720" w:left="1797" w:bottom="1276" w:right="1417" w:top="1417"/>
      <w:cols w:space="720"/>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2324" w:rsidP="007B2324" w:rsidR="007B2324">
      <w:r>
        <w:separator/>
      </w:r>
    </w:p>
  </w:endnote>
  <w:endnote w:id="0" w:type="continuationSeparator">
    <w:p w:rsidRDefault="007B2324" w:rsidP="007B2324" w:rsidR="007B23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D2C45">
      <w:rPr>
        <w:rStyle w:val="Brojstranice"/>
        <w:noProof/>
      </w:rPr>
      <w:t>1</w:t>
    </w:r>
    <w:r>
      <w:rPr>
        <w:rStyle w:val="Brojstranice"/>
      </w:rPr>
      <w:fldChar w:fldCharType="end"/>
    </w:r>
  </w:p>
  <w:p w:rsidRDefault="00AD2C45"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2324" w:rsidP="007B2324" w:rsidR="007B2324">
      <w:r>
        <w:separator/>
      </w:r>
    </w:p>
  </w:footnote>
  <w:footnote w:id="0" w:type="continuationSeparator">
    <w:p w:rsidRDefault="007B2324" w:rsidP="007B2324" w:rsidR="007B23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P="0003196B" w:rsidR="00452A25" w:rsidRPr="00C5021C">
    <w:pPr>
      <w:pStyle w:val="Zaglavlje"/>
      <w:jc w:val="both"/>
      <w:rPr>
        <w:sz w:val="24"/>
        <w:szCs w:val="24"/>
      </w:rPr>
    </w:pPr>
    <w:r>
      <w:tab/>
    </w:r>
    <w:r w:rsidRPr="00C5021C">
      <w:rPr>
        <w:sz w:val="24"/>
        <w:szCs w:val="24"/>
      </w:rPr>
      <w:t xml:space="preserve">                                                                                                 72. St-</w:t>
    </w:r>
    <w:r w:rsidR="007B2324">
      <w:rPr>
        <w:sz w:val="24"/>
        <w:szCs w:val="24"/>
      </w:rPr>
      <w:t>6654</w:t>
    </w:r>
    <w:r>
      <w:rPr>
        <w:sz w:val="24"/>
        <w:szCs w:val="24"/>
      </w:rPr>
      <w:t>/201</w:t>
    </w:r>
    <w:r w:rsidR="007B2324">
      <w:rPr>
        <w:sz w:val="24"/>
        <w:szCs w:val="24"/>
      </w:rPr>
      <w:t>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09DF" w:rsidR="00452A25" w:rsidRPr="00C5021C">
    <w:pPr>
      <w:pStyle w:val="Zaglavlje"/>
      <w:rPr>
        <w:sz w:val="24"/>
        <w:szCs w:val="24"/>
      </w:rPr>
    </w:pPr>
    <w:r>
      <w:tab/>
      <w:t xml:space="preserve">                                                                                                       </w:t>
    </w:r>
    <w:r w:rsidRPr="00C5021C">
      <w:rPr>
        <w:sz w:val="24"/>
        <w:szCs w:val="24"/>
      </w:rPr>
      <w:t>72. St-</w:t>
    </w:r>
    <w:r>
      <w:rPr>
        <w:sz w:val="24"/>
        <w:szCs w:val="24"/>
      </w:rPr>
      <w:t>5103/2015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2324"/>
    <w:rsid w:val="001A7E04"/>
    <w:rsid w:val="001D0FAA"/>
    <w:rsid w:val="007B2324"/>
    <w:rsid w:val="007E373F"/>
    <w:rsid w:val="0086569E"/>
    <w:rsid w:val="00A86E86"/>
    <w:rsid w:val="00AD2C45"/>
    <w:rsid w:val="00D609DF"/>
    <w:rsid w:val="00D91E47"/>
    <w:rsid w:val="00DD5D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2324"/>
    <w:pPr>
      <w:overflowPunct w:val="false"/>
      <w:autoSpaceDE w:val="false"/>
      <w:autoSpaceDN w:val="false"/>
      <w:adjustRightInd w:val="false"/>
      <w:textAlignment w:val="baseline"/>
    </w:pPr>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7B2324"/>
    <w:pPr>
      <w:tabs>
        <w:tab w:pos="4536" w:val="center"/>
        <w:tab w:pos="9072" w:val="right"/>
      </w:tabs>
    </w:pPr>
  </w:style>
  <w:style w:customStyle="true" w:styleId="PodnojeChar" w:type="character">
    <w:name w:val="Podnožje Char"/>
    <w:basedOn w:val="Zadanifontodlomka"/>
    <w:link w:val="Podnoje"/>
    <w:rsid w:val="007B2324"/>
    <w:rPr>
      <w:rFonts w:cs="Times New Roman" w:eastAsia="Times New Roman"/>
      <w:sz w:val="20"/>
      <w:szCs w:val="20"/>
      <w:lang w:eastAsia="hr-HR" w:val="en-US"/>
    </w:rPr>
  </w:style>
  <w:style w:styleId="Brojstranice" w:type="character">
    <w:name w:val="page number"/>
    <w:basedOn w:val="Zadanifontodlomka"/>
    <w:rsid w:val="007B2324"/>
  </w:style>
  <w:style w:styleId="Zaglavlje" w:type="paragraph">
    <w:name w:val="header"/>
    <w:basedOn w:val="Normal"/>
    <w:link w:val="ZaglavljeChar"/>
    <w:rsid w:val="007B2324"/>
    <w:pPr>
      <w:tabs>
        <w:tab w:pos="4536" w:val="center"/>
        <w:tab w:pos="9072" w:val="right"/>
      </w:tabs>
    </w:pPr>
  </w:style>
  <w:style w:customStyle="true" w:styleId="ZaglavljeChar" w:type="character">
    <w:name w:val="Zaglavlje Char"/>
    <w:basedOn w:val="Zadanifontodlomka"/>
    <w:link w:val="Zaglavlje"/>
    <w:rsid w:val="007B2324"/>
    <w:rPr>
      <w:rFonts w:cs="Times New Roman" w:eastAsia="Times New Roman"/>
      <w:sz w:val="20"/>
      <w:szCs w:val="20"/>
      <w:lang w:eastAsia="hr-HR" w:val="en-US"/>
    </w:rPr>
  </w:style>
  <w:style w:styleId="Podnaslov" w:type="paragraph">
    <w:name w:val="Subtitle"/>
    <w:basedOn w:val="Normal"/>
    <w:link w:val="PodnaslovChar"/>
    <w:qFormat/>
    <w:rsid w:val="007B2324"/>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7B232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7B23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2324"/>
    <w:rPr>
      <w:rFonts w:cs="Tahoma" w:eastAsia="Times New Roman" w:hAnsi="Tahoma" w:ascii="Tahoma"/>
      <w:sz w:val="16"/>
      <w:szCs w:val="16"/>
      <w:lang w:eastAsia="hr-HR" w:val="en-US"/>
    </w:rPr>
  </w:style>
  <w:style w:styleId="Odlomakpopisa" w:type="paragraph">
    <w:name w:val="List Paragraph"/>
    <w:basedOn w:val="Normal"/>
    <w:uiPriority w:val="34"/>
    <w:qFormat/>
    <w:rsid w:val="001D0FAA"/>
    <w:pPr>
      <w:ind w:left="720"/>
      <w:contextualSpacing/>
    </w:pPr>
  </w:style>
  <w:style w:styleId="Tekstrezerviranogmjesta" w:type="character">
    <w:name w:val="Placeholder Text"/>
    <w:basedOn w:val="Zadanifontodlomka"/>
    <w:uiPriority w:val="99"/>
    <w:semiHidden/>
    <w:rsid w:val="00A86E86"/>
    <w:rPr>
      <w:color w:val="808080"/>
      <w:bdr w:space="0" w:sz="0" w:color="auto" w:val="none"/>
      <w:shd w:fill="auto" w:color="auto" w:val="clear"/>
    </w:rPr>
  </w:style>
  <w:style w:customStyle="true" w:styleId="eSPISCCParagraphDefaultFont" w:type="character">
    <w:name w:val="eSPIS_CC_Paragraph Default Font"/>
    <w:basedOn w:val="Zadanifontodlomka"/>
    <w:rsid w:val="00A86E8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6E8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6E8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6E8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2324"/>
    <w:pPr>
      <w:overflowPunct w:val="0"/>
      <w:autoSpaceDE w:val="0"/>
      <w:autoSpaceDN w:val="0"/>
      <w:adjustRightInd w:val="0"/>
      <w:textAlignment w:val="baseline"/>
    </w:pPr>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7B2324"/>
    <w:pPr>
      <w:tabs>
        <w:tab w:pos="4536" w:val="center"/>
        <w:tab w:pos="9072" w:val="right"/>
      </w:tabs>
    </w:pPr>
  </w:style>
  <w:style w:customStyle="1" w:styleId="PodnojeChar" w:type="character">
    <w:name w:val="Podnožje Char"/>
    <w:basedOn w:val="Zadanifontodlomka"/>
    <w:link w:val="Podnoje"/>
    <w:rsid w:val="007B2324"/>
    <w:rPr>
      <w:rFonts w:cs="Times New Roman" w:eastAsia="Times New Roman"/>
      <w:sz w:val="20"/>
      <w:szCs w:val="20"/>
      <w:lang w:eastAsia="hr-HR" w:val="en-US"/>
    </w:rPr>
  </w:style>
  <w:style w:styleId="Brojstranice" w:type="character">
    <w:name w:val="page number"/>
    <w:basedOn w:val="Zadanifontodlomka"/>
    <w:rsid w:val="007B2324"/>
  </w:style>
  <w:style w:styleId="Zaglavlje" w:type="paragraph">
    <w:name w:val="header"/>
    <w:basedOn w:val="Normal"/>
    <w:link w:val="ZaglavljeChar"/>
    <w:rsid w:val="007B2324"/>
    <w:pPr>
      <w:tabs>
        <w:tab w:pos="4536" w:val="center"/>
        <w:tab w:pos="9072" w:val="right"/>
      </w:tabs>
    </w:pPr>
  </w:style>
  <w:style w:customStyle="1" w:styleId="ZaglavljeChar" w:type="character">
    <w:name w:val="Zaglavlje Char"/>
    <w:basedOn w:val="Zadanifontodlomka"/>
    <w:link w:val="Zaglavlje"/>
    <w:rsid w:val="007B2324"/>
    <w:rPr>
      <w:rFonts w:cs="Times New Roman" w:eastAsia="Times New Roman"/>
      <w:sz w:val="20"/>
      <w:szCs w:val="20"/>
      <w:lang w:eastAsia="hr-HR" w:val="en-US"/>
    </w:rPr>
  </w:style>
  <w:style w:styleId="Podnaslov" w:type="paragraph">
    <w:name w:val="Subtitle"/>
    <w:basedOn w:val="Normal"/>
    <w:link w:val="PodnaslovChar"/>
    <w:qFormat/>
    <w:rsid w:val="007B2324"/>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7B232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7B2324"/>
    <w:rPr>
      <w:rFonts w:ascii="Tahoma" w:cs="Tahoma" w:hAnsi="Tahoma"/>
      <w:sz w:val="16"/>
      <w:szCs w:val="16"/>
    </w:rPr>
  </w:style>
  <w:style w:customStyle="1" w:styleId="TekstbaloniaChar" w:type="character">
    <w:name w:val="Tekst balončića Char"/>
    <w:basedOn w:val="Zadanifontodlomka"/>
    <w:link w:val="Tekstbalonia"/>
    <w:uiPriority w:val="99"/>
    <w:semiHidden/>
    <w:rsid w:val="007B2324"/>
    <w:rPr>
      <w:rFonts w:ascii="Tahoma" w:cs="Tahoma" w:eastAsia="Times New Roman" w:hAnsi="Tahoma"/>
      <w:sz w:val="16"/>
      <w:szCs w:val="16"/>
      <w:lang w:eastAsia="hr-HR" w:val="en-US"/>
    </w:rPr>
  </w:style>
  <w:style w:styleId="Odlomakpopisa" w:type="paragraph">
    <w:name w:val="List Paragraph"/>
    <w:basedOn w:val="Normal"/>
    <w:uiPriority w:val="34"/>
    <w:qFormat/>
    <w:rsid w:val="001D0FAA"/>
    <w:pPr>
      <w:ind w:left="720"/>
      <w:contextualSpacing/>
    </w:pPr>
  </w:style>
  <w:style w:styleId="Tekstrezerviranogmjesta" w:type="character">
    <w:name w:val="Placeholder Text"/>
    <w:basedOn w:val="Zadanifontodlomka"/>
    <w:uiPriority w:val="99"/>
    <w:semiHidden/>
    <w:rsid w:val="00A86E86"/>
    <w:rPr>
      <w:color w:val="808080"/>
      <w:bdr w:color="auto" w:space="0" w:sz="0" w:val="none"/>
      <w:shd w:color="auto" w:fill="auto" w:val="clear"/>
    </w:rPr>
  </w:style>
  <w:style w:customStyle="1" w:styleId="eSPISCCParagraphDefaultFont" w:type="character">
    <w:name w:val="eSPIS_CC_Paragraph Default Font"/>
    <w:basedOn w:val="Zadanifontodlomka"/>
    <w:rsid w:val="00A86E8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6E8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6E8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6E8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30033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6654</izvorni_sadrzaj>
    <derivirana_varijabla naziv="DomainObject.Predmet.Broj_1">6654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St-6654/2016</izvorni_sadrzaj>
    <derivirana_varijabla naziv="DomainObject.Predmet.OznakaBroj_1">St-6654/2016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SANSINO d.o.o.</izvorni_sadrzaj>
    <derivirana_varijabla naziv="DomainObject.Predmet.ProtustrankaFormated_1">  SANSINO d.o.o.</derivirana_varijabla>
  </DomainObject.Predmet.ProtustrankaFormated>
  <DomainObject.Predmet.ProtustrankaFormatedOIB>
    <izvorni_sadrzaj>  SANSINO d.o.o., OIB 23031472784</izvorni_sadrzaj>
    <derivirana_varijabla naziv="DomainObject.Predmet.ProtustrankaFormatedOIB_1">  SANSINO d.o.o., OIB 23031472784</derivirana_varijabla>
  </DomainObject.Predmet.ProtustrankaFormatedOIB>
  <DomainObject.Predmet.ProtustrankaFormatedWithAdress>
    <izvorni_sadrzaj> SANSINO d.o.o., Zvonimirova 60, 10000 Zagreb</izvorni_sadrzaj>
    <derivirana_varijabla naziv="DomainObject.Predmet.ProtustrankaFormatedWithAdress_1"> SANSINO d.o.o., Zvonimirova 60, 10000 Zagreb</derivirana_varijabla>
  </DomainObject.Predmet.ProtustrankaFormatedWithAdress>
  <DomainObject.Predmet.ProtustrankaFormatedWithAdressOIB>
    <izvorni_sadrzaj> SANSINO d.o.o., OIB 23031472784, Zvonimirova 60, 10000 Zagreb</izvorni_sadrzaj>
    <derivirana_varijabla naziv="DomainObject.Predmet.ProtustrankaFormatedWithAdressOIB_1"> SANSINO d.o.o., OIB 23031472784, Zvonimirova 60, 10000 Zagreb</derivirana_varijabla>
  </DomainObject.Predmet.ProtustrankaFormatedWithAdressOIB>
  <DomainObject.Predmet.ProtustrankaWithAdress>
    <izvorni_sadrzaj>SANSINO d.o.o. Zvonimirova 60, 10000 Zagreb</izvorni_sadrzaj>
    <derivirana_varijabla naziv="DomainObject.Predmet.ProtustrankaWithAdress_1">SANSINO d.o.o. Zvonimirova 60, 10000 Zagreb</derivirana_varijabla>
  </DomainObject.Predmet.ProtustrankaWithAdress>
  <DomainObject.Predmet.ProtustrankaWithAdressOIB>
    <izvorni_sadrzaj>SANSINO d.o.o., OIB 23031472784, Zvonimirova 60, 10000 Zagreb</izvorni_sadrzaj>
    <derivirana_varijabla naziv="DomainObject.Predmet.ProtustrankaWithAdressOIB_1">SANSINO d.o.o., OIB 23031472784, Zvonimirova 60, 10000 Zagreb</derivirana_varijabla>
  </DomainObject.Predmet.ProtustrankaWithAdressOIB>
  <DomainObject.Predmet.ProtustrankaNazivFormated>
    <izvorni_sadrzaj>SANSINO d.o.o.</izvorni_sadrzaj>
    <derivirana_varijabla naziv="DomainObject.Predmet.ProtustrankaNazivFormated_1">SANSINO d.o.o.</derivirana_varijabla>
  </DomainObject.Predmet.ProtustrankaNazivFormated>
  <DomainObject.Predmet.ProtustrankaNazivFormatedOIB>
    <izvorni_sadrzaj>SANSINO d.o.o., OIB 23031472784</izvorni_sadrzaj>
    <derivirana_varijabla naziv="DomainObject.Predmet.ProtustrankaNazivFormatedOIB_1">SANSINO d.o.o., OIB 23031472784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SANSINO d.o.o.</item>
    </izvorni_sadrzaj>
    <derivirana_varijabla naziv="DomainObject.Predmet.ProtuStrankaListFormated_1">
      <item>SANSINO d.o.o.</item>
    </derivirana_varijabla>
  </DomainObject.Predmet.ProtuStrankaListFormated>
  <DomainObject.Predmet.ProtuStrankaListFormatedOIB>
    <izvorni_sadrzaj>
      <item>SANSINO d.o.o., OIB 23031472784</item>
    </izvorni_sadrzaj>
    <derivirana_varijabla naziv="DomainObject.Predmet.ProtuStrankaListFormatedOIB_1">
      <item>SANSINO d.o.o., OIB 23031472784</item>
    </derivirana_varijabla>
  </DomainObject.Predmet.ProtuStrankaListFormatedOIB>
  <DomainObject.Predmet.ProtuStrankaListFormatedWithAdress>
    <izvorni_sadrzaj>
      <item>SANSINO d.o.o., Zvonimirova 60, 10000 Zagreb</item>
    </izvorni_sadrzaj>
    <derivirana_varijabla naziv="DomainObject.Predmet.ProtuStrankaListFormatedWithAdress_1">
      <item>SANSINO d.o.o., Zvonimirova 60, 10000 Zagreb</item>
    </derivirana_varijabla>
  </DomainObject.Predmet.ProtuStrankaListFormatedWithAdress>
  <DomainObject.Predmet.ProtuStrankaListFormatedWithAdressOIB>
    <izvorni_sadrzaj>
      <item>SANSINO d.o.o., OIB 23031472784, Zvonimirova 60, 10000 Zagreb</item>
    </izvorni_sadrzaj>
    <derivirana_varijabla naziv="DomainObject.Predmet.ProtuStrankaListFormatedWithAdressOIB_1">
      <item>SANSINO d.o.o., OIB 23031472784, Zvonimirova 60, 10000 Zagreb</item>
    </derivirana_varijabla>
  </DomainObject.Predmet.ProtuStrankaListFormatedWithAdressOIB>
  <DomainObject.Predmet.ProtuStrankaListNazivFormated>
    <izvorni_sadrzaj>
      <item>SANSINO d.o.o.</item>
    </izvorni_sadrzaj>
    <derivirana_varijabla naziv="DomainObject.Predmet.ProtuStrankaListNazivFormated_1">
      <item>SANSINO d.o.o.</item>
    </derivirana_varijabla>
  </DomainObject.Predmet.ProtuStrankaListNazivFormated>
  <DomainObject.Predmet.ProtuStrankaListNazivFormatedOIB>
    <izvorni_sadrzaj>
      <item>SANSINO d.o.o., OIB 23031472784</item>
    </izvorni_sadrzaj>
    <derivirana_varijabla naziv="DomainObject.Predmet.ProtuStrankaListNazivFormatedOIB_1">
      <item>SANSINO d.o.o., OIB 23031472784</item>
    </derivirana_varijabla>
  </DomainObject.Predmet.ProtuStrankaListNazivFormatedOIB>
  <DomainObject.Predmet.OstaliListFormated>
    <izvorni_sadrzaj>
      <item>ŽDO u Zagrebu punomoćnik sudionika u postupku RH MF Porezna uprava Zagreb</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izvorni_sadrzaj>
    <derivirana_varijabla naziv="DomainObject.Predmet.OstaliListFormated_1">
      <item>ŽDO u Zagrebu punomoćnik sudionika u postupku RH MF Porezna uprava Zagreb</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derivirana_varijabla>
  </DomainObject.Predmet.OstaliListFormated>
  <DomainObject.Predmet.OstaliListFormatedOIB>
    <izvorni_sadrzaj>
      <item>ŽDO u Zagrebu, OIB 16488001145 punomoćnik sudionika u postupku RH MF Porezna uprava Zagreb</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tem>RH, DRŽAVNI ZAVOD ZA STATISTIKU, OIB 49337502853</item>
    </izvorni_sadrzaj>
    <derivirana_varijabla naziv="DomainObject.Predmet.OstaliListFormatedOIB_1">
      <item>ŽDO u Zagrebu, OIB 16488001145 punomoćnik sudionika u postupku RH MF Porezna uprava Zagreb</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tem>RH, DRŽAVNI ZAVOD ZA STATISTIKU, OIB 49337502853</item>
    </derivirana_varijabla>
  </DomainObject.Predmet.OstaliListFormatedOIB>
  <DomainObject.Predmet.OstaliListFormatedWithAdress>
    <izvorni_sadrzaj>
      <item>ŽDO u Zagrebu, Savska cesta 41, 10000 Zagreb punomoćnik sudionika u postupku RH MF Porezna uprava Zagreb</item>
      <item>Financijska agencija, Ulica grada Vukovara 70, 10000 Zagreb</item>
      <item>Siniša Janković, Kralja Zvonimira 60, 10000 Zagreb</item>
      <item>SOCIETE GENERALE-SPLITSKA BANKA dioničko društvo, Ruđera Boškovića 16, 21000 Split</item>
      <item>REPUBLIKA HRVATSKA MINISTARSTVO FINANCIJA, Av. Dubrovnik 32, 10000 Zagreb</item>
      <item>MINISTARSTVO PRAVOSUĐA, Ulica grada Vukovara 49, 10000 Zagreb</item>
      <item>OPĆINSKI GRAĐANSKI SUD U ZAGREBU, zemljišno-knjižni odjel, Ulica Grada Vukovara 84, 10000 Zagreb</item>
      <item>RH, DRŽAVNI ZAVOD ZA STATISTIKU, Ilica 3, 10000 Zagreb</item>
    </izvorni_sadrzaj>
    <derivirana_varijabla naziv="DomainObject.Predmet.OstaliListFormatedWithAdress_1">
      <item>ŽDO u Zagrebu, Savska cesta 41, 10000 Zagreb punomoćnik sudionika u postupku RH MF Porezna uprava Zagreb</item>
      <item>Financijska agencija, Ulica grada Vukovara 70, 10000 Zagreb</item>
      <item>Siniša Janković, Kralja Zvonimira 60, 10000 Zagreb</item>
      <item>SOCIETE GENERALE-SPLITSKA BANKA dioničko društvo, Ruđera Boškovića 16, 21000 Split</item>
      <item>REPUBLIKA HRVATSKA MINISTARSTVO FINANCIJA, Av. Dubrovnik 32, 10000 Zagreb</item>
      <item>MINISTARSTVO PRAVOSUĐA, Ulica grada Vukovara 49, 10000 Zagreb</item>
      <item>OPĆINSKI GRAĐANSKI SUD U ZAGREBU, zemljišno-knjižni odjel, Ulica Grada Vukovara 84, 10000 Zagreb</item>
      <item>RH, DRŽAVNI ZAVOD ZA STATISTIKU, Ilica 3,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Financijska agencija, OIB 85821130368, Ulica grada Vukovara 70, 10000 Zagreb</item>
      <item>Siniša Janković, OIB 09058515956, Kralja Zvonimira 60, 10000 Zagreb</item>
      <item>SOCIETE GENERALE-SPLITSKA BANKA dioničko društvo, OIB 69326397242, Ruđera Boškovića 16, 21000 Split</item>
      <item>REPUBLIKA HRVATSKA MINISTARSTVO FINANCIJA, OIB 18683136487, Av. Dubrovnik 32, 10000 Zagreb</item>
      <item>MINISTARSTVO PRAVOSUĐA, OIB 26635293339, Ulica grada Vukovara 49, 10000 Zagreb</item>
      <item>OPĆINSKI GRAĐANSKI SUD U ZAGREBU, zemljišno-knjižni odjel, OIB 01252163117, Ulica Grada Vukovara 84, 10000 Zagreb</item>
      <item>RH, DRŽAVNI ZAVOD ZA STATISTIKU, OIB 49337502853, Ilica 3, 10000 Zagreb</item>
    </izvorni_sadrzaj>
    <derivirana_varijabla naziv="DomainObject.Predmet.OstaliListFormatedWithAdressOIB_1">
      <item>ŽDO u Zagrebu, OIB 16488001145, Savska cesta 41, 10000 Zagreb punomoćnik sudionika u postupku RH MF Porezna uprava Zagreb</item>
      <item>Financijska agencija, OIB 85821130368, Ulica grada Vukovara 70, 10000 Zagreb</item>
      <item>Siniša Janković, OIB 09058515956, Kralja Zvonimira 60, 10000 Zagreb</item>
      <item>SOCIETE GENERALE-SPLITSKA BANKA dioničko društvo, OIB 69326397242, Ruđera Boškovića 16, 21000 Split</item>
      <item>REPUBLIKA HRVATSKA MINISTARSTVO FINANCIJA, OIB 18683136487, Av. Dubrovnik 32, 10000 Zagreb</item>
      <item>MINISTARSTVO PRAVOSUĐA, OIB 26635293339, Ulica grada Vukovara 49, 10000 Zagreb</item>
      <item>OPĆINSKI GRAĐANSKI SUD U ZAGREBU, zemljišno-knjižni odjel, OIB 01252163117, Ulica Grada Vukovara 84, 10000 Zagreb</item>
      <item>RH, DRŽAVNI ZAVOD ZA STATISTIKU, OIB 49337502853, Ilica 3, 10000 Zagreb</item>
    </derivirana_varijabla>
  </DomainObject.Predmet.OstaliListFormatedWithAdressOIB>
  <DomainObject.Predmet.OstaliListNazivFormated>
    <izvorni_sadrzaj>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izvorni_sadrzaj>
    <derivirana_varijabla naziv="DomainObject.Predmet.OstaliListNazivFormated_1">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derivirana_varijabla>
  </DomainObject.Predmet.OstaliListNazivFormated>
  <DomainObject.Predmet.OstaliListNazivFormatedOIB>
    <izvorni_sadrzaj>
      <item>ŽDO u Zagrebu, OIB 16488001145</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tem>RH, DRŽAVNI ZAVOD ZA STATISTIKU, OIB 49337502853</item>
    </izvorni_sadrzaj>
    <derivirana_varijabla naziv="DomainObject.Predmet.OstaliListNazivFormatedOIB_1">
      <item>ŽDO u Zagrebu, OIB 16488001145</item>
      <item>Financijska agencija, OIB 85821130368</item>
      <item>Siniša Janković, OIB 09058515956</item>
      <item>SOCIETE GENERALE-SPLITSKA BANKA dioničko društvo, OIB 69326397242</item>
      <item>REPUBLIKA HRVATSKA MINISTARSTVO FINANCIJA, OIB 18683136487</item>
      <item>MINISTARSTVO PRAVOSUĐA, OIB 26635293339</item>
      <item>OPĆINSKI GRAĐANSKI SUD U ZAGREBU, zemljišno-knjižni odjel, OIB 01252163117</item>
      <item>RH, DRŽAVNI ZAVOD ZA STATISTIKU, OIB 49337502853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SANSINO d.o.o.</izvorni_sadrzaj>
    <derivirana_varijabla naziv="DomainObject.Predmet.ProtustrankaIDrugi_1">SANSINO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SANSINO d.o.o., OIB 23031472784, Zvonimirova 60, 10000 Zagreb</izvorni_sadrzaj>
    <derivirana_varijabla naziv="DomainObject.Predmet.ProtustrankaIDrugiAdressOIB_1">SANSINO d.o.o., OIB 23031472784, Zvonimirova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SANSINO d.o.o.</item>
      <item>FINA Regionalni centar Zagreb</item>
      <item>RH MF Porezna uprava Zagreb</item>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izvorni_sadrzaj>
    <derivirana_varijabla naziv="DomainObject.Predmet.SudioniciListNaziv_1">
      <item>SANSINO d.o.o.</item>
      <item>FINA Regionalni centar Zagreb</item>
      <item>RH MF Porezna uprava Zagreb</item>
      <item>ŽDO u Zagrebu</item>
      <item>Financijska agencija</item>
      <item>Siniša Janković</item>
      <item>SOCIETE GENERALE-SPLITSKA BANKA dioničko društvo</item>
      <item>REPUBLIKA HRVATSKA MINISTARSTVO FINANCIJA</item>
      <item>MINISTARSTVO PRAVOSUĐA</item>
      <item>OPĆINSKI GRAĐANSKI SUD U ZAGREBU, zemljišno-knjižni odjel</item>
      <item>RH, DRŽAVNI ZAVOD ZA STATISTIKU</item>
    </derivirana_varijabla>
  </DomainObject.Predmet.SudioniciListNaziv>
  <DomainObject.Predmet.SudioniciListAdressOIB>
    <izvorni_sadrzaj>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item>Financijska agencija, OIB 85821130368, Ulica grada Vukovara 70,10000 Zagreb</item>
      <item>Siniša Janković, OIB 09058515956, Kralja Zvonimira 60,10000 Zagreb</item>
      <item>SOCIETE GENERALE-SPLITSKA BANKA dioničko društvo, OIB 69326397242, Ruđera Boškovića 16,21000 Split</item>
      <item>REPUBLIKA HRVATSKA MINISTARSTVO FINANCIJA, OIB 18683136487, Av. Dubrovnik 32,10000 Zagreb</item>
      <item>MINISTARSTVO PRAVOSUĐA, OIB 26635293339, Ulica grada Vukovara 49,10000 Zagreb</item>
      <item>OPĆINSKI GRAĐANSKI SUD U ZAGREBU, zemljišno-knjižni odjel, OIB 01252163117, Ulica Grada Vukovara 84,10000 Zagreb</item>
      <item>RH, DRŽAVNI ZAVOD ZA STATISTIKU, OIB 49337502853, Ilica 3,10000 Zagreb</item>
    </izvorni_sadrzaj>
    <derivirana_varijabla naziv="DomainObject.Predmet.SudioniciListAdressOIB_1">
      <item>SANSINO d.o.o., OIB 23031472784, Zvonimirova 60,10000 Zagreb</item>
      <item>FINA Regionalni centar Zagreb, OIB 85821130368, Trg svibanjskih žrtava 1995 br. 1,10000 Zagreb</item>
      <item>RH MF Porezna uprava Zagreb, OIB 18683136487</item>
      <item>ŽDO u Zagrebu, OIB 16488001145, Savska cesta 41,10000 Zagreb</item>
      <item>Financijska agencija, OIB 85821130368, Ulica grada Vukovara 70,10000 Zagreb</item>
      <item>Siniša Janković, OIB 09058515956, Kralja Zvonimira 60,10000 Zagreb</item>
      <item>SOCIETE GENERALE-SPLITSKA BANKA dioničko društvo, OIB 69326397242, Ruđera Boškovića 16,21000 Split</item>
      <item>REPUBLIKA HRVATSKA MINISTARSTVO FINANCIJA, OIB 18683136487, Av. Dubrovnik 32,10000 Zagreb</item>
      <item>MINISTARSTVO PRAVOSUĐA, OIB 26635293339, Ulica grada Vukovara 49,10000 Zagreb</item>
      <item>OPĆINSKI GRAĐANSKI SUD U ZAGREBU, zemljišno-knjižni odjel, OIB 01252163117, Ulica Grada Vukovara 84,10000 Zagreb</item>
      <item>RH, DRŽAVNI ZAVOD ZA STATISTIKU, OIB 49337502853, Ilica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23031472784</item>
      <item>, OIB 85821130368</item>
      <item>, OIB 18683136487</item>
      <item>, OIB 16488001145</item>
      <item>, OIB 85821130368</item>
      <item>, OIB 09058515956</item>
      <item>, OIB 69326397242</item>
      <item>, OIB 18683136487</item>
      <item>, OIB 26635293339</item>
      <item>, OIB 01252163117</item>
      <item>, OIB 49337502853</item>
    </izvorni_sadrzaj>
    <derivirana_varijabla naziv="DomainObject.Predmet.SudioniciListNazivOIB_1">
      <item>, OIB 23031472784</item>
      <item>, OIB 85821130368</item>
      <item>, OIB 18683136487</item>
      <item>, OIB 16488001145</item>
      <item>, OIB 85821130368</item>
      <item>, OIB 09058515956</item>
      <item>, OIB 69326397242</item>
      <item>, OIB 18683136487</item>
      <item>, OIB 26635293339</item>
      <item>, OIB 01252163117</item>
      <item>, OIB 49337502853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5. lipnja 2018.</izvorni_sadrzaj>
    <derivirana_varijabla naziv="DomainObject.PredzadnjaOdlukaIzPredmeta.DatumDonosenjaOdluke_1">5. lipnja 2018.</derivirana_varijabla>
  </DomainObject.PredzadnjaOdlukaIzPredmeta.DatumDonosenjaOdluke>
  <DomainObject.PredzadnjaOdlukaIzPredmeta.Oznaka>
    <izvorni_sadrzaj>St-6654/2016-39</izvorni_sadrzaj>
    <derivirana_varijabla naziv="DomainObject.PredzadnjaOdlukaIzPredmeta.Oznaka_1">St-6654/2016-39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602</properties:Words>
  <properties:Characters>3331</properties:Characters>
  <properties:Lines>88</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2018-12-18T11:34:00Z</dcterms:created>
  <dc:creator>Maja Hajtek</dc:creator>
  <cp:lastModifiedBy>Maja Hajtek</cp:lastModifiedBy>
  <cp:lastPrinted>2018-12-18T11:49:00Z</cp:lastPrinted>
  <dcterms:modified xmlns:xsi="http://www.w3.org/2001/XMLSchema-instance" xsi:type="dcterms:W3CDTF">2018-12-18T11:49:00Z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obustavi i zaključenju po čl. 293. SANSINO 18.12.2018..docx)</vt:lpwstr>
  </prop:property>
  <prop:property name="CC_coloring" pid="4" fmtid="{D5CDD505-2E9C-101B-9397-08002B2CF9AE}">
    <vt:bool>false</vt:bool>
  </prop:property>
  <prop:property name="BrojStranica" pid="5" fmtid="{D5CDD505-2E9C-101B-9397-08002B2CF9AE}">
    <vt:i4>2</vt:i4>
  </prop:property>
</prop:Properties>
</file>