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531"/>
      </w:tblGrid>
      <w:tr w:rsidRPr="00617553" w:rsidR="00617553" w:rsidTr="00D66197">
        <w:trPr>
          <w:trHeight w:val="565"/>
        </w:trPr>
        <w:tc>
          <w:tcPr>
            <w:tcW w:w="2531" w:type="dxa"/>
          </w:tcPr>
          <w:p w:rsidRPr="00617553" w:rsidR="00617553" w:rsidP="00617553" w:rsidRDefault="006175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 w:rsidRPr="0061755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458516" cy="6120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Grb_RH.png"/>
                          <pic:cNvPicPr/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516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617553" w:rsidR="00617553" w:rsidP="00617553" w:rsidRDefault="006175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53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Pr="00617553" w:rsidR="00617553" w:rsidP="00617553" w:rsidRDefault="006175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53">
              <w:rPr>
                <w:rFonts w:ascii="Times New Roman" w:hAnsi="Times New Roman"/>
                <w:sz w:val="24"/>
                <w:szCs w:val="24"/>
              </w:rPr>
              <w:t>Trgovački sud u Splitu</w:t>
            </w:r>
          </w:p>
          <w:p w:rsidRPr="00617553" w:rsidR="00617553" w:rsidP="00617553" w:rsidRDefault="006175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53">
              <w:rPr>
                <w:rFonts w:ascii="Times New Roman" w:hAnsi="Times New Roman"/>
                <w:sz w:val="24"/>
                <w:szCs w:val="24"/>
              </w:rPr>
              <w:t xml:space="preserve">Split, </w:t>
            </w:r>
            <w:proofErr w:type="spellStart"/>
            <w:r w:rsidRPr="00617553">
              <w:rPr>
                <w:rFonts w:ascii="Times New Roman" w:hAnsi="Times New Roman"/>
                <w:sz w:val="24"/>
                <w:szCs w:val="24"/>
              </w:rPr>
              <w:t>Sukoišanska</w:t>
            </w:r>
            <w:proofErr w:type="spellEnd"/>
            <w:r w:rsidRPr="00617553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</w:tr>
    </w:tbl>
    <w:p w:rsidRPr="00617553" w:rsidR="00617553" w:rsidP="00617553" w:rsidRDefault="00617553" w14:paraId="0e2e044" w14:textId="0e2e044">
      <w:pPr>
        <w:spacing w:after="0"/>
        <w:jc w:val="right"/>
        <w15:collapsed w:val="false"/>
        <w:rPr>
          <w:rFonts w:ascii="Times New Roman" w:hAnsi="Times New Roman" w:cs="Times New Roman"/>
          <w:sz w:val="24"/>
          <w:szCs w:val="24"/>
        </w:rPr>
      </w:pPr>
      <w:r w:rsidRPr="00617553">
        <w:rPr>
          <w:rFonts w:ascii="Times New Roman" w:hAnsi="Times New Roman" w:cs="Times New Roman"/>
          <w:sz w:val="24"/>
          <w:szCs w:val="24"/>
        </w:rPr>
        <w:t>Poslovni broj: 4. St-</w:t>
      </w:r>
      <w:r w:rsidR="00E90EA4">
        <w:rPr>
          <w:rFonts w:ascii="Times New Roman" w:hAnsi="Times New Roman" w:cs="Times New Roman"/>
          <w:sz w:val="24"/>
          <w:szCs w:val="24"/>
        </w:rPr>
        <w:t>845/2018-12</w:t>
      </w:r>
    </w:p>
    <w:p w:rsidRPr="00617553" w:rsidR="00617553" w:rsidP="00617553" w:rsidRDefault="00617553">
      <w:pPr>
        <w:spacing w:after="0"/>
        <w:rPr>
          <w:rFonts w:ascii="Times New Roman" w:hAnsi="Times New Roman" w:cs="Times New Roman"/>
          <w:spacing w:val="100"/>
          <w:sz w:val="24"/>
          <w:szCs w:val="24"/>
        </w:rPr>
      </w:pPr>
    </w:p>
    <w:p w:rsidRPr="00617553" w:rsidR="00617553" w:rsidP="00617553" w:rsidRDefault="00617553">
      <w:pPr>
        <w:spacing w:after="0"/>
        <w:jc w:val="center"/>
        <w:rPr>
          <w:rFonts w:ascii="Times New Roman" w:hAnsi="Times New Roman" w:cs="Times New Roman"/>
          <w:spacing w:val="100"/>
          <w:sz w:val="24"/>
          <w:szCs w:val="24"/>
        </w:rPr>
      </w:pPr>
      <w:r w:rsidRPr="00617553">
        <w:rPr>
          <w:rFonts w:ascii="Times New Roman" w:hAnsi="Times New Roman" w:cs="Times New Roman"/>
          <w:spacing w:val="100"/>
          <w:sz w:val="24"/>
          <w:szCs w:val="24"/>
        </w:rPr>
        <w:t>REPUBLIKA HRVATSKA</w:t>
      </w:r>
    </w:p>
    <w:p w:rsidRPr="00617553" w:rsidR="00617553" w:rsidP="00617553" w:rsidRDefault="00617553">
      <w:pPr>
        <w:spacing w:after="0"/>
        <w:jc w:val="center"/>
        <w:rPr>
          <w:rFonts w:ascii="Times New Roman" w:hAnsi="Times New Roman" w:cs="Times New Roman"/>
          <w:spacing w:val="100"/>
          <w:sz w:val="24"/>
          <w:szCs w:val="24"/>
        </w:rPr>
      </w:pPr>
    </w:p>
    <w:p w:rsidRPr="00617553" w:rsidR="00617553" w:rsidP="00617553" w:rsidRDefault="003B2128">
      <w:pPr>
        <w:spacing w:after="0"/>
        <w:jc w:val="center"/>
        <w:rPr>
          <w:rFonts w:ascii="Times New Roman" w:hAnsi="Times New Roman" w:cs="Times New Roman"/>
          <w:spacing w:val="100"/>
          <w:sz w:val="24"/>
          <w:szCs w:val="24"/>
        </w:rPr>
      </w:pPr>
      <w:r>
        <w:rPr>
          <w:rFonts w:ascii="Times New Roman" w:hAnsi="Times New Roman" w:cs="Times New Roman"/>
          <w:spacing w:val="100"/>
          <w:sz w:val="24"/>
          <w:szCs w:val="24"/>
        </w:rPr>
        <w:t>ZAKLJUČAK</w:t>
      </w:r>
    </w:p>
    <w:p w:rsidR="00F940F8" w:rsidP="00F940F8" w:rsidRDefault="00F940F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940F8" w:rsidP="00F940F8" w:rsidRDefault="00F940F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Trgovački sud u Splitu, po </w:t>
      </w:r>
      <w:r w:rsidRPr="002E01D9" w:rsidR="002E01D9">
        <w:rPr>
          <w:rFonts w:ascii="Times New Roman" w:hAnsi="Times New Roman" w:cs="Times New Roman"/>
          <w:sz w:val="24"/>
          <w:szCs w:val="24"/>
        </w:rPr>
        <w:t>stečajnom sucu tog suda Katarini Mikulić</w:t>
      </w:r>
      <w:r>
        <w:rPr>
          <w:rFonts w:ascii="Times New Roman" w:hAnsi="Times New Roman" w:cs="Times New Roman"/>
          <w:sz w:val="24"/>
          <w:szCs w:val="24"/>
        </w:rPr>
        <w:t xml:space="preserve">, u stečajnom postupku </w:t>
      </w:r>
      <w:r w:rsidR="002B0F4D">
        <w:rPr>
          <w:rFonts w:ascii="Times New Roman" w:hAnsi="Times New Roman" w:cs="Times New Roman"/>
          <w:sz w:val="24"/>
          <w:szCs w:val="24"/>
        </w:rPr>
        <w:t xml:space="preserve">nad </w:t>
      </w:r>
      <w:r w:rsidR="00E90EA4">
        <w:rPr>
          <w:rFonts w:ascii="Times New Roman" w:hAnsi="Times New Roman" w:cs="Times New Roman"/>
          <w:sz w:val="24"/>
          <w:szCs w:val="24"/>
        </w:rPr>
        <w:t>s</w:t>
      </w:r>
      <w:r w:rsidRPr="00E90EA4" w:rsidR="00E90EA4">
        <w:rPr>
          <w:rFonts w:ascii="Times New Roman" w:hAnsi="Times New Roman" w:cs="Times New Roman"/>
          <w:sz w:val="24"/>
          <w:szCs w:val="24"/>
        </w:rPr>
        <w:t>tečajn</w:t>
      </w:r>
      <w:r w:rsidR="00E90EA4">
        <w:rPr>
          <w:rFonts w:ascii="Times New Roman" w:hAnsi="Times New Roman" w:cs="Times New Roman"/>
          <w:sz w:val="24"/>
          <w:szCs w:val="24"/>
        </w:rPr>
        <w:t>om</w:t>
      </w:r>
      <w:r w:rsidRPr="00E90EA4" w:rsidR="00E90EA4">
        <w:rPr>
          <w:rFonts w:ascii="Times New Roman" w:hAnsi="Times New Roman" w:cs="Times New Roman"/>
          <w:sz w:val="24"/>
          <w:szCs w:val="24"/>
        </w:rPr>
        <w:t xml:space="preserve"> mas</w:t>
      </w:r>
      <w:r w:rsidR="00E90EA4">
        <w:rPr>
          <w:rFonts w:ascii="Times New Roman" w:hAnsi="Times New Roman" w:cs="Times New Roman"/>
          <w:sz w:val="24"/>
          <w:szCs w:val="24"/>
        </w:rPr>
        <w:t>om</w:t>
      </w:r>
      <w:r w:rsidRPr="00E90EA4" w:rsidR="00E90EA4">
        <w:rPr>
          <w:rFonts w:ascii="Times New Roman" w:hAnsi="Times New Roman" w:cs="Times New Roman"/>
          <w:sz w:val="24"/>
          <w:szCs w:val="24"/>
        </w:rPr>
        <w:t xml:space="preserve"> iza AMYCLAE d.o.o. u stečaju</w:t>
      </w:r>
      <w:r w:rsidR="00852DC4">
        <w:rPr>
          <w:rFonts w:ascii="Times New Roman" w:hAnsi="Times New Roman" w:cs="Times New Roman"/>
          <w:sz w:val="24"/>
          <w:szCs w:val="24"/>
        </w:rPr>
        <w:t xml:space="preserve">, </w:t>
      </w:r>
      <w:r w:rsidRPr="00E90EA4" w:rsidR="00E90EA4">
        <w:rPr>
          <w:rFonts w:ascii="Times New Roman" w:hAnsi="Times New Roman" w:cs="Times New Roman"/>
          <w:sz w:val="24"/>
          <w:szCs w:val="24"/>
        </w:rPr>
        <w:t>Ruđera Boškovića 7/125</w:t>
      </w:r>
      <w:r w:rsidR="00E90EA4">
        <w:rPr>
          <w:rFonts w:ascii="Times New Roman" w:hAnsi="Times New Roman" w:cs="Times New Roman"/>
          <w:sz w:val="24"/>
          <w:szCs w:val="24"/>
        </w:rPr>
        <w:t xml:space="preserve">, Split, OIB: </w:t>
      </w:r>
      <w:r w:rsidRPr="00E90EA4" w:rsidR="00E90EA4">
        <w:rPr>
          <w:rFonts w:ascii="Times New Roman" w:hAnsi="Times New Roman" w:cs="Times New Roman"/>
          <w:sz w:val="24"/>
          <w:szCs w:val="24"/>
        </w:rPr>
        <w:t>07379335600</w:t>
      </w:r>
      <w:r w:rsidR="00E90EA4">
        <w:rPr>
          <w:rFonts w:ascii="Times New Roman" w:hAnsi="Times New Roman" w:cs="Times New Roman"/>
          <w:sz w:val="24"/>
          <w:szCs w:val="24"/>
        </w:rPr>
        <w:t>, 19. rujna</w:t>
      </w:r>
      <w:r w:rsidR="00617553">
        <w:rPr>
          <w:rFonts w:ascii="Times New Roman" w:hAnsi="Times New Roman" w:cs="Times New Roman"/>
          <w:sz w:val="24"/>
          <w:szCs w:val="24"/>
        </w:rPr>
        <w:t xml:space="preserve"> 2019. </w:t>
      </w:r>
      <w:r w:rsidR="003A07F3">
        <w:rPr>
          <w:rFonts w:ascii="Times New Roman" w:hAnsi="Times New Roman" w:cs="Times New Roman"/>
          <w:sz w:val="24"/>
          <w:szCs w:val="24"/>
        </w:rPr>
        <w:t xml:space="preserve"> </w:t>
      </w:r>
      <w:r w:rsidRPr="002E01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0F8" w:rsidP="00F940F8" w:rsidRDefault="00F940F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940F8" w:rsidP="00F940F8" w:rsidRDefault="00F940F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k l j u č i o    j e</w:t>
      </w:r>
    </w:p>
    <w:p w:rsidR="00F940F8" w:rsidP="00F940F8" w:rsidRDefault="00F940F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40F8" w:rsidP="006431FC" w:rsidRDefault="006175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Sukladno članku</w:t>
      </w:r>
      <w:r w:rsidR="00F940F8">
        <w:rPr>
          <w:rFonts w:ascii="Times New Roman" w:hAnsi="Times New Roman" w:cs="Times New Roman"/>
          <w:sz w:val="24"/>
          <w:szCs w:val="24"/>
        </w:rPr>
        <w:t xml:space="preserve"> </w:t>
      </w:r>
      <w:r w:rsidR="00E977CA">
        <w:rPr>
          <w:rFonts w:ascii="Times New Roman" w:hAnsi="Times New Roman" w:cs="Times New Roman"/>
          <w:sz w:val="24"/>
          <w:szCs w:val="24"/>
        </w:rPr>
        <w:t>224</w:t>
      </w:r>
      <w:r w:rsidR="00F940F8">
        <w:rPr>
          <w:rFonts w:ascii="Times New Roman" w:hAnsi="Times New Roman" w:cs="Times New Roman"/>
          <w:sz w:val="24"/>
          <w:szCs w:val="24"/>
        </w:rPr>
        <w:t xml:space="preserve">. Stečajnog zakona (˝Narodne novine˝ </w:t>
      </w:r>
      <w:r w:rsidR="00E977CA">
        <w:rPr>
          <w:rFonts w:ascii="Times New Roman" w:hAnsi="Times New Roman" w:cs="Times New Roman"/>
          <w:sz w:val="24"/>
          <w:szCs w:val="24"/>
        </w:rPr>
        <w:t>71/15</w:t>
      </w:r>
      <w:r w:rsidR="00F940F8">
        <w:rPr>
          <w:rFonts w:ascii="Times New Roman" w:hAnsi="Times New Roman" w:cs="Times New Roman"/>
          <w:sz w:val="24"/>
          <w:szCs w:val="24"/>
        </w:rPr>
        <w:t xml:space="preserve"> </w:t>
      </w:r>
      <w:r w:rsidR="003A07F3">
        <w:rPr>
          <w:rFonts w:ascii="Times New Roman" w:hAnsi="Times New Roman" w:cs="Times New Roman"/>
          <w:sz w:val="24"/>
          <w:szCs w:val="24"/>
        </w:rPr>
        <w:t xml:space="preserve">i 104/17 </w:t>
      </w:r>
      <w:r w:rsidR="00F940F8">
        <w:rPr>
          <w:rFonts w:ascii="Times New Roman" w:hAnsi="Times New Roman" w:cs="Times New Roman"/>
          <w:sz w:val="24"/>
          <w:szCs w:val="24"/>
        </w:rPr>
        <w:t>dalje SZ) u</w:t>
      </w:r>
      <w:r w:rsidR="00EF6B29">
        <w:rPr>
          <w:rFonts w:ascii="Times New Roman" w:hAnsi="Times New Roman" w:cs="Times New Roman"/>
          <w:sz w:val="24"/>
          <w:szCs w:val="24"/>
        </w:rPr>
        <w:t xml:space="preserve"> sudskoj pisarnici se s</w:t>
      </w:r>
      <w:r w:rsidR="00F940F8">
        <w:rPr>
          <w:rFonts w:ascii="Times New Roman" w:hAnsi="Times New Roman" w:cs="Times New Roman"/>
          <w:sz w:val="24"/>
          <w:szCs w:val="24"/>
        </w:rPr>
        <w:t xml:space="preserve"> danom </w:t>
      </w:r>
      <w:r w:rsidR="00E90EA4">
        <w:rPr>
          <w:rFonts w:ascii="Times New Roman" w:hAnsi="Times New Roman" w:cs="Times New Roman"/>
          <w:sz w:val="24"/>
          <w:szCs w:val="24"/>
        </w:rPr>
        <w:t>19. rujna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="003A07F3">
        <w:rPr>
          <w:rFonts w:ascii="Times New Roman" w:hAnsi="Times New Roman" w:cs="Times New Roman"/>
          <w:sz w:val="24"/>
          <w:szCs w:val="24"/>
        </w:rPr>
        <w:t>.</w:t>
      </w:r>
      <w:r w:rsidR="002B0F4D">
        <w:rPr>
          <w:rFonts w:ascii="Times New Roman" w:hAnsi="Times New Roman" w:cs="Times New Roman"/>
          <w:sz w:val="24"/>
          <w:szCs w:val="24"/>
        </w:rPr>
        <w:t xml:space="preserve"> izlaže se</w:t>
      </w:r>
      <w:r w:rsidR="00EB1B9A">
        <w:rPr>
          <w:rFonts w:ascii="Times New Roman" w:hAnsi="Times New Roman" w:cs="Times New Roman"/>
          <w:sz w:val="24"/>
          <w:szCs w:val="24"/>
        </w:rPr>
        <w:t xml:space="preserve"> </w:t>
      </w:r>
      <w:r w:rsidR="006431FC">
        <w:rPr>
          <w:rFonts w:ascii="Times New Roman" w:hAnsi="Times New Roman" w:cs="Times New Roman"/>
          <w:sz w:val="24"/>
          <w:szCs w:val="24"/>
        </w:rPr>
        <w:t xml:space="preserve">izvješće o gospodarskom položaju dužnika i njegovim uzrocima sa prilozima, </w:t>
      </w:r>
      <w:r w:rsidR="00EB1B9A">
        <w:rPr>
          <w:rFonts w:ascii="Times New Roman" w:hAnsi="Times New Roman" w:cs="Times New Roman"/>
          <w:sz w:val="24"/>
          <w:szCs w:val="24"/>
        </w:rPr>
        <w:t xml:space="preserve">tablica prijavljenih tražbina, </w:t>
      </w:r>
      <w:proofErr w:type="spellStart"/>
      <w:r w:rsidR="00EB1B9A">
        <w:rPr>
          <w:rFonts w:ascii="Times New Roman" w:hAnsi="Times New Roman" w:cs="Times New Roman"/>
          <w:sz w:val="24"/>
          <w:szCs w:val="24"/>
        </w:rPr>
        <w:t>razlučnih</w:t>
      </w:r>
      <w:proofErr w:type="spellEnd"/>
      <w:r w:rsidR="00EB1B9A">
        <w:rPr>
          <w:rFonts w:ascii="Times New Roman" w:hAnsi="Times New Roman" w:cs="Times New Roman"/>
          <w:sz w:val="24"/>
          <w:szCs w:val="24"/>
        </w:rPr>
        <w:t xml:space="preserve"> i izlučnih prava</w:t>
      </w:r>
      <w:r w:rsidR="006431FC">
        <w:rPr>
          <w:rFonts w:ascii="Times New Roman" w:hAnsi="Times New Roman" w:cs="Times New Roman"/>
          <w:sz w:val="24"/>
          <w:szCs w:val="24"/>
        </w:rPr>
        <w:t xml:space="preserve"> </w:t>
      </w:r>
      <w:r w:rsidR="00EF6B29">
        <w:rPr>
          <w:rFonts w:ascii="Times New Roman" w:hAnsi="Times New Roman" w:cs="Times New Roman"/>
          <w:sz w:val="24"/>
          <w:szCs w:val="24"/>
        </w:rPr>
        <w:t xml:space="preserve">na uvid svim sudionicima do održavanja ispitnog i izvještajnog ročišta koje će se održati dana </w:t>
      </w:r>
      <w:r w:rsidR="00E90EA4">
        <w:rPr>
          <w:rFonts w:ascii="Times New Roman" w:hAnsi="Times New Roman" w:cs="Times New Roman"/>
          <w:sz w:val="24"/>
          <w:szCs w:val="24"/>
        </w:rPr>
        <w:t>2. listopada</w:t>
      </w:r>
      <w:r>
        <w:rPr>
          <w:rFonts w:ascii="Times New Roman" w:hAnsi="Times New Roman" w:cs="Times New Roman"/>
          <w:sz w:val="24"/>
          <w:szCs w:val="24"/>
        </w:rPr>
        <w:t xml:space="preserve"> 2019.</w:t>
      </w:r>
      <w:r w:rsidR="00EF6B29">
        <w:rPr>
          <w:rFonts w:ascii="Times New Roman" w:hAnsi="Times New Roman" w:cs="Times New Roman"/>
          <w:sz w:val="24"/>
          <w:szCs w:val="24"/>
        </w:rPr>
        <w:t xml:space="preserve"> u </w:t>
      </w:r>
      <w:r w:rsidR="00E90EA4">
        <w:rPr>
          <w:rFonts w:ascii="Times New Roman" w:hAnsi="Times New Roman" w:cs="Times New Roman"/>
          <w:sz w:val="24"/>
          <w:szCs w:val="24"/>
        </w:rPr>
        <w:t>10:15</w:t>
      </w:r>
      <w:r w:rsidR="002B0F4D">
        <w:rPr>
          <w:rFonts w:ascii="Times New Roman" w:hAnsi="Times New Roman" w:cs="Times New Roman"/>
          <w:sz w:val="24"/>
          <w:szCs w:val="24"/>
        </w:rPr>
        <w:t xml:space="preserve"> sati.</w:t>
      </w:r>
    </w:p>
    <w:p w:rsidR="00F940F8" w:rsidP="00F940F8" w:rsidRDefault="00F94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940F8" w:rsidP="00F940F8" w:rsidRDefault="00F940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Splitu</w:t>
      </w:r>
      <w:r w:rsidR="00E90EA4">
        <w:rPr>
          <w:rFonts w:ascii="Times New Roman" w:hAnsi="Times New Roman" w:cs="Times New Roman"/>
          <w:sz w:val="24"/>
          <w:szCs w:val="24"/>
        </w:rPr>
        <w:t xml:space="preserve"> 19. rujna</w:t>
      </w:r>
      <w:r w:rsidR="00617553">
        <w:rPr>
          <w:rFonts w:ascii="Times New Roman" w:hAnsi="Times New Roman" w:cs="Times New Roman"/>
          <w:sz w:val="24"/>
          <w:szCs w:val="24"/>
        </w:rPr>
        <w:t xml:space="preserve"> 2019. </w:t>
      </w:r>
    </w:p>
    <w:p w:rsidR="00F940F8" w:rsidP="00F940F8" w:rsidRDefault="00F940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0F8" w:rsidP="00F940F8" w:rsidRDefault="003A07F3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</w:t>
      </w:r>
    </w:p>
    <w:p w:rsidR="002E01D9" w:rsidP="00F940F8" w:rsidRDefault="002E01D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</w:p>
    <w:p w:rsidR="002E01D9" w:rsidP="00F940F8" w:rsidRDefault="002E01D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</w:p>
    <w:p w:rsidR="00E90EA4" w:rsidP="00F940F8" w:rsidRDefault="00E90EA4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</w:p>
    <w:p w:rsidR="002E01D9" w:rsidP="00F940F8" w:rsidRDefault="002E01D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Katarina Mikulić </w:t>
      </w:r>
    </w:p>
    <w:p w:rsidR="00F940F8" w:rsidP="00F940F8" w:rsidRDefault="003112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0F8" w:rsidP="00F940F8" w:rsidRDefault="003A0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Pouka o pravnom lijeku</w:t>
      </w:r>
      <w:r w:rsidR="00F940F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Protiv ovog zaključka nije dopuštena žalba. 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DNA: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sudska pisarnica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mrežna stranica e-Oglasna ploča sudova 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 spis</w:t>
      </w:r>
    </w:p>
    <w:p w:rsidR="00F940F8" w:rsidP="00F940F8" w:rsidRDefault="00F940F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3B3E" w:rsidRDefault="00853B3E"/>
    <w:sectPr w:rsidR="00853B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E01D9" w:rsidP="002E01D9" w:rsidRDefault="002E01D9">
      <w:pPr>
        <w:spacing w:after="0" w:line="240" w:lineRule="auto"/>
      </w:pPr>
      <w:r>
        <w:separator/>
      </w:r>
    </w:p>
  </w:endnote>
  <w:endnote w:type="continuationSeparator" w:id="0">
    <w:p w:rsidR="002E01D9" w:rsidP="002E01D9" w:rsidRDefault="002E0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E01D9" w:rsidP="002E01D9" w:rsidRDefault="002E01D9">
      <w:pPr>
        <w:spacing w:after="0" w:line="240" w:lineRule="auto"/>
      </w:pPr>
      <w:r>
        <w:separator/>
      </w:r>
    </w:p>
  </w:footnote>
  <w:footnote w:type="continuationSeparator" w:id="0">
    <w:p w:rsidR="002E01D9" w:rsidP="002E01D9" w:rsidRDefault="002E01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0F8"/>
    <w:rsid w:val="00066650"/>
    <w:rsid w:val="00085E7C"/>
    <w:rsid w:val="000B4D96"/>
    <w:rsid w:val="00122881"/>
    <w:rsid w:val="002A78A5"/>
    <w:rsid w:val="002B0F4D"/>
    <w:rsid w:val="002E01D9"/>
    <w:rsid w:val="003112C5"/>
    <w:rsid w:val="003A07F3"/>
    <w:rsid w:val="003B2128"/>
    <w:rsid w:val="003C2F22"/>
    <w:rsid w:val="00417EA6"/>
    <w:rsid w:val="005D18C7"/>
    <w:rsid w:val="00617553"/>
    <w:rsid w:val="006431FC"/>
    <w:rsid w:val="0069426F"/>
    <w:rsid w:val="0071519E"/>
    <w:rsid w:val="007F7A84"/>
    <w:rsid w:val="00814EDB"/>
    <w:rsid w:val="00815142"/>
    <w:rsid w:val="00852DC4"/>
    <w:rsid w:val="00853B3E"/>
    <w:rsid w:val="00854A6D"/>
    <w:rsid w:val="008E3CDD"/>
    <w:rsid w:val="00981D37"/>
    <w:rsid w:val="00A51DE9"/>
    <w:rsid w:val="00B7506F"/>
    <w:rsid w:val="00CD40DF"/>
    <w:rsid w:val="00DD0D50"/>
    <w:rsid w:val="00E90EA4"/>
    <w:rsid w:val="00E977CA"/>
    <w:rsid w:val="00EB1B9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F940F8"/>
    <w:rPr>
      <w:rFonts w:asciiTheme="minorHAnsi" w:hAnsiTheme="minorHAnsi"/>
      <w:sz w:val="22"/>
    </w:rPr>
  </w:style>
  <w:style w:type="paragraph" w:styleId="Zaglavlje">
    <w:name w:val="header"/>
    <w:basedOn w:val="Normal"/>
    <w:link w:val="ZaglavljeChar"/>
    <w:uiPriority w:val="99"/>
    <w:unhideWhenUsed/>
    <w:rsid w:val="002E01D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2E01D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E01D9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617553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1228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288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2288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2288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2288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2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8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28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28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28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St-845/2018</izvorni_sadrzaj>
    <derivirana_varijabla naziv="DomainObject.Predmet.OznakaBroj_1">St-845/2018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AMYCLAE d.o.o. za trgovinu i turizam u stečaju</izvorni_sadrzaj>
    <derivirana_varijabla naziv="DomainObject.Predmet.ProtustrankaFormated_1">  Stečajna masa iza AMYCLAE d.o.o. za trgovinu i turizam u stečaju</derivirana_varijabla>
  </DomainObject.Predmet.ProtustrankaFormated>
  <DomainObject.Predmet.ProtustrankaFormatedOIB>
    <izvorni_sadrzaj>  Stečajna masa iza AMYCLAE d.o.o. za trgovinu i turizam u stečaju, OIB 07379335600</izvorni_sadrzaj>
    <derivirana_varijabla naziv="DomainObject.Predmet.ProtustrankaFormatedOIB_1">  Stečajna masa iza AMYCLAE d.o.o. za trgovinu i turizam u stečaju, OIB 07379335600</derivirana_varijabla>
  </DomainObject.Predmet.ProtustrankaFormatedOIB>
  <DomainObject.Predmet.ProtustrankaFormatedWithAdress>
    <izvorni_sadrzaj> Stečajna masa iza AMYCLAE d.o.o. za trgovinu i turizam u stečaju, Ruđera Boškovića 7/125, 21000 Split</izvorni_sadrzaj>
    <derivirana_varijabla naziv="DomainObject.Predmet.ProtustrankaFormatedWithAdress_1"> Stečajna masa iza AMYCLAE d.o.o. za trgovinu i turizam u stečaju, Ruđera Boškovića 7/125, 21000 Split</derivirana_varijabla>
  </DomainObject.Predmet.ProtustrankaFormatedWithAdress>
  <DomainObject.Predmet.ProtustrankaFormatedWithAdressOIB>
    <izvorni_sadrzaj> Stečajna masa iza AMYCLAE d.o.o. za trgovinu i turizam u stečaju, OIB 07379335600, Ruđera Boškovića 7/125, 21000 Split</izvorni_sadrzaj>
    <derivirana_varijabla naziv="DomainObject.Predmet.ProtustrankaFormatedWithAdressOIB_1"> Stečajna masa iza AMYCLAE d.o.o. za trgovinu i turizam u stečaju, OIB 07379335600, Ruđera Boškovića 7/125, 21000 Split</derivirana_varijabla>
  </DomainObject.Predmet.ProtustrankaFormatedWithAdressOIB>
  <DomainObject.Predmet.ProtustrankaWithAdress>
    <izvorni_sadrzaj>Stečajna masa iza AMYCLAE d.o.o. za trgovinu i turizam u stečaju Ruđera Boškovića 7/125, 21000 Split</izvorni_sadrzaj>
    <derivirana_varijabla naziv="DomainObject.Predmet.ProtustrankaWithAdress_1">Stečajna masa iza AMYCLAE d.o.o. za trgovinu i turizam u stečaju Ruđera Boškovića 7/125, 21000 Split</derivirana_varijabla>
  </DomainObject.Predmet.ProtustrankaWithAdress>
  <DomainObject.Predmet.ProtustrankaWithAdressOIB>
    <izvorni_sadrzaj>Stečajna masa iza AMYCLAE d.o.o. za trgovinu i turizam u stečaju, OIB 07379335600, Ruđera Boškovića 7/125, 21000 Split</izvorni_sadrzaj>
    <derivirana_varijabla naziv="DomainObject.Predmet.ProtustrankaWithAdressOIB_1">Stečajna masa iza AMYCLAE d.o.o. za trgovinu i turizam u stečaju, OIB 07379335600, Ruđera Boškovića 7/125, 21000 Split</derivirana_varijabla>
  </DomainObject.Predmet.ProtustrankaWithAdressOIB>
  <DomainObject.Predmet.ProtustrankaNazivFormated>
    <izvorni_sadrzaj>Stečajna masa iza AMYCLAE d.o.o. za trgovinu i turizam u stečaju</izvorni_sadrzaj>
    <derivirana_varijabla naziv="DomainObject.Predmet.ProtustrankaNazivFormated_1">Stečajna masa iza AMYCLAE d.o.o. za trgovinu i turizam u stečaju</derivirana_varijabla>
  </DomainObject.Predmet.ProtustrankaNazivFormated>
  <DomainObject.Predmet.ProtustrankaNazivFormatedOIB>
    <izvorni_sadrzaj>Stečajna masa iza AMYCLAE d.o.o. za trgovinu i turizam u stečaju, OIB 07379335600</izvorni_sadrzaj>
    <derivirana_varijabla naziv="DomainObject.Predmet.ProtustrankaNazivFormatedOIB_1">Stečajna masa iza AMYCLAE d.o.o. za trgovinu i turizam u stečaju, OIB 07379335600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AMYCLAE d.o.o. za trgovinu i turizam u stečaju</item>
    </izvorni_sadrzaj>
    <derivirana_varijabla naziv="DomainObject.Predmet.ProtuStrankaListFormated_1">
      <item>Stečajna masa iza AMYCLAE d.o.o. za trgovinu i turizam u stečaju</item>
    </derivirana_varijabla>
  </DomainObject.Predmet.ProtuStrankaListFormated>
  <DomainObject.Predmet.ProtuStrankaListFormatedOIB>
    <izvorni_sadrzaj>
      <item>Stečajna masa iza AMYCLAE d.o.o. za trgovinu i turizam u stečaju, OIB 07379335600</item>
    </izvorni_sadrzaj>
    <derivirana_varijabla naziv="DomainObject.Predmet.ProtuStrankaListFormatedOIB_1">
      <item>Stečajna masa iza AMYCLAE d.o.o. za trgovinu i turizam u stečaju, OIB 07379335600</item>
    </derivirana_varijabla>
  </DomainObject.Predmet.ProtuStrankaListFormatedOIB>
  <DomainObject.Predmet.ProtuStrankaListFormatedWithAdress>
    <izvorni_sadrzaj>
      <item>Stečajna masa iza AMYCLAE d.o.o. za trgovinu i turizam u stečaju, Ruđera Boškovića 7/125, 21000 Split</item>
    </izvorni_sadrzaj>
    <derivirana_varijabla naziv="DomainObject.Predmet.ProtuStrankaListFormatedWithAdress_1">
      <item>Stečajna masa iza AMYCLAE d.o.o. za trgovinu i turizam u stečaju, Ruđera Boškovića 7/125, 21000 Split</item>
    </derivirana_varijabla>
  </DomainObject.Predmet.ProtuStrankaListFormatedWithAdress>
  <DomainObject.Predmet.ProtuStrankaListFormatedWithAdressOIB>
    <izvorni_sadrzaj>
      <item>Stečajna masa iza AMYCLAE d.o.o. za trgovinu i turizam u stečaju, OIB 07379335600, Ruđera Boškovića 7/125, 21000 Split</item>
    </izvorni_sadrzaj>
    <derivirana_varijabla naziv="DomainObject.Predmet.ProtuStrankaListFormatedWithAdressOIB_1">
      <item>Stečajna masa iza AMYCLAE d.o.o. za trgovinu i turizam u stečaju, OIB 07379335600, Ruđera Boškovića 7/125, 21000 Split</item>
    </derivirana_varijabla>
  </DomainObject.Predmet.ProtuStrankaListFormatedWithAdressOIB>
  <DomainObject.Predmet.ProtuStrankaListNazivFormated>
    <izvorni_sadrzaj>
      <item>Stečajna masa iza AMYCLAE d.o.o. za trgovinu i turizam u stečaju</item>
    </izvorni_sadrzaj>
    <derivirana_varijabla naziv="DomainObject.Predmet.ProtuStrankaListNazivFormated_1">
      <item>Stečajna masa iza AMYCLAE d.o.o. za trgovinu i turizam u stečaju</item>
    </derivirana_varijabla>
  </DomainObject.Predmet.ProtuStrankaListNazivFormated>
  <DomainObject.Predmet.ProtuStrankaListNazivFormatedOIB>
    <izvorni_sadrzaj>
      <item>Stečajna masa iza AMYCLAE d.o.o. za trgovinu i turizam u stečaju, OIB 07379335600</item>
    </izvorni_sadrzaj>
    <derivirana_varijabla naziv="DomainObject.Predmet.ProtuStrankaListNazivFormatedOIB_1">
      <item>Stečajna masa iza AMYCLAE d.o.o. za trgovinu i turizam u stečaju, OIB 07379335600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AMYCLAE d.o.o. za trgovinu i turizam u stečaju</izvorni_sadrzaj>
    <derivirana_varijabla naziv="DomainObject.Predmet.ProtustrankaIDrugi_1">Stečajna masa iza AMYCLAE d.o.o. za trgovinu i turizam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AMYCLAE d.o.o. za trgovinu i turizam u stečaju, OIB 07379335600, Ruđera Boškovića 7/125, 21000 Split</izvorni_sadrzaj>
    <derivirana_varijabla naziv="DomainObject.Predmet.ProtustrankaIDrugiAdressOIB_1">Stečajna masa iza AMYCLAE d.o.o. za trgovinu i turizam u stečaju, OIB 07379335600,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AMYCLAE d.o.o. za trgovinu i turizam u stečaju</item>
    </izvorni_sadrzaj>
    <derivirana_varijabla naziv="DomainObject.Predmet.SudioniciListNaziv_1">
      <item>Stečajna masa iza AMYCLAE d.o.o. za trgovinu i turizam u stečaju</item>
    </derivirana_varijabla>
  </DomainObject.Predmet.SudioniciListNaziv>
  <DomainObject.Predmet.SudioniciListAdressOIB>
    <izvorni_sadrzaj>
      <item>Stečajna masa iza AMYCLAE d.o.o. za trgovinu i turizam u stečaju, OIB 07379335600, Ruđera Boškovića 7/125,21000 Split</item>
    </izvorni_sadrzaj>
    <derivirana_varijabla naziv="DomainObject.Predmet.SudioniciListAdressOIB_1">
      <item>Stečajna masa iza AMYCLAE d.o.o. za trgovinu i turizam u stečaju, OIB 07379335600,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07379335600</item>
    </izvorni_sadrzaj>
    <derivirana_varijabla naziv="DomainObject.Predmet.SudioniciListNazivOIB_1">
      <item>, OIB 07379335600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St-845/2018-5</izvorni_sadrzaj>
    <derivirana_varijabla naziv="DomainObject.PredzadnjaOdlukaIzPredmeta.Oznaka_1">St-845/2018-5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150</properties:Words>
  <properties:Characters>791</properties:Characters>
  <properties:Lines>40</properties:Lines>
  <properties:Paragraphs>18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2019-09-19T08:17:00Z</cp:lastPrinted>
  <dcterms:modified xmlns:xsi="http://www.w3.org/2001/XMLSchema-instance" xsi:type="dcterms:W3CDTF">2019-09-19T08:18:00Z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O IZLAGANJU U PISARNICI.docx)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