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d6b6" w14:paraId="bb8d6b6" w:rsidRDefault="0099320A" w:rsidR="00CA66CA">
      <w:pPr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an, 21.05.2018.</w:t>
      </w:r>
    </w:p>
    <w:p w:rsidRDefault="00CA66CA" w:rsidR="00CA66CA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:rsidRDefault="0099320A" w:rsidR="00CA66CA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KLM HORVAT d.o.o. </w:t>
      </w:r>
      <w:r>
        <w:rPr>
          <w:rFonts w:hAnsi="Tahoma" w:ascii="Tahoma"/>
          <w:sz w:val="20"/>
          <w:szCs w:val="20"/>
        </w:rPr>
        <w:t>„</w:t>
      </w:r>
      <w:r>
        <w:rPr>
          <w:rFonts w:hAnsi="Tahoma" w:ascii="Tahoma"/>
          <w:sz w:val="20"/>
          <w:szCs w:val="20"/>
        </w:rPr>
        <w:t>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</w:t>
      </w:r>
      <w:r>
        <w:rPr>
          <w:rFonts w:hAnsi="Tahoma" w:ascii="Tahoma"/>
          <w:sz w:val="20"/>
          <w:szCs w:val="20"/>
        </w:rPr>
        <w:t>“</w:t>
      </w:r>
    </w:p>
    <w:p w:rsidRDefault="0099320A" w:rsidR="00CA66CA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OIB: 12796096560  </w:t>
      </w:r>
    </w:p>
    <w:p w:rsidRDefault="00CA66CA" w:rsidR="00CA66CA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spacing w:lineRule="auto" w:line="288"/>
        <w:ind w:firstLine="720" w:left="5040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99320A" w:rsidR="00CA66CA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:rsidRDefault="00CA66CA" w:rsidR="00CA66CA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99320A" w:rsidR="00CA66CA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AVNO </w:t>
      </w:r>
      <w:r>
        <w:rPr>
          <w:rFonts w:hAnsi="Tahoma" w:ascii="Tahoma"/>
          <w:b/>
          <w:bCs/>
          <w:sz w:val="20"/>
          <w:szCs w:val="20"/>
        </w:rPr>
        <w:t>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CA66CA" w:rsidR="00CA66CA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CA66CA" w:rsidR="00CA66CA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:rsidRDefault="0099320A" w:rsidR="00CA66CA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Izvje</w:t>
      </w:r>
      <w:r>
        <w:rPr>
          <w:rFonts w:hAnsi="Tahoma" w:ascii="Tahoma"/>
          <w:b/>
          <w:bCs/>
          <w:sz w:val="22"/>
          <w:szCs w:val="22"/>
        </w:rPr>
        <w:t>šć</w:t>
      </w:r>
      <w:r>
        <w:rPr>
          <w:rFonts w:hAnsi="Tahoma" w:ascii="Tahoma"/>
          <w:b/>
          <w:bCs/>
          <w:sz w:val="22"/>
          <w:szCs w:val="22"/>
        </w:rPr>
        <w:t>e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upravitelja o tijeku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postupka i stanju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 xml:space="preserve">ajne mase za razdoblje od 16.05.2016. do 21.05.2018. </w:t>
      </w:r>
    </w:p>
    <w:p w:rsidRDefault="0099320A" w:rsidR="00CA66CA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(O-20)</w:t>
      </w:r>
    </w:p>
    <w:p w:rsidRDefault="00CA66CA" w:rsidR="00CA66CA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I.  Op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i podaci o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ajnom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niku </w:t>
      </w:r>
    </w:p>
    <w:p w:rsidRDefault="00CA66CA" w:rsidR="00CA66CA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sudom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dinu, poslovni broj: 3 </w:t>
      </w:r>
      <w:r>
        <w:rPr>
          <w:rFonts w:hAnsi="Tahoma" w:ascii="Tahoma"/>
          <w:sz w:val="20"/>
          <w:szCs w:val="20"/>
        </w:rPr>
        <w:t>St-452/16-5, vodi se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s ograni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enom odgovorno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za trgovinu, ugostiteljstvo, turizam i uslu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djelatnosti, skra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tvrtka KLM HORVAT d.o.o.,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OIB: 12796096560, otvoren 16. svibnja 201</w:t>
      </w:r>
      <w:r>
        <w:rPr>
          <w:rFonts w:hAnsi="Tahoma" w:ascii="Tahoma"/>
          <w:sz w:val="20"/>
          <w:szCs w:val="20"/>
        </w:rPr>
        <w:t>6. godine,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</w:t>
      </w:r>
    </w:p>
    <w:p w:rsidRDefault="00CA66C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CA66CA" w:rsidR="00CA66CA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cilju izrade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</w:t>
      </w: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8pt" stroked="f" id="_x0000_s1026" style="position:absolute;left:0;text-align:left;margin-left:0;margin-top:0;width:120.3pt;height:19.9pt;z-index:251659264;visibility:visible;mso-wrap-distance-left:12pt;mso-wrap-distance-top:12pt;mso-wrap-distance-right:12pt;mso-wrap-distance-bottom:12pt;mso-position-horizontal:absolute;mso-position-horizontal-relative:page;mso-position-vertical:absolute;mso-position-vertical-relative:page" wrapcoords="0 0" type="#_x0000_t202">
            <v:stroke joinstyle="round"/>
            <v:textbox>
              <w:txbxContent>
                <w:tbl>
                  <w:tblPr>
                    <w:tblStyle w:val="TableNormal"/>
                    <w:tblW w:type="dxa" w:w="2552"/>
                    <w:tblInd w:type="dxa" w:w="10"/>
                    <w:tblBorders>
                      <w:top w:space="0" w:sz="8" w:color="FFFFFF" w:val="single"/>
                      <w:left w:space="0" w:sz="8" w:color="FFFFFF" w:val="single"/>
                      <w:bottom w:space="0" w:sz="8" w:color="FFFFFF" w:val="single"/>
                      <w:right w:space="0" w:sz="8" w:color="FFFFFF" w:val="single"/>
                      <w:insideH w:space="0" w:sz="8" w:color="FFFFFF" w:val="single"/>
                      <w:insideV w:space="0" w:sz="8" w:color="FFFFFF" w:val="single"/>
                    </w:tblBorders>
                    <w:shd w:fill="CED7E7" w:color="auto" w:val="clear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552"/>
                  </w:tblGrid>
                  <w:tr w:rsidR="00CA66CA">
                    <w:tblPrEx>
                      <w:tblCellMar>
                        <w:top w:type="dxa" w:w="0"/>
                        <w:left w:type="dxa" w:w="0"/>
                        <w:bottom w:type="dxa" w:w="0"/>
                        <w:right w:type="dxa" w:w="0"/>
                      </w:tblCellMar>
                    </w:tblPrEx>
                    <w:trPr>
                      <w:trHeight w:val="425"/>
                    </w:trPr>
                    <w:tc>
                      <w:tcPr>
                        <w:tcW w:type="dxa" w:w="2552"/>
                        <w:tcBorders>
                          <w:top w:space="0" w:sz="8" w:color="FFFFFF" w:val="single"/>
                          <w:left w:space="0" w:sz="8" w:color="FFFFFF" w:val="single"/>
                          <w:bottom w:space="0" w:sz="8" w:color="FFFFFF" w:val="single"/>
                          <w:right w:space="0" w:sz="8" w:color="FFFFFF" w:val="single"/>
                        </w:tcBorders>
                        <w:shd w:fill="auto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0"/>
                        </w:tcMar>
                      </w:tcPr>
                      <w:p w:rsidRDefault="00CA66CA" w:rsidR="00CA66CA"/>
                    </w:tc>
                  </w:tr>
                </w:tbl>
                <w:p w:rsidRDefault="0099320A" w:rsidR="00000000"/>
              </w:txbxContent>
            </v:textbox>
            <w10:wrap anchory="page" anchorx="page" type="through"/>
          </v:shape>
        </w:pict>
      </w:r>
      <w:r>
        <w:rPr>
          <w:rFonts w:hAnsi="Tahoma" w:ascii="Tahoma"/>
          <w:sz w:val="20"/>
          <w:szCs w:val="20"/>
        </w:rPr>
        <w:t>bilance i pregleda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zakona, te za obavljanje financijskih i </w:t>
      </w:r>
      <w:r>
        <w:rPr>
          <w:rFonts w:hAnsi="Tahoma" w:ascii="Tahoma"/>
          <w:sz w:val="20"/>
          <w:szCs w:val="20"/>
        </w:rPr>
        <w:t>knjigovodstvenih poslova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iran je knjigovodstveni servis BIRO PLUS d.o.o. iz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akovca i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ena je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 Obzirom da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nije dostavio knjigovodstvenu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</w:t>
      </w:r>
      <w:r>
        <w:rPr>
          <w:rFonts w:hAnsi="Tahoma" w:ascii="Tahoma"/>
          <w:sz w:val="20"/>
          <w:szCs w:val="20"/>
        </w:rPr>
        <w:t>ku  to mu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12.12.2016.g.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eno da istu u roku od 8 dana dostavi sudu. </w:t>
      </w:r>
      <w:r>
        <w:rPr>
          <w:rFonts w:hAnsi="Tahoma" w:ascii="Tahoma"/>
          <w:sz w:val="20"/>
          <w:szCs w:val="20"/>
          <w:u w:val="single"/>
        </w:rPr>
        <w:t>Do dana pisanja ovog izvje</w:t>
      </w:r>
      <w:r>
        <w:rPr>
          <w:rFonts w:hAnsi="Tahoma" w:ascii="Tahoma"/>
          <w:sz w:val="20"/>
          <w:szCs w:val="20"/>
          <w:u w:val="single"/>
        </w:rPr>
        <w:t>šć</w:t>
      </w:r>
      <w:r>
        <w:rPr>
          <w:rFonts w:hAnsi="Tahoma" w:ascii="Tahoma"/>
          <w:sz w:val="20"/>
          <w:szCs w:val="20"/>
          <w:u w:val="single"/>
        </w:rPr>
        <w:t>a biv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i direktor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ajnog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nka jo</w:t>
      </w:r>
      <w:r>
        <w:rPr>
          <w:rFonts w:hAnsi="Tahoma" w:ascii="Tahoma"/>
          <w:sz w:val="20"/>
          <w:szCs w:val="20"/>
          <w:u w:val="single"/>
        </w:rPr>
        <w:t xml:space="preserve">š </w:t>
      </w:r>
      <w:r>
        <w:rPr>
          <w:rFonts w:hAnsi="Tahoma" w:ascii="Tahoma"/>
          <w:sz w:val="20"/>
          <w:szCs w:val="20"/>
          <w:u w:val="single"/>
        </w:rPr>
        <w:t>uvijek nije dostavio tra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enu dokumentaciju.</w:t>
      </w:r>
      <w:r>
        <w:rPr>
          <w:rFonts w:hAnsi="Tahoma" w:ascii="Tahoma"/>
          <w:sz w:val="20"/>
          <w:szCs w:val="20"/>
        </w:rPr>
        <w:t xml:space="preserve"> </w:t>
      </w:r>
    </w:p>
    <w:p w:rsidRDefault="00CA66C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dostupnih podataka,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</w:t>
      </w:r>
      <w:r>
        <w:rPr>
          <w:rFonts w:hAnsi="Tahoma" w:ascii="Tahoma"/>
          <w:b/>
          <w:bCs/>
          <w:sz w:val="20"/>
          <w:szCs w:val="20"/>
        </w:rPr>
        <w:t>danom otvaranja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</w:t>
      </w:r>
      <w:r>
        <w:rPr>
          <w:rFonts w:hAnsi="Tahoma" w:ascii="Tahoma"/>
          <w:sz w:val="20"/>
          <w:szCs w:val="20"/>
        </w:rPr>
        <w:t xml:space="preserve">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u iznosu od </w:t>
      </w:r>
      <w:r>
        <w:rPr>
          <w:rFonts w:hAnsi="Tahoma" w:ascii="Tahoma"/>
          <w:b/>
          <w:bCs/>
          <w:sz w:val="20"/>
          <w:szCs w:val="20"/>
        </w:rPr>
        <w:t>2.992.122,55 kn</w:t>
      </w:r>
      <w:r>
        <w:rPr>
          <w:rFonts w:hAnsi="Tahoma" w:ascii="Tahoma"/>
          <w:sz w:val="20"/>
          <w:szCs w:val="20"/>
        </w:rPr>
        <w:t>, dok su 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temeljem prijavljenih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ene u iznosu od </w:t>
      </w:r>
      <w:r>
        <w:rPr>
          <w:rFonts w:hAnsi="Tahoma" w:ascii="Tahoma"/>
          <w:b/>
          <w:bCs/>
          <w:sz w:val="20"/>
          <w:szCs w:val="20"/>
        </w:rPr>
        <w:t>7.036.544,49  kn</w:t>
      </w:r>
      <w:r>
        <w:rPr>
          <w:rFonts w:hAnsi="Tahoma" w:ascii="Tahoma"/>
          <w:sz w:val="20"/>
          <w:szCs w:val="20"/>
        </w:rPr>
        <w:t>.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numPr>
          <w:ilvl w:val="0"/>
          <w:numId w:val="2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numPr>
          <w:ilvl w:val="0"/>
          <w:numId w:val="4"/>
        </w:numPr>
        <w:suppressAutoHyphens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Nekretnine </w:t>
      </w: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Knjigovodstvena vrijednost nekretnina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po Bilanci na dan  31.12.2014. godine iznosi 3.418.364,00 kn. Stanje nekretnina iskazano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iznosi 2.984.907,78 kn, temeljem procjene po pravnoj osobi HORVAT-GRADNJA d.o.o. od 12.06.2015. godine, a koje se stanje  odnosi na 2 nekretnine, kako slijedi: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</w:t>
      </w:r>
      <w:r>
        <w:rPr>
          <w:rFonts w:hAnsi="Tahoma" w:ascii="Tahoma"/>
          <w:sz w:val="20"/>
          <w:szCs w:val="20"/>
        </w:rPr>
        <w:t>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procijenjene vrijednost 2.487.023,66 kn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procijenjene vrijednost 164.884,12 kn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 obje nekretnine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prodaja prikupljanjem pisanih ponuda te su na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za otvaranje istih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enom za dan </w:t>
      </w:r>
      <w:r>
        <w:rPr>
          <w:rFonts w:hAnsi="Tahoma" w:ascii="Tahoma"/>
          <w:sz w:val="20"/>
          <w:szCs w:val="20"/>
          <w:u w:val="single"/>
        </w:rPr>
        <w:t xml:space="preserve">04. svibanj 2018.g. predmetne nekretnine prodane </w:t>
      </w:r>
      <w:r>
        <w:rPr>
          <w:rFonts w:hAnsi="Tahoma" w:ascii="Tahoma"/>
          <w:sz w:val="20"/>
          <w:szCs w:val="20"/>
        </w:rPr>
        <w:t>i to 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za iznos od 1.468.600,00 kn, a stambeno-poslovni obj</w:t>
      </w:r>
      <w:r>
        <w:rPr>
          <w:rFonts w:hAnsi="Tahoma" w:ascii="Tahoma"/>
          <w:sz w:val="20"/>
          <w:szCs w:val="20"/>
        </w:rPr>
        <w:t>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 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za iznos od 97.400,00 kn.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2. Pokretnine</w:t>
      </w:r>
    </w:p>
    <w:p w:rsidRDefault="0099320A" w:rsidR="00CA66C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</w:t>
      </w:r>
      <w:r>
        <w:rPr>
          <w:rFonts w:hAnsi="Tahoma" w:ascii="Tahoma"/>
          <w:sz w:val="20"/>
          <w:szCs w:val="20"/>
        </w:rPr>
        <w:t>retnine u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evidentirane po Bilanci od 31.12.2014. godine u iznosu od 349.080,00 kn, sastoje se opreme i transportnih sredstava.  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procjene pokretnina</w:t>
      </w:r>
      <w:r>
        <w:rPr>
          <w:rFonts w:hAnsi="Tahoma" w:ascii="Tahoma"/>
          <w:sz w:val="20"/>
          <w:szCs w:val="20"/>
        </w:rPr>
        <w:t xml:space="preserve"> temeljem kojeg nalaza su pokretnine procijenjene kako slijedi: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tbl>
      <w:tblPr>
        <w:tblStyle w:val="TableNormal"/>
        <w:tblW w:type="dxa" w:w="8755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7"/>
        <w:gridCol w:w="6561"/>
        <w:gridCol w:w="1417"/>
      </w:tblGrid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.br.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 pokretnina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Vrijednost u kn + PDV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Osobni automobil Passat 1.9 TDI, godina proizvodnje: 2000., KW66, CM</w:t>
            </w:r>
            <w:r>
              <w:rPr>
                <w:rFonts w:hAnsi="Tahoma" w:ascii="Tahoma"/>
                <w:sz w:val="20"/>
                <w:szCs w:val="20"/>
              </w:rPr>
              <w:t xml:space="preserve">³ </w:t>
            </w:r>
            <w:r>
              <w:rPr>
                <w:rFonts w:hAnsi="Tahoma" w:ascii="Tahoma"/>
                <w:sz w:val="20"/>
                <w:szCs w:val="20"/>
              </w:rPr>
              <w:t xml:space="preserve">1896, broj 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asije: WVWZZZ3BYE289603, Reg.oznaka: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K0510HJ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9.480,00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9.308,00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9.997,00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8.887,00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kare za rezanje lima, Model: CI 103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4.303,00</w:t>
            </w:r>
          </w:p>
        </w:tc>
      </w:tr>
      <w:tr w:rsidR="00CA66CA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99320A" w:rsidR="00CA66CA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41.975,00</w:t>
            </w:r>
          </w:p>
        </w:tc>
      </w:tr>
    </w:tbl>
    <w:p w:rsidRDefault="00CA66CA" w:rsidR="00CA66CA">
      <w:pPr>
        <w:widowControl w:val="false"/>
        <w:suppressAutoHyphens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Sve pokretnine prodane su po procijenjenoj vrijednosti u ukupnom iznosu od 41.975,00 + PDV u iznosu od 10.493,75 kn dakle sveukupno u iznosu od 52.468,75 kn. </w:t>
      </w:r>
    </w:p>
    <w:p w:rsidRDefault="00CA66CA" w:rsidR="00CA66CA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</w:p>
    <w:p w:rsidRDefault="0099320A" w:rsidR="00CA66CA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  <w:r>
        <w:rPr>
          <w:rFonts w:hAnsi="Tahoma" w:ascii="Tahoma"/>
          <w:sz w:val="20"/>
          <w:szCs w:val="20"/>
          <w:u w:color="000000"/>
        </w:rPr>
        <w:t>Na predmetnim pokretninama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 pravo stekla je </w:t>
      </w:r>
      <w:r>
        <w:rPr>
          <w:rFonts w:hAnsi="Helvetica" w:ascii="Helvetica"/>
          <w:sz w:val="20"/>
          <w:szCs w:val="20"/>
          <w:u w:color="000000"/>
        </w:rPr>
        <w:t xml:space="preserve">RH, MINISTARSTVO FINANCIJA, Porezna uprava, </w:t>
      </w:r>
      <w:r>
        <w:rPr>
          <w:rFonts w:hAnsi="Helvetica" w:ascii="Helvetica"/>
          <w:sz w:val="20"/>
          <w:szCs w:val="20"/>
          <w:u w:color="000000"/>
        </w:rPr>
        <w:t>Podru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ni ured sjeverna Hrvatska, OIB:52634238587, temeljem z</w:t>
      </w:r>
      <w:r>
        <w:rPr>
          <w:rFonts w:hAnsi="Tahoma" w:ascii="Tahoma"/>
          <w:sz w:val="20"/>
          <w:szCs w:val="20"/>
          <w:u w:color="000000"/>
        </w:rPr>
        <w:t>apisnika o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enoj pljenidbi i procjeni pokretne imovine Klasa: UP-I-415-02/2010-01/091 od 04.05.2010.g. Obzirom da se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>ni vjerovnik usuglasio sa prijedlogom za diobu kupovnine to je dana 1</w:t>
      </w:r>
      <w:r>
        <w:rPr>
          <w:rFonts w:hAnsi="Tahoma" w:ascii="Tahoma"/>
          <w:sz w:val="20"/>
          <w:szCs w:val="20"/>
          <w:u w:color="000000"/>
        </w:rPr>
        <w:t>7.04.2018.g.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 namirenje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nog vjerovnika u iznosu od 29.142,25 kn. </w:t>
      </w:r>
    </w:p>
    <w:p w:rsidRDefault="00CA66CA" w:rsidR="00CA66CA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000000" w:val="single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3. Zalihe robe i potra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ivanja</w:t>
      </w: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zaliha robe, iste nisu 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ene u posjedu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se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etnoj bilanci iskazuju u iznosu od 0,00 kn, a </w:t>
      </w:r>
      <w:r>
        <w:rPr>
          <w:rFonts w:hAnsi="Tahoma" w:ascii="Tahoma"/>
          <w:sz w:val="20"/>
          <w:szCs w:val="20"/>
        </w:rPr>
        <w:t>glede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obzirom da do sada nije dostavljena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ista se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iskazuju u iznosu od 0,00 kn.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4. Novac u banci i blagajni</w:t>
      </w: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sklopile je ugovore o najmu poslovnih prostora i pokre</w:t>
      </w:r>
      <w:r>
        <w:rPr>
          <w:rFonts w:hAnsi="Tahoma" w:ascii="Tahoma"/>
          <w:sz w:val="20"/>
          <w:szCs w:val="20"/>
        </w:rPr>
        <w:t>tnina, te je pokretnine  i prodala. Temeljem sklopljenih ugovora i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enih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 stanje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21.05.2018.g. iznosi  90.989,73 kn.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e se poduzeti u narednom razdoblju</w:t>
      </w: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Tijekom narednog razdoblja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</w:t>
      </w:r>
      <w:r>
        <w:rPr>
          <w:rFonts w:hAnsi="Tahoma" w:ascii="Tahoma"/>
          <w:sz w:val="20"/>
          <w:szCs w:val="20"/>
        </w:rPr>
        <w:t xml:space="preserve">ostupka nastavit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naplata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za najam poslovnog prostora, te se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 da sud za prodane nekretnine sud donese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 o dosudi.</w:t>
      </w:r>
    </w:p>
    <w:p w:rsidRDefault="00CA66CA" w:rsidR="00CA66CA">
      <w:pPr>
        <w:widowControl w:val="false"/>
        <w:suppressAutoHyphens/>
        <w:spacing w:lineRule="auto" w:line="288"/>
        <w:jc w:val="both"/>
      </w:pPr>
    </w:p>
    <w:p w:rsidRDefault="00CA66CA" w:rsidR="00CA66CA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99320A" w:rsidR="00CA66CA">
      <w:pPr>
        <w:widowControl w:val="false"/>
        <w:suppressAutoHyphens/>
        <w:spacing w:lineRule="auto" w:line="288"/>
        <w:ind w:firstLine="720" w:left="64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99320A" w:rsidR="00CA66CA">
      <w:pPr>
        <w:widowControl w:val="false"/>
        <w:suppressAutoHyphens/>
        <w:spacing w:lineRule="auto" w:line="288"/>
        <w:jc w:val="right"/>
      </w:pPr>
      <w:r>
        <w:rPr>
          <w:rFonts w:hAnsi="Tahoma" w:ascii="Tahoma"/>
          <w:sz w:val="20"/>
          <w:szCs w:val="20"/>
        </w:rPr>
        <w:t>mr. Jelena Stankus-Tkalec</w:t>
      </w:r>
    </w:p>
    <w:sectPr w:rsidR="00CA66CA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20A" w:rsidR="00000000">
      <w:r>
        <w:separator/>
      </w:r>
    </w:p>
  </w:endnote>
  <w:endnote w:id="0" w:type="continuationSeparator">
    <w:p w:rsidRDefault="009932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Helvetica Neue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6CA" w:rsidR="00CA66CA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99320A" w:rsidR="00CA66CA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3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20A" w:rsidR="00000000">
      <w:r>
        <w:separator/>
      </w:r>
    </w:p>
  </w:footnote>
  <w:footnote w:id="0" w:type="continuationSeparator">
    <w:p w:rsidRDefault="009932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20A" w:rsidR="00CA66CA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ajni upravitelj Jelena Stankus-Tkalec</w:t>
    </w:r>
  </w:p>
  <w:p w:rsidRDefault="0099320A" w:rsidR="00CA66CA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</w:p>
  <w:p w:rsidRDefault="0099320A" w:rsidR="00CA66CA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</w:t>
    </w:r>
    <w:r>
      <w:rPr>
        <w:rFonts w:hAnsi="Tahoma" w:ascii="Tahoma"/>
        <w:sz w:val="20"/>
        <w:szCs w:val="20"/>
      </w:rPr>
      <w:t>kolska 102, Gori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an</w:t>
    </w:r>
  </w:p>
  <w:p w:rsidRDefault="0099320A" w:rsidR="00CA66CA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 xml:space="preserve">OIB: 12796096560,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452/16</w:t>
    </w:r>
  </w:p>
  <w:p w:rsidRDefault="0099320A" w:rsidR="00CA66CA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jc w:val="center"/>
    </w:pPr>
    <w:r>
      <w:rPr>
        <w:rFonts w:hAnsi="Tahoma" w:ascii="Tahoma"/>
        <w:sz w:val="20"/>
        <w:szCs w:val="20"/>
      </w:rPr>
      <w:t>Mob: 099 312 4155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E4833"/>
    <w:multiLevelType w:val="hybridMultilevel"/>
    <w:tmpl w:val="17627F7A"/>
    <w:styleLink w:val="Importiranistil1"/>
    <w:lvl w:tplc="C7B2AAC4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ECCB5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7E49B6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02EE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2E46D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0249CFA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40963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F9E39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CFC2DCA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E185B72"/>
    <w:multiLevelType w:val="hybridMultilevel"/>
    <w:tmpl w:val="39447852"/>
    <w:numStyleLink w:val="Importiranistil2"/>
  </w:abstractNum>
  <w:abstractNum w:abstractNumId="2">
    <w:nsid w:val="229A1D2A"/>
    <w:multiLevelType w:val="hybridMultilevel"/>
    <w:tmpl w:val="17627F7A"/>
    <w:numStyleLink w:val="Importiranistil1"/>
  </w:abstractNum>
  <w:abstractNum w:abstractNumId="3">
    <w:nsid w:val="23E06EA3"/>
    <w:multiLevelType w:val="hybridMultilevel"/>
    <w:tmpl w:val="7DC2E922"/>
    <w:styleLink w:val="Brojano"/>
    <w:lvl w:tplc="60C269E2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A28DE8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2A8810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2CED74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415A4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FCF5C2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9CC47A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DA0F046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4C43F2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141430A"/>
    <w:multiLevelType w:val="hybridMultilevel"/>
    <w:tmpl w:val="7DC2E922"/>
    <w:numStyleLink w:val="Brojano"/>
  </w:abstractNum>
  <w:abstractNum w:abstractNumId="5">
    <w:nsid w:val="62DB4A2B"/>
    <w:multiLevelType w:val="hybridMultilevel"/>
    <w:tmpl w:val="39447852"/>
    <w:styleLink w:val="Importiranistil2"/>
    <w:lvl w:tplc="58C6F9FE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E25E2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FE3CD2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2C2104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8C2F84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EA497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3C8904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EDCF5B8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FBE0AFA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CA66CA"/>
    <w:rsid w:val="0099320A"/>
    <w:rsid w:val="00CA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Standardno" w:type="paragraph">
    <w:name w:val="Standardno"/>
    <w:rPr>
      <w:rFonts w:cs="Helvetica Neue" w:eastAsia="Helvetica Neue" w:hAnsi="Helvetica Neue" w:asci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3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20A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20A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20A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20A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Standardno" w:type="paragraph">
    <w:name w:val="Standardno"/>
    <w:rPr>
      <w:rFonts w:ascii="Helvetica Neue" w:cs="Helvetica Neue" w:eastAsia="Helvetica Neue" w:hAns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3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20A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20A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20A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20A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764</properties:Words>
  <properties:Characters>4632</properties:Characters>
  <properties:Lines>127</properties:Lines>
  <properties:Paragraphs>53</properties:Paragraphs>
  <properties:TotalTime>1</properties:TotalTime>
  <properties:ScaleCrop>false</properties:ScaleCrop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2018-05-21T09:58:00Z</dcterms:created>
  <cp:lastModifiedBy>Tatjana Rukelj</cp:lastModifiedBy>
  <dcterms:modified xmlns:xsi="http://www.w3.org/2001/XMLSchema-instance" xsi:type="dcterms:W3CDTF">2018-05-21T09:59:00Z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St-452/2016-43 / Podnesak - Izvješće stečajnog upravitelja (IZVJEŠĆE 21.05.2018..docx)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