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69bb2" w14:paraId="d969bb2"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03A6C" w:rsidP="00203A6C" w:rsidR="00203A6C" w:rsidRPr="00203A6C">
      <w:pPr>
        <w:spacing w:after="0"/>
        <w:ind w:left="5664"/>
        <w:rPr>
          <w:rFonts w:cs="Times New Roman" w:eastAsia="Times New Roman"/>
          <w:lang w:eastAsia="hr-HR"/>
        </w:rPr>
      </w:pPr>
      <w:r w:rsidRPr="00203A6C">
        <w:rPr>
          <w:rFonts w:cs="Times New Roman" w:eastAsia="Times New Roman"/>
          <w:lang w:eastAsia="hr-HR"/>
        </w:rPr>
        <w:t xml:space="preserve">      Poslovni broj 3 St-551/16-40</w:t>
      </w:r>
    </w:p>
    <w:p w:rsidRDefault="00203A6C" w:rsidP="00203A6C" w:rsidR="00203A6C" w:rsidRPr="00203A6C">
      <w:pPr>
        <w:spacing w:after="0"/>
        <w:rPr>
          <w:rFonts w:cs="Times New Roman" w:eastAsia="Times New Roman"/>
          <w:lang w:eastAsia="hr-HR"/>
        </w:rPr>
      </w:pPr>
    </w:p>
    <w:p w:rsidRDefault="00203A6C" w:rsidP="00203A6C" w:rsidR="00203A6C" w:rsidRPr="00203A6C">
      <w:pPr>
        <w:spacing w:after="0"/>
        <w:ind w:firstLine="708"/>
        <w:rPr>
          <w:rFonts w:cs="Times New Roman" w:eastAsia="Times New Roman"/>
          <w:lang w:eastAsia="hr-HR"/>
        </w:rPr>
      </w:pPr>
      <w:r w:rsidRPr="00203A6C">
        <w:rPr>
          <w:rFonts w:cs="Times New Roman" w:eastAsia="Times New Roman"/>
          <w:lang w:eastAsia="hr-HR"/>
        </w:rPr>
        <w:t xml:space="preserve">REPUBLIKA HRVATSKA </w:t>
      </w:r>
      <w:r w:rsidRPr="00203A6C">
        <w:rPr>
          <w:rFonts w:cs="Times New Roman" w:eastAsia="Times New Roman"/>
          <w:lang w:eastAsia="hr-HR"/>
        </w:rPr>
        <w:tab/>
      </w:r>
      <w:r w:rsidRPr="00203A6C">
        <w:rPr>
          <w:rFonts w:cs="Times New Roman" w:eastAsia="Times New Roman"/>
          <w:lang w:eastAsia="hr-HR"/>
        </w:rPr>
        <w:tab/>
      </w:r>
      <w:r w:rsidRPr="00203A6C">
        <w:rPr>
          <w:rFonts w:cs="Times New Roman" w:eastAsia="Times New Roman"/>
          <w:lang w:eastAsia="hr-HR"/>
        </w:rPr>
        <w:tab/>
        <w:t xml:space="preserve">             </w:t>
      </w:r>
    </w:p>
    <w:p w:rsidRDefault="00203A6C" w:rsidP="00203A6C" w:rsidR="00203A6C" w:rsidRPr="00203A6C">
      <w:pPr>
        <w:spacing w:after="0"/>
        <w:rPr>
          <w:rFonts w:cs="Times New Roman" w:eastAsia="Times New Roman"/>
          <w:lang w:eastAsia="hr-HR"/>
        </w:rPr>
      </w:pPr>
      <w:r w:rsidRPr="00203A6C">
        <w:rPr>
          <w:rFonts w:cs="Times New Roman" w:eastAsia="Times New Roman"/>
          <w:lang w:eastAsia="hr-HR"/>
        </w:rPr>
        <w:t xml:space="preserve">           TRGOVAČKI SUD U ZADRU</w:t>
      </w:r>
    </w:p>
    <w:p w:rsidRDefault="00203A6C" w:rsidP="00203A6C" w:rsidR="00203A6C" w:rsidRPr="00203A6C">
      <w:pPr>
        <w:spacing w:after="0"/>
        <w:ind w:firstLine="708"/>
        <w:rPr>
          <w:rFonts w:cs="Times New Roman" w:eastAsia="Times New Roman"/>
          <w:lang w:eastAsia="hr-HR"/>
        </w:rPr>
      </w:pPr>
      <w:r w:rsidRPr="00203A6C">
        <w:rPr>
          <w:rFonts w:cs="Times New Roman" w:eastAsia="Times New Roman"/>
          <w:lang w:eastAsia="hr-HR"/>
        </w:rPr>
        <w:t>Zadar, Dr. Franje Tuđmana 35</w:t>
      </w:r>
    </w:p>
    <w:p w:rsidRDefault="00203A6C" w:rsidP="00203A6C" w:rsidR="00203A6C" w:rsidRPr="00203A6C">
      <w:pPr>
        <w:spacing w:after="0"/>
        <w:ind w:firstLine="708"/>
        <w:rPr>
          <w:rFonts w:cs="Times New Roman" w:eastAsia="Times New Roman"/>
          <w:lang w:eastAsia="hr-HR"/>
        </w:rPr>
      </w:pPr>
      <w:r w:rsidRPr="00203A6C">
        <w:rPr>
          <w:rFonts w:cs="Times New Roman" w:eastAsia="Times New Roman"/>
          <w:lang w:eastAsia="hr-HR"/>
        </w:rPr>
        <w:t xml:space="preserve">                                                     </w:t>
      </w:r>
    </w:p>
    <w:p w:rsidRDefault="00203A6C" w:rsidP="00203A6C" w:rsidR="00203A6C" w:rsidRPr="00203A6C">
      <w:pPr>
        <w:spacing w:after="0"/>
        <w:jc w:val="center"/>
        <w:rPr>
          <w:rFonts w:cs="Times New Roman" w:eastAsia="Times New Roman"/>
          <w:lang w:eastAsia="hr-HR"/>
        </w:rPr>
      </w:pPr>
    </w:p>
    <w:p w:rsidRDefault="00203A6C" w:rsidP="00203A6C" w:rsidR="00203A6C" w:rsidRPr="00203A6C">
      <w:pPr>
        <w:spacing w:after="0"/>
        <w:jc w:val="center"/>
        <w:rPr>
          <w:rFonts w:cs="Times New Roman" w:eastAsia="Times New Roman"/>
          <w:lang w:eastAsia="hr-HR"/>
        </w:rPr>
      </w:pPr>
      <w:r w:rsidRPr="00203A6C">
        <w:rPr>
          <w:rFonts w:cs="Times New Roman" w:eastAsia="Times New Roman"/>
          <w:lang w:eastAsia="hr-HR"/>
        </w:rPr>
        <w:t>R E P U B L I K A  H R V A T S K A</w:t>
      </w:r>
    </w:p>
    <w:p w:rsidRDefault="00203A6C" w:rsidP="00203A6C" w:rsidR="00203A6C" w:rsidRPr="00203A6C">
      <w:pPr>
        <w:spacing w:after="0"/>
        <w:jc w:val="both"/>
        <w:rPr>
          <w:rFonts w:cs="Times New Roman" w:eastAsia="Times New Roman"/>
          <w:lang w:eastAsia="hr-HR"/>
        </w:rPr>
      </w:pPr>
    </w:p>
    <w:p w:rsidRDefault="00203A6C" w:rsidP="00203A6C" w:rsidR="00203A6C" w:rsidRPr="00203A6C">
      <w:pPr>
        <w:spacing w:after="0"/>
        <w:jc w:val="center"/>
        <w:rPr>
          <w:rFonts w:cs="Times New Roman" w:eastAsia="Times New Roman"/>
          <w:lang w:eastAsia="hr-HR"/>
        </w:rPr>
      </w:pPr>
      <w:r w:rsidRPr="00203A6C">
        <w:rPr>
          <w:rFonts w:cs="Times New Roman" w:eastAsia="Times New Roman"/>
          <w:lang w:eastAsia="hr-HR"/>
        </w:rPr>
        <w:t>R J E Š E NJ E</w:t>
      </w:r>
    </w:p>
    <w:p w:rsidRDefault="00203A6C" w:rsidP="00203A6C" w:rsidR="00203A6C" w:rsidRPr="00203A6C">
      <w:pPr>
        <w:spacing w:after="0"/>
        <w:rPr>
          <w:rFonts w:cs="Times New Roman" w:eastAsia="Times New Roman"/>
          <w:lang w:eastAsia="hr-HR"/>
        </w:rPr>
      </w:pPr>
    </w:p>
    <w:p w:rsidRDefault="00203A6C" w:rsidP="00203A6C" w:rsidR="00203A6C" w:rsidRPr="00203A6C">
      <w:pPr>
        <w:spacing w:after="0"/>
        <w:ind w:firstLine="708"/>
        <w:jc w:val="both"/>
        <w:rPr>
          <w:rFonts w:cs="Times New Roman" w:eastAsia="Times New Roman"/>
          <w:lang w:eastAsia="hr-HR"/>
        </w:rPr>
      </w:pPr>
      <w:r w:rsidRPr="00203A6C">
        <w:rPr>
          <w:rFonts w:cs="Times New Roman" w:eastAsia="Times New Roman"/>
          <w:lang w:eastAsia="hr-HR"/>
        </w:rPr>
        <w:t xml:space="preserve">Trgovački sud u Zadru, OIB: 39670464653, po sutkinji Tini Grgas, u stečajnom postupku nad stečajnim dužnikom NOVICOM d.o.o. sa sjedištem u Vodicama (Grad Vodice),  Stablinac I 20, OIB: 52033895646, zastupanom po stečajnom upravitelju Blažu Saviću iz Zadra, Bana Josipa Jelačiča 4/V, na temelju tablice ispitanih tražbina s ispitnog ročišta od 16. siječnja 2017., 17. siječnja 2017. </w:t>
      </w:r>
    </w:p>
    <w:p w:rsidRDefault="00203A6C" w:rsidP="00203A6C" w:rsidR="00203A6C" w:rsidRPr="00203A6C">
      <w:pPr>
        <w:spacing w:lineRule="atLeast" w:line="240" w:after="0"/>
        <w:rPr>
          <w:rFonts w:cs="Times New Roman" w:eastAsia="Times New Roman"/>
          <w:lang w:eastAsia="hr-HR"/>
        </w:rPr>
      </w:pPr>
    </w:p>
    <w:p w:rsidRDefault="00203A6C" w:rsidP="00203A6C" w:rsidR="00203A6C" w:rsidRPr="00203A6C">
      <w:pPr>
        <w:spacing w:lineRule="atLeast" w:line="240" w:after="0"/>
        <w:jc w:val="center"/>
        <w:rPr>
          <w:rFonts w:cs="Times New Roman" w:eastAsia="Times New Roman"/>
          <w:lang w:eastAsia="hr-HR"/>
        </w:rPr>
      </w:pPr>
      <w:r w:rsidRPr="00203A6C">
        <w:rPr>
          <w:rFonts w:cs="Times New Roman" w:eastAsia="Times New Roman"/>
          <w:lang w:eastAsia="hr-HR"/>
        </w:rPr>
        <w:t>r i j e š i o   j e</w:t>
      </w:r>
    </w:p>
    <w:p w:rsidRDefault="00203A6C" w:rsidP="00203A6C" w:rsidR="00203A6C" w:rsidRPr="00203A6C">
      <w:pPr>
        <w:spacing w:lineRule="atLeast" w:line="240" w:after="0"/>
        <w:ind w:firstLine="708"/>
        <w:rPr>
          <w:rFonts w:cs="Times New Roman" w:eastAsia="Times New Roman"/>
          <w:lang w:eastAsia="hr-HR"/>
        </w:rPr>
      </w:pPr>
    </w:p>
    <w:p w:rsidRDefault="00203A6C" w:rsidP="00203A6C" w:rsidR="00203A6C" w:rsidRPr="00203A6C">
      <w:pPr>
        <w:spacing w:lineRule="atLeast" w:line="240" w:after="0"/>
        <w:ind w:firstLine="708"/>
        <w:rPr>
          <w:rFonts w:cs="Times New Roman" w:eastAsia="Times New Roman"/>
          <w:lang w:eastAsia="hr-HR"/>
        </w:rPr>
      </w:pPr>
      <w:r w:rsidRPr="00203A6C">
        <w:rPr>
          <w:rFonts w:cs="Times New Roman" w:eastAsia="Times New Roman"/>
          <w:lang w:eastAsia="hr-HR"/>
        </w:rPr>
        <w:t>I. Utvrđuju se tražbine koje se namiruju kao tražbine drugog višeg isplatnog reda:</w:t>
      </w:r>
    </w:p>
    <w:p w:rsidRDefault="00203A6C" w:rsidP="00203A6C" w:rsidR="00203A6C" w:rsidRPr="00203A6C">
      <w:pPr>
        <w:spacing w:lineRule="atLeast" w:line="240" w:after="0"/>
        <w:ind w:firstLine="708"/>
        <w:rPr>
          <w:rFonts w:cs="Times New Roman" w:eastAsia="Times New Roman"/>
          <w:lang w:eastAsia="hr-HR"/>
        </w:rPr>
      </w:pPr>
    </w:p>
    <w:tbl>
      <w:tblPr>
        <w:tblW w:type="dxa" w:w="8008"/>
        <w:jc w:val="center"/>
        <w:tblInd w:type="dxa" w:w="93"/>
        <w:tblLook w:val="04A0" w:noVBand="1" w:noHBand="0" w:lastColumn="0" w:firstColumn="1" w:lastRow="0" w:firstRow="1"/>
      </w:tblPr>
      <w:tblGrid>
        <w:gridCol w:w="746"/>
        <w:gridCol w:w="1351"/>
        <w:gridCol w:w="1459"/>
        <w:gridCol w:w="1141"/>
        <w:gridCol w:w="1517"/>
        <w:gridCol w:w="1794"/>
      </w:tblGrid>
      <w:tr w:rsidTr="00203A6C" w:rsidR="00203A6C" w:rsidRPr="00203A6C">
        <w:trPr>
          <w:trHeight w:val="1575"/>
          <w:jc w:val="center"/>
        </w:trPr>
        <w:tc>
          <w:tcPr>
            <w:tcW w:type="dxa" w:w="746"/>
            <w:tcBorders>
              <w:top w:space="0" w:sz="4" w:color="auto" w:val="single"/>
              <w:left w:space="0" w:sz="4" w:color="auto" w:val="single"/>
              <w:bottom w:space="0" w:sz="4" w:color="auto" w:val="single"/>
              <w:right w:space="0" w:sz="4" w:color="auto" w:val="single"/>
            </w:tcBorders>
            <w:vAlign w:val="center"/>
            <w:hideMark/>
          </w:tcPr>
          <w:p w:rsidRDefault="00203A6C" w:rsidP="00203A6C" w:rsidR="00203A6C" w:rsidRPr="00203A6C">
            <w:pPr>
              <w:spacing w:lineRule="auto" w:line="276" w:after="0"/>
              <w:rPr>
                <w:rFonts w:cs="Times New Roman" w:eastAsia="Times New Roman" w:hAnsi="Calibri" w:ascii="Calibri"/>
                <w:color w:val="000000"/>
                <w:sz w:val="20"/>
                <w:szCs w:val="20"/>
              </w:rPr>
            </w:pPr>
            <w:r w:rsidRPr="00203A6C">
              <w:rPr>
                <w:rFonts w:cs="Times New Roman" w:eastAsia="Times New Roman" w:hAnsi="Calibri" w:ascii="Calibri"/>
                <w:color w:val="000000"/>
                <w:sz w:val="20"/>
                <w:szCs w:val="20"/>
              </w:rPr>
              <w:t>Red. br. prijav-ljene tražbi-ne</w:t>
            </w:r>
          </w:p>
        </w:tc>
        <w:tc>
          <w:tcPr>
            <w:tcW w:type="dxa" w:w="1351"/>
            <w:tcBorders>
              <w:top w:space="0" w:sz="4" w:color="auto" w:val="single"/>
              <w:left w:val="nil"/>
              <w:bottom w:space="0" w:sz="4" w:color="auto" w:val="single"/>
              <w:right w:space="0" w:sz="4" w:color="auto" w:val="single"/>
            </w:tcBorders>
            <w:vAlign w:val="center"/>
            <w:hideMark/>
          </w:tcPr>
          <w:p w:rsidRDefault="00203A6C" w:rsidP="00203A6C" w:rsidR="00203A6C" w:rsidRPr="00203A6C">
            <w:pPr>
              <w:spacing w:lineRule="auto" w:line="276" w:after="0"/>
              <w:jc w:val="center"/>
              <w:rPr>
                <w:rFonts w:cs="Times New Roman" w:eastAsia="Times New Roman" w:hAnsi="Calibri" w:ascii="Calibri"/>
                <w:color w:val="000000"/>
                <w:sz w:val="22"/>
                <w:szCs w:val="22"/>
              </w:rPr>
            </w:pPr>
            <w:r w:rsidRPr="00203A6C">
              <w:rPr>
                <w:rFonts w:cs="Times New Roman" w:eastAsia="Times New Roman" w:hAnsi="Calibri" w:ascii="Calibri"/>
                <w:color w:val="000000"/>
                <w:sz w:val="22"/>
                <w:szCs w:val="22"/>
              </w:rPr>
              <w:t>Naziv vjerovnika</w:t>
            </w:r>
          </w:p>
        </w:tc>
        <w:tc>
          <w:tcPr>
            <w:tcW w:type="dxa" w:w="1459"/>
            <w:tcBorders>
              <w:top w:space="0" w:sz="4" w:color="auto" w:val="single"/>
              <w:left w:val="nil"/>
              <w:bottom w:space="0" w:sz="4" w:color="auto" w:val="single"/>
              <w:right w:space="0" w:sz="4" w:color="auto" w:val="single"/>
            </w:tcBorders>
            <w:vAlign w:val="center"/>
            <w:hideMark/>
          </w:tcPr>
          <w:p w:rsidRDefault="00203A6C" w:rsidP="00203A6C" w:rsidR="00203A6C" w:rsidRPr="00203A6C">
            <w:pPr>
              <w:spacing w:lineRule="auto" w:line="276" w:after="0"/>
              <w:jc w:val="center"/>
              <w:rPr>
                <w:rFonts w:cs="Times New Roman" w:eastAsia="Times New Roman" w:hAnsi="Calibri" w:ascii="Calibri"/>
                <w:color w:val="000000"/>
                <w:sz w:val="20"/>
                <w:szCs w:val="20"/>
              </w:rPr>
            </w:pPr>
            <w:r w:rsidRPr="00203A6C">
              <w:rPr>
                <w:rFonts w:cs="Times New Roman" w:eastAsia="Times New Roman" w:hAnsi="Calibri" w:ascii="Calibri"/>
                <w:color w:val="000000"/>
                <w:sz w:val="20"/>
                <w:szCs w:val="20"/>
              </w:rPr>
              <w:t>OIB vjerovnika</w:t>
            </w:r>
          </w:p>
        </w:tc>
        <w:tc>
          <w:tcPr>
            <w:tcW w:type="dxa" w:w="1141"/>
            <w:tcBorders>
              <w:top w:space="0" w:sz="4" w:color="auto" w:val="single"/>
              <w:left w:val="nil"/>
              <w:bottom w:space="0" w:sz="4" w:color="auto" w:val="single"/>
              <w:right w:space="0" w:sz="4" w:color="auto" w:val="single"/>
            </w:tcBorders>
            <w:vAlign w:val="center"/>
            <w:hideMark/>
          </w:tcPr>
          <w:p w:rsidRDefault="00203A6C" w:rsidP="00203A6C" w:rsidR="00203A6C" w:rsidRPr="00203A6C">
            <w:pPr>
              <w:spacing w:lineRule="auto" w:line="276" w:after="0"/>
              <w:jc w:val="center"/>
              <w:rPr>
                <w:rFonts w:cs="Times New Roman" w:eastAsia="Times New Roman" w:hAnsi="Calibri" w:ascii="Calibri"/>
                <w:color w:val="000000"/>
                <w:sz w:val="20"/>
                <w:szCs w:val="20"/>
              </w:rPr>
            </w:pPr>
            <w:r w:rsidRPr="00203A6C">
              <w:rPr>
                <w:rFonts w:cs="Times New Roman" w:eastAsia="Times New Roman" w:hAnsi="Calibri" w:ascii="Calibri"/>
                <w:color w:val="000000"/>
                <w:sz w:val="20"/>
                <w:szCs w:val="20"/>
              </w:rPr>
              <w:t>Adresa vjerovnika</w:t>
            </w:r>
          </w:p>
        </w:tc>
        <w:tc>
          <w:tcPr>
            <w:tcW w:type="dxa" w:w="1517"/>
            <w:tcBorders>
              <w:top w:space="0" w:sz="4" w:color="auto" w:val="single"/>
              <w:left w:val="nil"/>
              <w:bottom w:space="0" w:sz="4" w:color="auto" w:val="single"/>
              <w:right w:space="0" w:sz="4" w:color="auto" w:val="single"/>
            </w:tcBorders>
            <w:vAlign w:val="center"/>
            <w:hideMark/>
          </w:tcPr>
          <w:p w:rsidRDefault="00203A6C" w:rsidP="00203A6C" w:rsidR="00203A6C" w:rsidRPr="00203A6C">
            <w:pPr>
              <w:spacing w:lineRule="auto" w:line="276" w:after="0"/>
              <w:jc w:val="center"/>
              <w:rPr>
                <w:rFonts w:cs="Times New Roman" w:eastAsia="Times New Roman" w:hAnsi="Calibri" w:ascii="Calibri"/>
                <w:color w:val="000000"/>
                <w:sz w:val="20"/>
                <w:szCs w:val="20"/>
              </w:rPr>
            </w:pPr>
            <w:r w:rsidRPr="00203A6C">
              <w:rPr>
                <w:rFonts w:cs="Times New Roman" w:eastAsia="Times New Roman" w:hAnsi="Calibri" w:ascii="Calibri"/>
                <w:color w:val="000000"/>
                <w:sz w:val="20"/>
                <w:szCs w:val="20"/>
              </w:rPr>
              <w:t>Iznos prijavljene  tražbine (kn)</w:t>
            </w:r>
          </w:p>
        </w:tc>
        <w:tc>
          <w:tcPr>
            <w:tcW w:type="dxa" w:w="1794"/>
            <w:tcBorders>
              <w:top w:space="0" w:sz="4" w:color="auto" w:val="single"/>
              <w:left w:val="nil"/>
              <w:bottom w:space="0" w:sz="4" w:color="auto" w:val="single"/>
              <w:right w:space="0" w:sz="4" w:color="auto" w:val="single"/>
            </w:tcBorders>
            <w:vAlign w:val="center"/>
            <w:hideMark/>
          </w:tcPr>
          <w:p w:rsidRDefault="00203A6C" w:rsidP="00203A6C" w:rsidR="00203A6C" w:rsidRPr="00203A6C">
            <w:pPr>
              <w:spacing w:lineRule="auto" w:line="276" w:after="0"/>
              <w:jc w:val="center"/>
              <w:rPr>
                <w:rFonts w:cs="Times New Roman" w:eastAsia="Times New Roman" w:hAnsi="Calibri" w:ascii="Calibri"/>
                <w:color w:val="000000"/>
                <w:sz w:val="20"/>
                <w:szCs w:val="20"/>
              </w:rPr>
            </w:pPr>
            <w:r w:rsidRPr="00203A6C">
              <w:rPr>
                <w:rFonts w:cs="Times New Roman" w:eastAsia="Times New Roman" w:hAnsi="Calibri" w:ascii="Calibri"/>
                <w:color w:val="000000"/>
                <w:sz w:val="20"/>
                <w:szCs w:val="20"/>
              </w:rPr>
              <w:t>Iznos priznate/utvrđene tražbine (kn)</w:t>
            </w:r>
          </w:p>
        </w:tc>
      </w:tr>
      <w:tr w:rsidTr="00203A6C" w:rsidR="00203A6C" w:rsidRPr="00203A6C">
        <w:trPr>
          <w:trHeight w:val="398"/>
          <w:jc w:val="center"/>
        </w:trPr>
        <w:tc>
          <w:tcPr>
            <w:tcW w:type="dxa" w:w="746"/>
            <w:tcBorders>
              <w:top w:val="nil"/>
              <w:left w:space="0" w:sz="4" w:color="auto" w:val="single"/>
              <w:bottom w:space="0" w:sz="4" w:color="auto" w:val="single"/>
              <w:right w:space="0" w:sz="4" w:color="auto" w:val="single"/>
            </w:tcBorders>
            <w:vAlign w:val="center"/>
            <w:hideMark/>
          </w:tcPr>
          <w:p w:rsidRDefault="00203A6C" w:rsidP="00203A6C" w:rsidR="00203A6C" w:rsidRPr="00203A6C">
            <w:pPr>
              <w:spacing w:lineRule="auto" w:line="276" w:after="0"/>
              <w:jc w:val="center"/>
              <w:rPr>
                <w:rFonts w:cs="Times New Roman" w:eastAsia="Times New Roman" w:hAnsi="Calibri" w:ascii="Calibri"/>
                <w:color w:val="000000"/>
                <w:sz w:val="20"/>
                <w:szCs w:val="20"/>
              </w:rPr>
            </w:pPr>
            <w:r w:rsidRPr="00203A6C">
              <w:rPr>
                <w:rFonts w:cs="Times New Roman" w:eastAsia="Times New Roman" w:hAnsi="Calibri" w:ascii="Calibri"/>
                <w:color w:val="000000"/>
                <w:sz w:val="20"/>
                <w:szCs w:val="20"/>
              </w:rPr>
              <w:t>1</w:t>
            </w:r>
          </w:p>
        </w:tc>
        <w:tc>
          <w:tcPr>
            <w:tcW w:type="dxa" w:w="1351"/>
            <w:tcBorders>
              <w:top w:val="nil"/>
              <w:left w:val="nil"/>
              <w:bottom w:space="0" w:sz="4" w:color="auto" w:val="single"/>
              <w:right w:space="0" w:sz="4" w:color="auto" w:val="single"/>
            </w:tcBorders>
            <w:vAlign w:val="center"/>
            <w:hideMark/>
          </w:tcPr>
          <w:p w:rsidRDefault="00203A6C" w:rsidP="00203A6C" w:rsidR="00203A6C" w:rsidRPr="00203A6C">
            <w:pPr>
              <w:spacing w:lineRule="auto" w:line="276" w:after="0"/>
              <w:jc w:val="center"/>
              <w:rPr>
                <w:rFonts w:cs="Times New Roman" w:eastAsia="Times New Roman" w:hAnsi="Calibri" w:ascii="Calibri"/>
                <w:color w:val="000000"/>
                <w:sz w:val="20"/>
                <w:szCs w:val="20"/>
              </w:rPr>
            </w:pPr>
            <w:r w:rsidRPr="00203A6C">
              <w:rPr>
                <w:rFonts w:cs="Times New Roman" w:eastAsia="Times New Roman" w:hAnsi="Calibri" w:ascii="Calibri"/>
                <w:color w:val="000000"/>
                <w:sz w:val="20"/>
                <w:szCs w:val="20"/>
              </w:rPr>
              <w:t>2</w:t>
            </w:r>
          </w:p>
        </w:tc>
        <w:tc>
          <w:tcPr>
            <w:tcW w:type="dxa" w:w="1459"/>
            <w:tcBorders>
              <w:top w:val="nil"/>
              <w:left w:val="nil"/>
              <w:bottom w:space="0" w:sz="4" w:color="auto" w:val="single"/>
              <w:right w:space="0" w:sz="4" w:color="auto" w:val="single"/>
            </w:tcBorders>
            <w:vAlign w:val="center"/>
            <w:hideMark/>
          </w:tcPr>
          <w:p w:rsidRDefault="00203A6C" w:rsidP="00203A6C" w:rsidR="00203A6C" w:rsidRPr="00203A6C">
            <w:pPr>
              <w:spacing w:lineRule="auto" w:line="276" w:after="0"/>
              <w:jc w:val="center"/>
              <w:rPr>
                <w:rFonts w:cs="Times New Roman" w:eastAsia="Times New Roman" w:hAnsi="Calibri" w:ascii="Calibri"/>
                <w:color w:val="000000"/>
                <w:sz w:val="20"/>
                <w:szCs w:val="20"/>
              </w:rPr>
            </w:pPr>
            <w:r w:rsidRPr="00203A6C">
              <w:rPr>
                <w:rFonts w:cs="Times New Roman" w:eastAsia="Times New Roman" w:hAnsi="Calibri" w:ascii="Calibri"/>
                <w:color w:val="000000"/>
                <w:sz w:val="20"/>
                <w:szCs w:val="20"/>
              </w:rPr>
              <w:t>3</w:t>
            </w:r>
          </w:p>
        </w:tc>
        <w:tc>
          <w:tcPr>
            <w:tcW w:type="dxa" w:w="1141"/>
            <w:tcBorders>
              <w:top w:val="nil"/>
              <w:left w:val="nil"/>
              <w:bottom w:space="0" w:sz="4" w:color="auto" w:val="single"/>
              <w:right w:space="0" w:sz="4" w:color="auto" w:val="single"/>
            </w:tcBorders>
            <w:vAlign w:val="center"/>
            <w:hideMark/>
          </w:tcPr>
          <w:p w:rsidRDefault="00203A6C" w:rsidP="00203A6C" w:rsidR="00203A6C" w:rsidRPr="00203A6C">
            <w:pPr>
              <w:spacing w:lineRule="auto" w:line="276" w:after="0"/>
              <w:jc w:val="center"/>
              <w:rPr>
                <w:rFonts w:cs="Times New Roman" w:eastAsia="Times New Roman" w:hAnsi="Calibri" w:ascii="Calibri"/>
                <w:color w:val="000000"/>
                <w:sz w:val="20"/>
                <w:szCs w:val="20"/>
              </w:rPr>
            </w:pPr>
            <w:r w:rsidRPr="00203A6C">
              <w:rPr>
                <w:rFonts w:cs="Times New Roman" w:eastAsia="Times New Roman" w:hAnsi="Calibri" w:ascii="Calibri"/>
                <w:color w:val="000000"/>
                <w:sz w:val="20"/>
                <w:szCs w:val="20"/>
              </w:rPr>
              <w:t>4</w:t>
            </w:r>
          </w:p>
        </w:tc>
        <w:tc>
          <w:tcPr>
            <w:tcW w:type="dxa" w:w="1517"/>
            <w:tcBorders>
              <w:top w:val="nil"/>
              <w:left w:val="nil"/>
              <w:bottom w:space="0" w:sz="4" w:color="auto" w:val="single"/>
              <w:right w:space="0" w:sz="4" w:color="auto" w:val="single"/>
            </w:tcBorders>
            <w:vAlign w:val="center"/>
            <w:hideMark/>
          </w:tcPr>
          <w:p w:rsidRDefault="00203A6C" w:rsidP="00203A6C" w:rsidR="00203A6C" w:rsidRPr="00203A6C">
            <w:pPr>
              <w:spacing w:lineRule="auto" w:line="276" w:after="0"/>
              <w:jc w:val="center"/>
              <w:rPr>
                <w:rFonts w:cs="Times New Roman" w:eastAsia="Times New Roman" w:hAnsi="Calibri" w:ascii="Calibri"/>
                <w:color w:val="000000"/>
                <w:sz w:val="20"/>
                <w:szCs w:val="20"/>
              </w:rPr>
            </w:pPr>
            <w:r w:rsidRPr="00203A6C">
              <w:rPr>
                <w:rFonts w:cs="Times New Roman" w:eastAsia="Times New Roman" w:hAnsi="Calibri" w:ascii="Calibri"/>
                <w:color w:val="000000"/>
                <w:sz w:val="20"/>
                <w:szCs w:val="20"/>
              </w:rPr>
              <w:t>5</w:t>
            </w:r>
          </w:p>
        </w:tc>
        <w:tc>
          <w:tcPr>
            <w:tcW w:type="dxa" w:w="1794"/>
            <w:tcBorders>
              <w:top w:val="nil"/>
              <w:left w:val="nil"/>
              <w:bottom w:space="0" w:sz="4" w:color="auto" w:val="single"/>
              <w:right w:space="0" w:sz="4" w:color="auto" w:val="single"/>
            </w:tcBorders>
            <w:vAlign w:val="center"/>
            <w:hideMark/>
          </w:tcPr>
          <w:p w:rsidRDefault="00203A6C" w:rsidP="00203A6C" w:rsidR="00203A6C" w:rsidRPr="00203A6C">
            <w:pPr>
              <w:spacing w:lineRule="auto" w:line="276" w:after="0"/>
              <w:jc w:val="center"/>
              <w:rPr>
                <w:rFonts w:cs="Times New Roman" w:eastAsia="Times New Roman" w:hAnsi="Calibri" w:ascii="Calibri"/>
                <w:color w:val="000000"/>
                <w:sz w:val="20"/>
                <w:szCs w:val="20"/>
              </w:rPr>
            </w:pPr>
            <w:r w:rsidRPr="00203A6C">
              <w:rPr>
                <w:rFonts w:cs="Times New Roman" w:eastAsia="Times New Roman" w:hAnsi="Calibri" w:ascii="Calibri"/>
                <w:color w:val="000000"/>
                <w:sz w:val="20"/>
                <w:szCs w:val="20"/>
              </w:rPr>
              <w:t>7</w:t>
            </w:r>
          </w:p>
        </w:tc>
      </w:tr>
      <w:tr w:rsidTr="00203A6C" w:rsidR="00203A6C" w:rsidRPr="00203A6C">
        <w:trPr>
          <w:trHeight w:val="1373"/>
          <w:jc w:val="center"/>
        </w:trPr>
        <w:tc>
          <w:tcPr>
            <w:tcW w:type="dxa" w:w="746"/>
            <w:tcBorders>
              <w:top w:val="nil"/>
              <w:left w:space="0" w:sz="4" w:color="auto" w:val="single"/>
              <w:bottom w:space="0" w:sz="4" w:color="auto" w:val="single"/>
              <w:right w:space="0" w:sz="4" w:color="auto" w:val="single"/>
            </w:tcBorders>
            <w:noWrap/>
            <w:vAlign w:val="center"/>
            <w:hideMark/>
          </w:tcPr>
          <w:p w:rsidRDefault="00203A6C" w:rsidP="00203A6C" w:rsidR="00203A6C" w:rsidRPr="00203A6C">
            <w:pPr>
              <w:spacing w:lineRule="auto" w:line="276" w:after="0"/>
              <w:jc w:val="center"/>
              <w:rPr>
                <w:rFonts w:cs="Times New Roman" w:eastAsia="Times New Roman" w:hAnsi="Calibri" w:ascii="Calibri"/>
                <w:color w:val="000000"/>
                <w:sz w:val="22"/>
                <w:szCs w:val="22"/>
              </w:rPr>
            </w:pPr>
            <w:r w:rsidRPr="00203A6C">
              <w:rPr>
                <w:rFonts w:cs="Times New Roman" w:eastAsia="Times New Roman" w:hAnsi="Calibri" w:ascii="Calibri"/>
                <w:color w:val="000000"/>
                <w:sz w:val="22"/>
                <w:szCs w:val="22"/>
              </w:rPr>
              <w:t>1.</w:t>
            </w:r>
          </w:p>
        </w:tc>
        <w:tc>
          <w:tcPr>
            <w:tcW w:type="dxa" w:w="1351"/>
            <w:tcBorders>
              <w:top w:val="nil"/>
              <w:left w:val="nil"/>
              <w:bottom w:space="0" w:sz="4" w:color="auto" w:val="single"/>
              <w:right w:space="0" w:sz="4" w:color="auto" w:val="single"/>
            </w:tcBorders>
            <w:vAlign w:val="center"/>
            <w:hideMark/>
          </w:tcPr>
          <w:p w:rsidRDefault="00203A6C" w:rsidP="00203A6C" w:rsidR="00203A6C" w:rsidRPr="00203A6C">
            <w:pPr>
              <w:spacing w:lineRule="auto" w:line="276" w:after="0"/>
              <w:rPr>
                <w:rFonts w:cs="Times New Roman" w:eastAsia="Times New Roman" w:hAnsi="Calibri" w:ascii="Calibri"/>
                <w:color w:val="000000"/>
                <w:sz w:val="22"/>
                <w:szCs w:val="22"/>
              </w:rPr>
            </w:pPr>
            <w:r w:rsidRPr="00203A6C">
              <w:rPr>
                <w:rFonts w:cs="Times New Roman" w:eastAsia="Times New Roman" w:hAnsi="Calibri" w:ascii="Calibri"/>
                <w:color w:val="000000"/>
                <w:sz w:val="22"/>
                <w:szCs w:val="22"/>
              </w:rPr>
              <w:t>STEČAJNA MASA IZA PLANE d.o.o.</w:t>
            </w:r>
          </w:p>
        </w:tc>
        <w:tc>
          <w:tcPr>
            <w:tcW w:type="dxa" w:w="1459"/>
            <w:tcBorders>
              <w:top w:val="nil"/>
              <w:left w:val="nil"/>
              <w:bottom w:space="0" w:sz="4" w:color="auto" w:val="single"/>
              <w:right w:space="0" w:sz="4" w:color="auto" w:val="single"/>
            </w:tcBorders>
            <w:noWrap/>
            <w:vAlign w:val="center"/>
            <w:hideMark/>
          </w:tcPr>
          <w:p w:rsidRDefault="00203A6C" w:rsidP="00203A6C" w:rsidR="00203A6C" w:rsidRPr="00203A6C">
            <w:pPr>
              <w:spacing w:lineRule="auto" w:line="276" w:after="0"/>
              <w:jc w:val="center"/>
              <w:rPr>
                <w:rFonts w:cs="Times New Roman" w:eastAsia="Times New Roman" w:hAnsi="Calibri" w:ascii="Calibri"/>
                <w:color w:val="000000"/>
                <w:sz w:val="22"/>
                <w:szCs w:val="22"/>
              </w:rPr>
            </w:pPr>
            <w:r w:rsidRPr="00203A6C">
              <w:rPr>
                <w:rFonts w:cs="Times New Roman" w:eastAsia="Times New Roman" w:hAnsi="Calibri" w:ascii="Calibri"/>
                <w:color w:val="000000"/>
                <w:sz w:val="22"/>
                <w:szCs w:val="22"/>
              </w:rPr>
              <w:t>12471773281</w:t>
            </w:r>
          </w:p>
        </w:tc>
        <w:tc>
          <w:tcPr>
            <w:tcW w:type="dxa" w:w="1141"/>
            <w:tcBorders>
              <w:top w:val="nil"/>
              <w:left w:val="nil"/>
              <w:bottom w:space="0" w:sz="4" w:color="auto" w:val="single"/>
              <w:right w:space="0" w:sz="4" w:color="auto" w:val="single"/>
            </w:tcBorders>
            <w:vAlign w:val="center"/>
            <w:hideMark/>
          </w:tcPr>
          <w:p w:rsidRDefault="00203A6C" w:rsidP="00203A6C" w:rsidR="00203A6C" w:rsidRPr="00203A6C">
            <w:pPr>
              <w:spacing w:lineRule="auto" w:line="276" w:after="0"/>
              <w:jc w:val="center"/>
              <w:rPr>
                <w:rFonts w:cs="Times New Roman" w:eastAsia="Times New Roman" w:hAnsi="Calibri" w:ascii="Calibri"/>
                <w:color w:val="000000"/>
                <w:sz w:val="20"/>
                <w:szCs w:val="20"/>
              </w:rPr>
            </w:pPr>
            <w:r w:rsidRPr="00203A6C">
              <w:rPr>
                <w:rFonts w:cs="Times New Roman" w:eastAsia="Times New Roman" w:hAnsi="Calibri" w:ascii="Calibri"/>
                <w:color w:val="000000"/>
                <w:sz w:val="20"/>
                <w:szCs w:val="20"/>
              </w:rPr>
              <w:t>Zagreb, Petrinjska 28</w:t>
            </w:r>
          </w:p>
        </w:tc>
        <w:tc>
          <w:tcPr>
            <w:tcW w:type="dxa" w:w="1517"/>
            <w:tcBorders>
              <w:top w:val="nil"/>
              <w:left w:val="nil"/>
              <w:bottom w:space="0" w:sz="4" w:color="auto" w:val="single"/>
              <w:right w:space="0" w:sz="4" w:color="auto" w:val="single"/>
            </w:tcBorders>
            <w:vAlign w:val="center"/>
            <w:hideMark/>
          </w:tcPr>
          <w:p w:rsidRDefault="00203A6C" w:rsidP="00203A6C" w:rsidR="00203A6C" w:rsidRPr="00203A6C">
            <w:pPr>
              <w:spacing w:lineRule="auto" w:line="276" w:after="0"/>
              <w:jc w:val="right"/>
              <w:rPr>
                <w:rFonts w:cs="Times New Roman" w:eastAsia="Times New Roman" w:hAnsi="Calibri" w:ascii="Calibri"/>
                <w:color w:val="000000"/>
                <w:sz w:val="22"/>
                <w:szCs w:val="22"/>
              </w:rPr>
            </w:pPr>
            <w:r w:rsidRPr="00203A6C">
              <w:rPr>
                <w:rFonts w:cs="Times New Roman" w:eastAsia="Times New Roman" w:hAnsi="Calibri" w:ascii="Calibri"/>
                <w:color w:val="000000"/>
                <w:sz w:val="22"/>
                <w:szCs w:val="22"/>
              </w:rPr>
              <w:t>4.030.380,33</w:t>
            </w:r>
          </w:p>
        </w:tc>
        <w:tc>
          <w:tcPr>
            <w:tcW w:type="dxa" w:w="1794"/>
            <w:tcBorders>
              <w:top w:val="nil"/>
              <w:left w:val="nil"/>
              <w:bottom w:space="0" w:sz="4" w:color="auto" w:val="single"/>
              <w:right w:space="0" w:sz="4" w:color="auto" w:val="single"/>
            </w:tcBorders>
            <w:vAlign w:val="center"/>
            <w:hideMark/>
          </w:tcPr>
          <w:p w:rsidRDefault="00203A6C" w:rsidP="00203A6C" w:rsidR="00203A6C" w:rsidRPr="00203A6C">
            <w:pPr>
              <w:spacing w:lineRule="auto" w:line="276" w:after="0"/>
              <w:jc w:val="right"/>
              <w:rPr>
                <w:rFonts w:cs="Times New Roman" w:eastAsia="Times New Roman" w:hAnsi="Calibri" w:ascii="Calibri"/>
                <w:color w:val="000000"/>
                <w:sz w:val="22"/>
                <w:szCs w:val="22"/>
              </w:rPr>
            </w:pPr>
            <w:r w:rsidRPr="00203A6C">
              <w:rPr>
                <w:rFonts w:cs="Times New Roman" w:eastAsia="Times New Roman" w:hAnsi="Calibri" w:ascii="Calibri"/>
                <w:color w:val="000000"/>
                <w:sz w:val="22"/>
                <w:szCs w:val="22"/>
              </w:rPr>
              <w:t>4.030.380,33</w:t>
            </w:r>
          </w:p>
        </w:tc>
      </w:tr>
      <w:tr w:rsidTr="00203A6C" w:rsidR="00203A6C" w:rsidRPr="00203A6C">
        <w:trPr>
          <w:trHeight w:val="1373"/>
          <w:jc w:val="center"/>
        </w:trPr>
        <w:tc>
          <w:tcPr>
            <w:tcW w:type="dxa" w:w="746"/>
            <w:tcBorders>
              <w:top w:val="nil"/>
              <w:left w:space="0" w:sz="4" w:color="auto" w:val="single"/>
              <w:bottom w:space="0" w:sz="4" w:color="auto" w:val="single"/>
              <w:right w:space="0" w:sz="4" w:color="auto" w:val="single"/>
            </w:tcBorders>
            <w:noWrap/>
            <w:vAlign w:val="center"/>
            <w:hideMark/>
          </w:tcPr>
          <w:p w:rsidRDefault="00203A6C" w:rsidP="00203A6C" w:rsidR="00203A6C" w:rsidRPr="00203A6C">
            <w:pPr>
              <w:spacing w:lineRule="auto" w:line="276" w:after="0"/>
              <w:jc w:val="center"/>
              <w:rPr>
                <w:rFonts w:cs="Times New Roman" w:eastAsia="Times New Roman" w:hAnsi="Calibri" w:ascii="Calibri"/>
                <w:color w:val="000000"/>
                <w:sz w:val="22"/>
                <w:szCs w:val="22"/>
              </w:rPr>
            </w:pPr>
            <w:r w:rsidRPr="00203A6C">
              <w:rPr>
                <w:rFonts w:cs="Times New Roman" w:eastAsia="Times New Roman" w:hAnsi="Calibri" w:ascii="Calibri"/>
                <w:color w:val="000000"/>
                <w:sz w:val="22"/>
                <w:szCs w:val="22"/>
              </w:rPr>
              <w:t>2.</w:t>
            </w:r>
          </w:p>
        </w:tc>
        <w:tc>
          <w:tcPr>
            <w:tcW w:type="dxa" w:w="1351"/>
            <w:tcBorders>
              <w:top w:val="nil"/>
              <w:left w:val="nil"/>
              <w:bottom w:space="0" w:sz="4" w:color="auto" w:val="single"/>
              <w:right w:space="0" w:sz="4" w:color="auto" w:val="single"/>
            </w:tcBorders>
            <w:vAlign w:val="center"/>
            <w:hideMark/>
          </w:tcPr>
          <w:p w:rsidRDefault="00203A6C" w:rsidP="00203A6C" w:rsidR="00203A6C" w:rsidRPr="00203A6C">
            <w:pPr>
              <w:spacing w:lineRule="auto" w:line="276" w:after="0"/>
              <w:jc w:val="center"/>
              <w:rPr>
                <w:rFonts w:cs="Times New Roman" w:eastAsia="Times New Roman" w:hAnsi="Calibri" w:ascii="Calibri"/>
                <w:color w:val="000000"/>
                <w:sz w:val="22"/>
                <w:szCs w:val="22"/>
              </w:rPr>
            </w:pPr>
            <w:r w:rsidRPr="00203A6C">
              <w:rPr>
                <w:rFonts w:cs="Times New Roman" w:eastAsia="Times New Roman" w:hAnsi="Calibri" w:ascii="Calibri"/>
                <w:color w:val="000000"/>
                <w:sz w:val="22"/>
                <w:szCs w:val="22"/>
              </w:rPr>
              <w:t>JADRANSKA BANKA  d.d. ŠIBENIK</w:t>
            </w:r>
          </w:p>
        </w:tc>
        <w:tc>
          <w:tcPr>
            <w:tcW w:type="dxa" w:w="1459"/>
            <w:tcBorders>
              <w:top w:val="nil"/>
              <w:left w:val="nil"/>
              <w:bottom w:space="0" w:sz="4" w:color="auto" w:val="single"/>
              <w:right w:space="0" w:sz="4" w:color="auto" w:val="single"/>
            </w:tcBorders>
            <w:vAlign w:val="center"/>
            <w:hideMark/>
          </w:tcPr>
          <w:p w:rsidRDefault="00203A6C" w:rsidP="00203A6C" w:rsidR="00203A6C" w:rsidRPr="00203A6C">
            <w:pPr>
              <w:spacing w:lineRule="auto" w:line="276" w:after="0"/>
              <w:jc w:val="center"/>
              <w:rPr>
                <w:rFonts w:cs="Times New Roman" w:eastAsia="Times New Roman" w:hAnsi="Calibri" w:ascii="Calibri"/>
                <w:color w:val="000000"/>
                <w:sz w:val="22"/>
                <w:szCs w:val="22"/>
              </w:rPr>
            </w:pPr>
            <w:r w:rsidRPr="00203A6C">
              <w:rPr>
                <w:rFonts w:cs="Times New Roman" w:eastAsia="Times New Roman" w:hAnsi="Calibri" w:ascii="Calibri"/>
                <w:color w:val="000000"/>
                <w:sz w:val="22"/>
                <w:szCs w:val="22"/>
              </w:rPr>
              <w:t>o2899494784</w:t>
            </w:r>
          </w:p>
        </w:tc>
        <w:tc>
          <w:tcPr>
            <w:tcW w:type="dxa" w:w="1141"/>
            <w:tcBorders>
              <w:top w:val="nil"/>
              <w:left w:val="nil"/>
              <w:bottom w:space="0" w:sz="4" w:color="auto" w:val="single"/>
              <w:right w:space="0" w:sz="4" w:color="auto" w:val="single"/>
            </w:tcBorders>
            <w:vAlign w:val="center"/>
            <w:hideMark/>
          </w:tcPr>
          <w:p w:rsidRDefault="00203A6C" w:rsidP="00203A6C" w:rsidR="00203A6C" w:rsidRPr="00203A6C">
            <w:pPr>
              <w:spacing w:lineRule="auto" w:line="276" w:after="0"/>
              <w:jc w:val="center"/>
              <w:rPr>
                <w:rFonts w:cs="Times New Roman" w:eastAsia="Times New Roman" w:hAnsi="Calibri" w:ascii="Calibri"/>
                <w:color w:val="000000"/>
                <w:sz w:val="20"/>
                <w:szCs w:val="20"/>
              </w:rPr>
            </w:pPr>
            <w:r w:rsidRPr="00203A6C">
              <w:rPr>
                <w:rFonts w:cs="Times New Roman" w:eastAsia="Times New Roman" w:hAnsi="Calibri" w:ascii="Calibri"/>
                <w:color w:val="000000"/>
                <w:sz w:val="20"/>
                <w:szCs w:val="20"/>
              </w:rPr>
              <w:t>Šibenik,             Ante Starčevića  br. 4</w:t>
            </w:r>
          </w:p>
        </w:tc>
        <w:tc>
          <w:tcPr>
            <w:tcW w:type="dxa" w:w="1517"/>
            <w:tcBorders>
              <w:top w:val="nil"/>
              <w:left w:val="nil"/>
              <w:bottom w:space="0" w:sz="4" w:color="auto" w:val="single"/>
              <w:right w:space="0" w:sz="4" w:color="auto" w:val="single"/>
            </w:tcBorders>
            <w:vAlign w:val="center"/>
            <w:hideMark/>
          </w:tcPr>
          <w:p w:rsidRDefault="00203A6C" w:rsidP="00203A6C" w:rsidR="00203A6C" w:rsidRPr="00203A6C">
            <w:pPr>
              <w:spacing w:lineRule="auto" w:line="276" w:after="0"/>
              <w:jc w:val="right"/>
              <w:rPr>
                <w:rFonts w:cs="Times New Roman" w:eastAsia="Times New Roman" w:hAnsi="Calibri" w:ascii="Calibri"/>
                <w:color w:val="000000"/>
                <w:sz w:val="22"/>
                <w:szCs w:val="22"/>
              </w:rPr>
            </w:pPr>
            <w:r w:rsidRPr="00203A6C">
              <w:rPr>
                <w:rFonts w:cs="Times New Roman" w:eastAsia="Times New Roman" w:hAnsi="Calibri" w:ascii="Calibri"/>
                <w:color w:val="000000"/>
                <w:sz w:val="22"/>
                <w:szCs w:val="22"/>
              </w:rPr>
              <w:t>11.240.174,74</w:t>
            </w:r>
          </w:p>
        </w:tc>
        <w:tc>
          <w:tcPr>
            <w:tcW w:type="dxa" w:w="1794"/>
            <w:tcBorders>
              <w:top w:val="nil"/>
              <w:left w:val="nil"/>
              <w:bottom w:space="0" w:sz="4" w:color="auto" w:val="single"/>
              <w:right w:space="0" w:sz="4" w:color="auto" w:val="single"/>
            </w:tcBorders>
            <w:vAlign w:val="center"/>
            <w:hideMark/>
          </w:tcPr>
          <w:p w:rsidRDefault="00203A6C" w:rsidP="00203A6C" w:rsidR="00203A6C" w:rsidRPr="00203A6C">
            <w:pPr>
              <w:spacing w:lineRule="auto" w:line="276" w:after="0"/>
              <w:jc w:val="right"/>
              <w:rPr>
                <w:rFonts w:cs="Times New Roman" w:eastAsia="Times New Roman" w:hAnsi="Calibri" w:ascii="Calibri"/>
                <w:color w:val="000000"/>
                <w:sz w:val="22"/>
                <w:szCs w:val="22"/>
              </w:rPr>
            </w:pPr>
            <w:r w:rsidRPr="00203A6C">
              <w:rPr>
                <w:rFonts w:cs="Times New Roman" w:eastAsia="Times New Roman" w:hAnsi="Calibri" w:ascii="Calibri"/>
                <w:color w:val="000000"/>
                <w:sz w:val="22"/>
                <w:szCs w:val="22"/>
              </w:rPr>
              <w:t>11.240.174,74</w:t>
            </w:r>
          </w:p>
        </w:tc>
      </w:tr>
      <w:tr w:rsidTr="00203A6C" w:rsidR="00203A6C" w:rsidRPr="00203A6C">
        <w:trPr>
          <w:trHeight w:val="1811"/>
          <w:jc w:val="center"/>
        </w:trPr>
        <w:tc>
          <w:tcPr>
            <w:tcW w:type="dxa" w:w="746"/>
            <w:tcBorders>
              <w:top w:val="nil"/>
              <w:left w:space="0" w:sz="4" w:color="auto" w:val="single"/>
              <w:bottom w:val="nil"/>
              <w:right w:space="0" w:sz="4" w:color="auto" w:val="single"/>
            </w:tcBorders>
            <w:noWrap/>
            <w:vAlign w:val="center"/>
            <w:hideMark/>
          </w:tcPr>
          <w:p w:rsidRDefault="00203A6C" w:rsidP="00203A6C" w:rsidR="00203A6C" w:rsidRPr="00203A6C">
            <w:pPr>
              <w:spacing w:lineRule="auto" w:line="276" w:after="0"/>
              <w:jc w:val="center"/>
              <w:rPr>
                <w:rFonts w:cs="Times New Roman" w:eastAsia="Times New Roman" w:hAnsi="Calibri" w:ascii="Calibri"/>
                <w:color w:val="000000"/>
                <w:sz w:val="22"/>
                <w:szCs w:val="22"/>
              </w:rPr>
            </w:pPr>
            <w:r w:rsidRPr="00203A6C">
              <w:rPr>
                <w:rFonts w:cs="Times New Roman" w:eastAsia="Times New Roman" w:hAnsi="Calibri" w:ascii="Calibri"/>
                <w:color w:val="000000"/>
                <w:sz w:val="22"/>
                <w:szCs w:val="22"/>
              </w:rPr>
              <w:t>3.</w:t>
            </w:r>
          </w:p>
        </w:tc>
        <w:tc>
          <w:tcPr>
            <w:tcW w:type="dxa" w:w="1351"/>
            <w:tcBorders>
              <w:top w:val="nil"/>
              <w:left w:val="nil"/>
              <w:bottom w:val="nil"/>
              <w:right w:space="0" w:sz="4" w:color="auto" w:val="single"/>
            </w:tcBorders>
            <w:vAlign w:val="center"/>
            <w:hideMark/>
          </w:tcPr>
          <w:p w:rsidRDefault="00203A6C" w:rsidP="00203A6C" w:rsidR="00203A6C" w:rsidRPr="00203A6C">
            <w:pPr>
              <w:spacing w:lineRule="auto" w:line="276" w:after="0"/>
              <w:jc w:val="center"/>
              <w:rPr>
                <w:rFonts w:cs="Times New Roman" w:eastAsia="Times New Roman" w:hAnsi="Calibri" w:ascii="Calibri"/>
                <w:color w:val="000000"/>
                <w:sz w:val="22"/>
                <w:szCs w:val="22"/>
              </w:rPr>
            </w:pPr>
            <w:r w:rsidRPr="00203A6C">
              <w:rPr>
                <w:rFonts w:cs="Times New Roman" w:eastAsia="Times New Roman" w:hAnsi="Calibri" w:ascii="Calibri"/>
                <w:color w:val="000000"/>
                <w:sz w:val="22"/>
                <w:szCs w:val="22"/>
              </w:rPr>
              <w:t>R.H. Minisrarstvo financija Područni ured Dalmacija</w:t>
            </w:r>
          </w:p>
        </w:tc>
        <w:tc>
          <w:tcPr>
            <w:tcW w:type="dxa" w:w="1459"/>
            <w:tcBorders>
              <w:top w:val="nil"/>
              <w:left w:val="nil"/>
              <w:bottom w:val="nil"/>
              <w:right w:space="0" w:sz="4" w:color="auto" w:val="single"/>
            </w:tcBorders>
            <w:noWrap/>
            <w:vAlign w:val="center"/>
            <w:hideMark/>
          </w:tcPr>
          <w:p w:rsidRDefault="00203A6C" w:rsidP="00203A6C" w:rsidR="00203A6C" w:rsidRPr="00203A6C">
            <w:pPr>
              <w:spacing w:lineRule="auto" w:line="276" w:after="0"/>
              <w:jc w:val="center"/>
              <w:rPr>
                <w:rFonts w:cs="Times New Roman" w:eastAsia="Times New Roman" w:hAnsi="Calibri" w:ascii="Calibri"/>
                <w:color w:val="000000"/>
                <w:sz w:val="22"/>
                <w:szCs w:val="22"/>
              </w:rPr>
            </w:pPr>
            <w:r w:rsidRPr="00203A6C">
              <w:rPr>
                <w:rFonts w:cs="Times New Roman" w:eastAsia="Times New Roman" w:hAnsi="Calibri" w:ascii="Calibri"/>
                <w:color w:val="000000"/>
                <w:sz w:val="22"/>
                <w:szCs w:val="22"/>
              </w:rPr>
              <w:t>18683136487</w:t>
            </w:r>
          </w:p>
        </w:tc>
        <w:tc>
          <w:tcPr>
            <w:tcW w:type="dxa" w:w="1141"/>
            <w:tcBorders>
              <w:top w:val="nil"/>
              <w:left w:val="nil"/>
              <w:bottom w:val="nil"/>
              <w:right w:space="0" w:sz="4" w:color="auto" w:val="single"/>
            </w:tcBorders>
            <w:vAlign w:val="center"/>
            <w:hideMark/>
          </w:tcPr>
          <w:p w:rsidRDefault="00203A6C" w:rsidP="00203A6C" w:rsidR="00203A6C" w:rsidRPr="00203A6C">
            <w:pPr>
              <w:spacing w:lineRule="auto" w:line="276" w:after="0"/>
              <w:jc w:val="center"/>
              <w:rPr>
                <w:rFonts w:cs="Times New Roman" w:eastAsia="Times New Roman" w:hAnsi="Calibri" w:ascii="Calibri"/>
                <w:color w:val="000000"/>
                <w:sz w:val="20"/>
                <w:szCs w:val="20"/>
              </w:rPr>
            </w:pPr>
            <w:r w:rsidRPr="00203A6C">
              <w:rPr>
                <w:rFonts w:cs="Times New Roman" w:eastAsia="Times New Roman" w:hAnsi="Calibri" w:ascii="Calibri"/>
                <w:color w:val="000000"/>
                <w:sz w:val="20"/>
                <w:szCs w:val="20"/>
              </w:rPr>
              <w:t>Šibenik,           Obala Hrvatske mornarice 3</w:t>
            </w:r>
          </w:p>
        </w:tc>
        <w:tc>
          <w:tcPr>
            <w:tcW w:type="dxa" w:w="1517"/>
            <w:tcBorders>
              <w:top w:val="nil"/>
              <w:left w:val="nil"/>
              <w:bottom w:val="nil"/>
              <w:right w:space="0" w:sz="4" w:color="auto" w:val="single"/>
            </w:tcBorders>
            <w:vAlign w:val="center"/>
            <w:hideMark/>
          </w:tcPr>
          <w:p w:rsidRDefault="00203A6C" w:rsidP="00203A6C" w:rsidR="00203A6C" w:rsidRPr="00203A6C">
            <w:pPr>
              <w:spacing w:lineRule="auto" w:line="276" w:after="0"/>
              <w:jc w:val="right"/>
              <w:rPr>
                <w:rFonts w:cs="Times New Roman" w:eastAsia="Times New Roman" w:hAnsi="Calibri" w:ascii="Calibri"/>
                <w:color w:val="000000"/>
                <w:sz w:val="22"/>
                <w:szCs w:val="22"/>
              </w:rPr>
            </w:pPr>
            <w:r w:rsidRPr="00203A6C">
              <w:rPr>
                <w:rFonts w:cs="Times New Roman" w:eastAsia="Times New Roman" w:hAnsi="Calibri" w:ascii="Calibri"/>
                <w:color w:val="000000"/>
                <w:sz w:val="22"/>
                <w:szCs w:val="22"/>
              </w:rPr>
              <w:t>47.442,52</w:t>
            </w:r>
          </w:p>
        </w:tc>
        <w:tc>
          <w:tcPr>
            <w:tcW w:type="dxa" w:w="1794"/>
            <w:tcBorders>
              <w:top w:val="nil"/>
              <w:left w:val="nil"/>
              <w:bottom w:val="nil"/>
              <w:right w:space="0" w:sz="4" w:color="auto" w:val="single"/>
            </w:tcBorders>
            <w:noWrap/>
            <w:vAlign w:val="center"/>
            <w:hideMark/>
          </w:tcPr>
          <w:p w:rsidRDefault="00203A6C" w:rsidP="00203A6C" w:rsidR="00203A6C" w:rsidRPr="00203A6C">
            <w:pPr>
              <w:spacing w:lineRule="auto" w:line="276" w:after="0"/>
              <w:jc w:val="right"/>
              <w:rPr>
                <w:rFonts w:cs="Times New Roman" w:eastAsia="Times New Roman" w:hAnsi="Calibri" w:ascii="Calibri"/>
                <w:color w:val="000000"/>
                <w:sz w:val="22"/>
                <w:szCs w:val="22"/>
              </w:rPr>
            </w:pPr>
            <w:r w:rsidRPr="00203A6C">
              <w:rPr>
                <w:rFonts w:cs="Times New Roman" w:eastAsia="Times New Roman" w:hAnsi="Calibri" w:ascii="Calibri"/>
                <w:color w:val="000000"/>
                <w:sz w:val="22"/>
                <w:szCs w:val="22"/>
              </w:rPr>
              <w:t>47.442,52</w:t>
            </w:r>
          </w:p>
        </w:tc>
      </w:tr>
      <w:tr w:rsidTr="00203A6C" w:rsidR="00203A6C" w:rsidRPr="00203A6C">
        <w:trPr>
          <w:trHeight w:val="604"/>
          <w:jc w:val="center"/>
        </w:trPr>
        <w:tc>
          <w:tcPr>
            <w:tcW w:type="dxa" w:w="746"/>
            <w:tcBorders>
              <w:top w:space="0" w:sz="4" w:color="auto" w:val="single"/>
              <w:left w:space="0" w:sz="4" w:color="auto" w:val="single"/>
              <w:bottom w:space="0" w:sz="4" w:color="auto" w:val="single"/>
              <w:right w:val="nil"/>
            </w:tcBorders>
            <w:noWrap/>
            <w:vAlign w:val="bottom"/>
            <w:hideMark/>
          </w:tcPr>
          <w:p w:rsidRDefault="00203A6C" w:rsidP="00203A6C" w:rsidR="00203A6C" w:rsidRPr="00203A6C">
            <w:pPr>
              <w:spacing w:lineRule="auto" w:line="276" w:after="0"/>
              <w:rPr>
                <w:rFonts w:cs="Times New Roman" w:eastAsia="Times New Roman" w:hAnsi="Calibri" w:ascii="Calibri"/>
                <w:color w:val="000000"/>
                <w:sz w:val="22"/>
                <w:szCs w:val="22"/>
              </w:rPr>
            </w:pPr>
            <w:r w:rsidRPr="00203A6C">
              <w:rPr>
                <w:rFonts w:cs="Times New Roman" w:eastAsia="Times New Roman" w:hAnsi="Calibri" w:ascii="Calibri"/>
                <w:color w:val="000000"/>
                <w:sz w:val="22"/>
                <w:szCs w:val="22"/>
              </w:rPr>
              <w:lastRenderedPageBreak/>
              <w:t> </w:t>
            </w:r>
          </w:p>
        </w:tc>
        <w:tc>
          <w:tcPr>
            <w:tcW w:type="dxa" w:w="1351"/>
            <w:tcBorders>
              <w:top w:space="0" w:sz="4" w:color="auto" w:val="single"/>
              <w:left w:val="nil"/>
              <w:bottom w:space="0" w:sz="4" w:color="auto" w:val="single"/>
              <w:right w:val="nil"/>
            </w:tcBorders>
            <w:vAlign w:val="center"/>
            <w:hideMark/>
          </w:tcPr>
          <w:p w:rsidRDefault="00203A6C" w:rsidP="00203A6C" w:rsidR="00203A6C" w:rsidRPr="00203A6C">
            <w:pPr>
              <w:spacing w:lineRule="auto" w:line="276" w:after="0"/>
              <w:jc w:val="center"/>
              <w:rPr>
                <w:rFonts w:cs="Times New Roman" w:eastAsia="Times New Roman" w:hAnsi="Calibri" w:ascii="Calibri"/>
                <w:b/>
                <w:bCs/>
                <w:color w:val="000000"/>
                <w:sz w:val="20"/>
                <w:szCs w:val="20"/>
              </w:rPr>
            </w:pPr>
            <w:r w:rsidRPr="00203A6C">
              <w:rPr>
                <w:rFonts w:cs="Times New Roman" w:eastAsia="Times New Roman" w:hAnsi="Calibri" w:ascii="Calibri"/>
                <w:b/>
                <w:bCs/>
                <w:color w:val="000000"/>
                <w:sz w:val="20"/>
                <w:szCs w:val="20"/>
              </w:rPr>
              <w:t>UKUPNO :</w:t>
            </w:r>
          </w:p>
        </w:tc>
        <w:tc>
          <w:tcPr>
            <w:tcW w:type="dxa" w:w="1459"/>
            <w:tcBorders>
              <w:top w:space="0" w:sz="4" w:color="auto" w:val="single"/>
              <w:left w:val="nil"/>
              <w:bottom w:space="0" w:sz="4" w:color="auto" w:val="single"/>
              <w:right w:val="nil"/>
            </w:tcBorders>
            <w:vAlign w:val="center"/>
            <w:hideMark/>
          </w:tcPr>
          <w:p w:rsidRDefault="00203A6C" w:rsidP="00203A6C" w:rsidR="00203A6C" w:rsidRPr="00203A6C">
            <w:pPr>
              <w:spacing w:lineRule="auto" w:line="276" w:after="0"/>
              <w:jc w:val="center"/>
              <w:rPr>
                <w:rFonts w:cs="Times New Roman" w:eastAsia="Times New Roman" w:hAnsi="Calibri" w:ascii="Calibri"/>
                <w:b/>
                <w:bCs/>
                <w:color w:val="000000"/>
                <w:sz w:val="20"/>
                <w:szCs w:val="20"/>
              </w:rPr>
            </w:pPr>
            <w:r w:rsidRPr="00203A6C">
              <w:rPr>
                <w:rFonts w:cs="Times New Roman" w:eastAsia="Times New Roman" w:hAnsi="Calibri" w:ascii="Calibri"/>
                <w:b/>
                <w:bCs/>
                <w:color w:val="000000"/>
                <w:sz w:val="20"/>
                <w:szCs w:val="20"/>
              </w:rPr>
              <w:t> </w:t>
            </w:r>
          </w:p>
        </w:tc>
        <w:tc>
          <w:tcPr>
            <w:tcW w:type="dxa" w:w="1141"/>
            <w:tcBorders>
              <w:top w:space="0" w:sz="4" w:color="auto" w:val="single"/>
              <w:left w:val="nil"/>
              <w:bottom w:space="0" w:sz="4" w:color="auto" w:val="single"/>
              <w:right w:val="nil"/>
            </w:tcBorders>
            <w:vAlign w:val="center"/>
            <w:hideMark/>
          </w:tcPr>
          <w:p w:rsidRDefault="00203A6C" w:rsidP="00203A6C" w:rsidR="00203A6C" w:rsidRPr="00203A6C">
            <w:pPr>
              <w:spacing w:lineRule="auto" w:line="276" w:after="0"/>
              <w:jc w:val="center"/>
              <w:rPr>
                <w:rFonts w:cs="Times New Roman" w:eastAsia="Times New Roman" w:hAnsi="Calibri" w:ascii="Calibri"/>
                <w:b/>
                <w:bCs/>
                <w:color w:val="000000"/>
                <w:sz w:val="22"/>
                <w:szCs w:val="22"/>
              </w:rPr>
            </w:pPr>
            <w:r w:rsidRPr="00203A6C">
              <w:rPr>
                <w:rFonts w:cs="Times New Roman" w:eastAsia="Times New Roman" w:hAnsi="Calibri" w:ascii="Calibri"/>
                <w:b/>
                <w:bCs/>
                <w:color w:val="000000"/>
                <w:sz w:val="22"/>
                <w:szCs w:val="22"/>
              </w:rPr>
              <w:t> </w:t>
            </w:r>
          </w:p>
        </w:tc>
        <w:tc>
          <w:tcPr>
            <w:tcW w:type="dxa" w:w="1517"/>
            <w:tcBorders>
              <w:top w:space="0" w:sz="4" w:color="auto" w:val="single"/>
              <w:left w:val="nil"/>
              <w:bottom w:space="0" w:sz="4" w:color="auto" w:val="single"/>
              <w:right w:val="nil"/>
            </w:tcBorders>
            <w:vAlign w:val="center"/>
            <w:hideMark/>
          </w:tcPr>
          <w:p w:rsidRDefault="00203A6C" w:rsidP="00203A6C" w:rsidR="00203A6C" w:rsidRPr="00203A6C">
            <w:pPr>
              <w:spacing w:lineRule="auto" w:line="276" w:after="0"/>
              <w:jc w:val="right"/>
              <w:rPr>
                <w:rFonts w:cs="Times New Roman" w:eastAsia="Times New Roman" w:hAnsi="Calibri" w:ascii="Calibri"/>
                <w:b/>
                <w:bCs/>
                <w:color w:val="000000"/>
                <w:sz w:val="22"/>
                <w:szCs w:val="22"/>
              </w:rPr>
            </w:pPr>
            <w:r w:rsidRPr="00203A6C">
              <w:rPr>
                <w:rFonts w:cs="Times New Roman" w:eastAsia="Times New Roman" w:hAnsi="Calibri" w:ascii="Calibri"/>
                <w:b/>
                <w:bCs/>
                <w:color w:val="000000"/>
                <w:sz w:val="22"/>
                <w:szCs w:val="22"/>
              </w:rPr>
              <w:t>15.317.997,59</w:t>
            </w:r>
          </w:p>
        </w:tc>
        <w:tc>
          <w:tcPr>
            <w:tcW w:type="dxa" w:w="1794"/>
            <w:tcBorders>
              <w:top w:space="0" w:sz="4" w:color="auto" w:val="single"/>
              <w:left w:val="nil"/>
              <w:bottom w:space="0" w:sz="4" w:color="auto" w:val="single"/>
              <w:right w:val="nil"/>
            </w:tcBorders>
            <w:vAlign w:val="center"/>
            <w:hideMark/>
          </w:tcPr>
          <w:p w:rsidRDefault="00203A6C" w:rsidP="00203A6C" w:rsidR="00203A6C" w:rsidRPr="00203A6C">
            <w:pPr>
              <w:spacing w:lineRule="auto" w:line="276" w:after="0"/>
              <w:jc w:val="right"/>
              <w:rPr>
                <w:rFonts w:cs="Times New Roman" w:eastAsia="Times New Roman" w:hAnsi="Calibri" w:ascii="Calibri"/>
                <w:b/>
                <w:bCs/>
                <w:color w:val="000000"/>
                <w:sz w:val="22"/>
                <w:szCs w:val="22"/>
              </w:rPr>
            </w:pPr>
            <w:r w:rsidRPr="00203A6C">
              <w:rPr>
                <w:rFonts w:cs="Times New Roman" w:eastAsia="Times New Roman" w:hAnsi="Calibri" w:ascii="Calibri"/>
                <w:b/>
                <w:bCs/>
                <w:color w:val="000000"/>
                <w:sz w:val="22"/>
                <w:szCs w:val="22"/>
              </w:rPr>
              <w:t>15.317.997,59</w:t>
            </w:r>
          </w:p>
        </w:tc>
      </w:tr>
    </w:tbl>
    <w:p w:rsidRDefault="00203A6C" w:rsidP="00203A6C" w:rsidR="00203A6C" w:rsidRPr="00203A6C">
      <w:pPr>
        <w:spacing w:lineRule="atLeast" w:line="240" w:after="0"/>
        <w:ind w:firstLine="708"/>
        <w:rPr>
          <w:rFonts w:cs="Times New Roman" w:eastAsia="Times New Roman"/>
          <w:lang w:eastAsia="hr-HR"/>
        </w:rPr>
      </w:pPr>
    </w:p>
    <w:p w:rsidRDefault="00203A6C" w:rsidP="00203A6C" w:rsidR="00203A6C" w:rsidRPr="00203A6C">
      <w:pPr>
        <w:spacing w:lineRule="atLeast" w:line="240" w:after="0"/>
        <w:ind w:firstLine="708"/>
        <w:jc w:val="both"/>
        <w:rPr>
          <w:rFonts w:cs="Times New Roman" w:eastAsia="Times New Roman"/>
          <w:lang w:eastAsia="hr-HR"/>
        </w:rPr>
      </w:pPr>
      <w:r w:rsidRPr="00203A6C">
        <w:rPr>
          <w:rFonts w:cs="Times New Roman" w:eastAsia="Times New Roman"/>
          <w:lang w:eastAsia="hr-HR"/>
        </w:rPr>
        <w:t>II. Ovo rješenje o utvrđenim tražbinama će se objaviti na mrežnoj stranici e-Oglasna ploča sudova.</w:t>
      </w:r>
    </w:p>
    <w:p w:rsidRDefault="00203A6C" w:rsidP="00203A6C" w:rsidR="00203A6C" w:rsidRPr="00203A6C">
      <w:pPr>
        <w:spacing w:lineRule="atLeast" w:line="240" w:after="0"/>
        <w:ind w:firstLine="708"/>
        <w:jc w:val="center"/>
        <w:rPr>
          <w:rFonts w:cs="Times New Roman" w:eastAsia="Times New Roman"/>
          <w:lang w:eastAsia="hr-HR"/>
        </w:rPr>
      </w:pPr>
      <w:r w:rsidRPr="00203A6C">
        <w:rPr>
          <w:rFonts w:cs="Times New Roman" w:eastAsia="Times New Roman"/>
          <w:lang w:eastAsia="hr-HR"/>
        </w:rPr>
        <w:t>Obrazloženje</w:t>
      </w:r>
    </w:p>
    <w:p w:rsidRDefault="00203A6C" w:rsidP="00203A6C" w:rsidR="00203A6C" w:rsidRPr="00203A6C">
      <w:pPr>
        <w:spacing w:lineRule="atLeast" w:line="240" w:after="0"/>
        <w:jc w:val="center"/>
        <w:rPr>
          <w:rFonts w:cs="Times New Roman" w:eastAsia="Times New Roman"/>
          <w:lang w:eastAsia="hr-HR"/>
        </w:rPr>
      </w:pPr>
    </w:p>
    <w:p w:rsidRDefault="00203A6C" w:rsidP="00203A6C" w:rsidR="00203A6C" w:rsidRPr="00203A6C">
      <w:pPr>
        <w:spacing w:lineRule="atLeast" w:line="240" w:after="0"/>
        <w:ind w:firstLine="708"/>
        <w:jc w:val="both"/>
        <w:rPr>
          <w:rFonts w:cs="Times New Roman" w:eastAsia="Times New Roman"/>
          <w:lang w:eastAsia="hr-HR"/>
        </w:rPr>
      </w:pPr>
      <w:r w:rsidRPr="00203A6C">
        <w:rPr>
          <w:rFonts w:cs="Times New Roman" w:eastAsia="Times New Roman"/>
          <w:lang w:eastAsia="hr-HR"/>
        </w:rPr>
        <w:t xml:space="preserve">Rješenjem ovog suda poslovni broj gornji od 19. rujna 2016. otvoren je stečajni postupak nad uvodno označenim stečajnim dužnikom te je između ostalog zakazano ispitno ročište na koje su pozvani vjerovnici i stečajni upravitelj dužnika. </w:t>
      </w:r>
    </w:p>
    <w:p w:rsidRDefault="00203A6C" w:rsidP="00203A6C" w:rsidR="00203A6C" w:rsidRPr="00203A6C">
      <w:pPr>
        <w:spacing w:lineRule="atLeast" w:line="240" w:after="0"/>
        <w:ind w:firstLine="708"/>
        <w:jc w:val="both"/>
        <w:rPr>
          <w:rFonts w:cs="Times New Roman" w:eastAsia="Times New Roman"/>
          <w:lang w:eastAsia="hr-HR"/>
        </w:rPr>
      </w:pPr>
      <w:r w:rsidRPr="00203A6C">
        <w:rPr>
          <w:rFonts w:cs="Times New Roman" w:eastAsia="Times New Roman"/>
          <w:lang w:eastAsia="hr-HR"/>
        </w:rPr>
        <w:t xml:space="preserve">Na ispitnom ročištu prvotno zakazanom za 2. prosinca 2016., a potom krivnjom stečajnog upravitelja odgođenom za dan 16. siječnja 2017. na trošak istog, ispitane su sve prijavljene tražbine vjerovnika drugog višeg isplatnog reda pobliže označene u točki I. izreke ovog rješenja po svom iznosu i isplatnom redu. </w:t>
      </w:r>
    </w:p>
    <w:p w:rsidRDefault="00203A6C" w:rsidP="00203A6C" w:rsidR="00203A6C" w:rsidRPr="00203A6C">
      <w:pPr>
        <w:spacing w:lineRule="atLeast" w:line="240" w:after="0"/>
        <w:ind w:firstLine="708"/>
        <w:jc w:val="both"/>
        <w:rPr>
          <w:rFonts w:cs="Times New Roman" w:eastAsia="Times New Roman"/>
          <w:lang w:eastAsia="hr-HR"/>
        </w:rPr>
      </w:pPr>
      <w:r w:rsidRPr="00203A6C">
        <w:rPr>
          <w:rFonts w:cs="Times New Roman" w:eastAsia="Times New Roman"/>
          <w:lang w:eastAsia="hr-HR"/>
        </w:rPr>
        <w:t xml:space="preserve">Odredbom čl. 263. Stečajnog zakona (Narodne novine broj 71/15, u nastavku odluke: SZ) je propisano da se tražbina smatra utvrđenom ako je na ispitnom ročištu prizna stečajni upravitelj i ne ospori stečajni vjerovnik.  </w:t>
      </w:r>
    </w:p>
    <w:p w:rsidRDefault="00203A6C" w:rsidP="00203A6C" w:rsidR="00203A6C" w:rsidRPr="00203A6C">
      <w:pPr>
        <w:spacing w:lineRule="atLeast" w:line="240" w:after="0"/>
        <w:ind w:firstLine="708"/>
        <w:jc w:val="both"/>
        <w:rPr>
          <w:rFonts w:cs="Times New Roman" w:eastAsia="Times New Roman"/>
          <w:lang w:eastAsia="hr-HR"/>
        </w:rPr>
      </w:pPr>
      <w:r w:rsidRPr="00203A6C">
        <w:rPr>
          <w:rFonts w:cs="Times New Roman" w:eastAsia="Times New Roman"/>
          <w:lang w:eastAsia="hr-HR"/>
        </w:rPr>
        <w:t xml:space="preserve">S obzirom da je stečajni upravitelj na ispitnom ročištu priznao sve prijavljene tražbine drugog višeg isplatnog reda te da iste nije osporio nitko od nazočnih stečajnih vjerovnika, to se iste smatraju utvrđenima u smislu citirane odredbe čl. 263. SZ-a. </w:t>
      </w:r>
    </w:p>
    <w:p w:rsidRDefault="00203A6C" w:rsidP="00203A6C" w:rsidR="00203A6C" w:rsidRPr="00203A6C">
      <w:pPr>
        <w:spacing w:lineRule="atLeast" w:line="240" w:after="0"/>
        <w:ind w:firstLine="708"/>
        <w:jc w:val="both"/>
        <w:rPr>
          <w:rFonts w:cs="Times New Roman" w:eastAsia="Times New Roman"/>
          <w:lang w:eastAsia="hr-HR"/>
        </w:rPr>
      </w:pPr>
      <w:r w:rsidRPr="00203A6C">
        <w:rPr>
          <w:rFonts w:cs="Times New Roman" w:eastAsia="Times New Roman"/>
          <w:lang w:eastAsia="hr-HR"/>
        </w:rPr>
        <w:t xml:space="preserve">Slijedom navedenog, a postupajući sukladno odredbi čl. 264. SZ-a, ovaj sud je sastavio tablicu ispitanih tražbina u koju je za svaku prijavljenu tražbinu unio u kojoj je mjeri ista utvrđena prema svom iznosu i redu, zbog čega je temeljem odredbe čl. 265. st. 1. i 2. u svezi s čl. 263. SZ-a, donesena odluka kao u izreci rješenja.  </w:t>
      </w:r>
    </w:p>
    <w:p w:rsidRDefault="00203A6C" w:rsidP="00203A6C" w:rsidR="00203A6C" w:rsidRPr="00203A6C">
      <w:pPr>
        <w:spacing w:lineRule="atLeast" w:line="240" w:after="0"/>
        <w:ind w:firstLine="708"/>
        <w:jc w:val="both"/>
        <w:rPr>
          <w:rFonts w:cs="Times New Roman" w:eastAsia="Times New Roman"/>
          <w:lang w:eastAsia="hr-HR"/>
        </w:rPr>
      </w:pPr>
    </w:p>
    <w:p w:rsidRDefault="00203A6C" w:rsidP="00203A6C" w:rsidR="00203A6C" w:rsidRPr="00203A6C">
      <w:pPr>
        <w:spacing w:lineRule="atLeast" w:line="240" w:after="0"/>
        <w:ind w:firstLine="708"/>
        <w:jc w:val="both"/>
        <w:rPr>
          <w:rFonts w:cs="Times New Roman" w:eastAsia="Times New Roman"/>
          <w:lang w:eastAsia="hr-HR"/>
        </w:rPr>
      </w:pPr>
    </w:p>
    <w:p w:rsidRDefault="00203A6C" w:rsidP="00203A6C" w:rsidR="00203A6C" w:rsidRPr="00203A6C">
      <w:pPr>
        <w:spacing w:lineRule="atLeast" w:line="240" w:after="0"/>
        <w:jc w:val="center"/>
        <w:rPr>
          <w:rFonts w:cs="Times New Roman" w:eastAsia="Times New Roman"/>
          <w:lang w:eastAsia="hr-HR"/>
        </w:rPr>
      </w:pPr>
      <w:r w:rsidRPr="00203A6C">
        <w:rPr>
          <w:rFonts w:cs="Times New Roman" w:eastAsia="Times New Roman"/>
          <w:lang w:eastAsia="hr-HR"/>
        </w:rPr>
        <w:t xml:space="preserve">U Zadru 17. siječnja 2017. </w:t>
      </w:r>
    </w:p>
    <w:p w:rsidRDefault="00203A6C" w:rsidP="00203A6C" w:rsidR="00203A6C" w:rsidRPr="00203A6C">
      <w:pPr>
        <w:spacing w:lineRule="atLeast" w:line="240" w:after="0"/>
        <w:jc w:val="center"/>
        <w:rPr>
          <w:rFonts w:cs="Times New Roman" w:eastAsia="Times New Roman"/>
          <w:lang w:eastAsia="hr-HR"/>
        </w:rPr>
      </w:pPr>
    </w:p>
    <w:p w:rsidRDefault="00203A6C" w:rsidP="00203A6C" w:rsidR="00203A6C" w:rsidRPr="00203A6C">
      <w:pPr>
        <w:spacing w:after="0"/>
        <w:jc w:val="right"/>
        <w:rPr>
          <w:rFonts w:cs="Times New Roman" w:eastAsia="Times New Roman"/>
          <w:lang w:eastAsia="hr-HR"/>
        </w:rPr>
      </w:pPr>
      <w:r w:rsidRPr="00203A6C">
        <w:rPr>
          <w:rFonts w:cs="Times New Roman" w:eastAsia="Times New Roman"/>
          <w:lang w:eastAsia="hr-HR"/>
        </w:rPr>
        <w:tab/>
      </w:r>
      <w:r w:rsidRPr="00203A6C">
        <w:rPr>
          <w:rFonts w:cs="Times New Roman" w:eastAsia="Times New Roman"/>
          <w:lang w:eastAsia="hr-HR"/>
        </w:rPr>
        <w:tab/>
      </w:r>
      <w:r w:rsidRPr="00203A6C">
        <w:rPr>
          <w:rFonts w:cs="Times New Roman" w:eastAsia="Times New Roman"/>
          <w:lang w:eastAsia="hr-HR"/>
        </w:rPr>
        <w:tab/>
      </w:r>
      <w:r w:rsidRPr="00203A6C">
        <w:rPr>
          <w:rFonts w:cs="Times New Roman" w:eastAsia="Times New Roman"/>
          <w:lang w:eastAsia="hr-HR"/>
        </w:rPr>
        <w:tab/>
      </w:r>
      <w:r w:rsidRPr="00203A6C">
        <w:rPr>
          <w:rFonts w:cs="Times New Roman" w:eastAsia="Times New Roman"/>
          <w:lang w:eastAsia="hr-HR"/>
        </w:rPr>
        <w:tab/>
      </w:r>
      <w:r w:rsidRPr="00203A6C">
        <w:rPr>
          <w:rFonts w:cs="Times New Roman" w:eastAsia="Times New Roman"/>
          <w:lang w:eastAsia="hr-HR"/>
        </w:rPr>
        <w:tab/>
        <w:t xml:space="preserve">      </w:t>
      </w:r>
      <w:r w:rsidRPr="00203A6C">
        <w:rPr>
          <w:rFonts w:cs="Times New Roman" w:eastAsia="Times New Roman"/>
          <w:lang w:eastAsia="hr-HR"/>
        </w:rPr>
        <w:tab/>
      </w:r>
      <w:r w:rsidRPr="00203A6C">
        <w:rPr>
          <w:rFonts w:cs="Times New Roman" w:eastAsia="Times New Roman"/>
          <w:lang w:eastAsia="hr-HR"/>
        </w:rPr>
        <w:tab/>
      </w:r>
      <w:r w:rsidRPr="00203A6C">
        <w:rPr>
          <w:rFonts w:cs="Times New Roman" w:eastAsia="Times New Roman"/>
          <w:lang w:eastAsia="hr-HR"/>
        </w:rPr>
        <w:tab/>
      </w:r>
      <w:r w:rsidRPr="00203A6C">
        <w:rPr>
          <w:rFonts w:cs="Times New Roman" w:eastAsia="Times New Roman"/>
          <w:lang w:eastAsia="hr-HR"/>
        </w:rPr>
        <w:tab/>
      </w:r>
      <w:r w:rsidRPr="00203A6C">
        <w:rPr>
          <w:rFonts w:cs="Times New Roman" w:eastAsia="Times New Roman"/>
          <w:lang w:eastAsia="hr-HR"/>
        </w:rPr>
        <w:tab/>
        <w:t xml:space="preserve"> </w:t>
      </w:r>
    </w:p>
    <w:p w:rsidRDefault="00203A6C" w:rsidP="00203A6C" w:rsidR="00203A6C" w:rsidRPr="00203A6C">
      <w:pPr>
        <w:spacing w:after="0"/>
        <w:jc w:val="right"/>
        <w:rPr>
          <w:rFonts w:cs="Times New Roman" w:eastAsia="Times New Roman"/>
          <w:lang w:eastAsia="hr-HR"/>
        </w:rPr>
      </w:pPr>
      <w:r w:rsidRPr="00203A6C">
        <w:rPr>
          <w:rFonts w:cs="Times New Roman" w:eastAsia="Times New Roman"/>
          <w:lang w:eastAsia="hr-HR"/>
        </w:rPr>
        <w:t>Sutkinja</w:t>
      </w:r>
    </w:p>
    <w:p w:rsidRDefault="00203A6C" w:rsidP="00203A6C" w:rsidR="00203A6C" w:rsidRPr="00203A6C">
      <w:pPr>
        <w:spacing w:after="0"/>
        <w:jc w:val="right"/>
        <w:rPr>
          <w:rFonts w:cs="Times New Roman" w:eastAsia="Times New Roman"/>
          <w:lang w:eastAsia="hr-HR"/>
        </w:rPr>
      </w:pPr>
      <w:r w:rsidRPr="00203A6C">
        <w:rPr>
          <w:rFonts w:cs="Times New Roman" w:eastAsia="Times New Roman"/>
          <w:lang w:eastAsia="hr-HR"/>
        </w:rPr>
        <w:t>Tina Grgas</w:t>
      </w:r>
    </w:p>
    <w:p w:rsidRDefault="00203A6C" w:rsidP="00203A6C" w:rsidR="00203A6C" w:rsidRPr="00203A6C">
      <w:pPr>
        <w:spacing w:lineRule="atLeast" w:line="240" w:after="0"/>
        <w:rPr>
          <w:rFonts w:cs="Times New Roman" w:eastAsia="Times New Roman"/>
          <w:lang w:eastAsia="hr-HR"/>
        </w:rPr>
      </w:pPr>
    </w:p>
    <w:p w:rsidRDefault="00203A6C" w:rsidP="00203A6C" w:rsidR="00203A6C" w:rsidRPr="00203A6C">
      <w:pPr>
        <w:spacing w:lineRule="atLeast" w:line="240" w:after="0"/>
        <w:rPr>
          <w:rFonts w:cs="Times New Roman" w:eastAsia="Times New Roman"/>
          <w:lang w:eastAsia="hr-HR"/>
        </w:rPr>
      </w:pPr>
    </w:p>
    <w:p w:rsidRDefault="00203A6C" w:rsidP="00203A6C" w:rsidR="00203A6C" w:rsidRPr="00203A6C">
      <w:pPr>
        <w:spacing w:lineRule="atLeast" w:line="240" w:after="0"/>
        <w:ind w:firstLine="708"/>
        <w:rPr>
          <w:rFonts w:cs="Times New Roman" w:eastAsia="Times New Roman"/>
          <w:lang w:eastAsia="hr-HR"/>
        </w:rPr>
      </w:pPr>
      <w:r w:rsidRPr="00203A6C">
        <w:rPr>
          <w:rFonts w:cs="Times New Roman" w:eastAsia="Times New Roman"/>
          <w:lang w:eastAsia="hr-HR"/>
        </w:rPr>
        <w:t xml:space="preserve">UPUTA O PRAVNOM LIJEKU: </w:t>
      </w:r>
    </w:p>
    <w:p w:rsidRDefault="00203A6C" w:rsidP="00203A6C" w:rsidR="00203A6C" w:rsidRPr="00203A6C">
      <w:pPr>
        <w:spacing w:lineRule="atLeast" w:line="240" w:after="0"/>
        <w:rPr>
          <w:rFonts w:cs="Times New Roman" w:eastAsia="Times New Roman"/>
          <w:bCs/>
          <w:lang w:eastAsia="hr-HR"/>
        </w:rPr>
      </w:pPr>
    </w:p>
    <w:p w:rsidRDefault="00203A6C" w:rsidP="00203A6C" w:rsidR="00203A6C" w:rsidRPr="00203A6C">
      <w:pPr>
        <w:tabs>
          <w:tab w:pos="0" w:val="left"/>
        </w:tabs>
        <w:spacing w:after="0"/>
        <w:jc w:val="both"/>
        <w:rPr>
          <w:rFonts w:cs="Times New Roman" w:eastAsia="Times New Roman"/>
          <w:lang w:eastAsia="hr-HR"/>
        </w:rPr>
      </w:pPr>
      <w:r w:rsidRPr="00203A6C">
        <w:rPr>
          <w:rFonts w:cs="Times New Roman" w:eastAsia="Times New Roman"/>
          <w:lang w:eastAsia="hr-HR"/>
        </w:rPr>
        <w:tab/>
        <w:t xml:space="preserve">Protiv ovog rješenja pravo na žalbu ima svaki vjerovnik u dijelu koji se tiče njegove prijavljene tražbine. Žalba se izjavljuje u roku od 8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203A6C" w:rsidP="00203A6C" w:rsidR="00203A6C" w:rsidRPr="00203A6C">
      <w:pPr>
        <w:tabs>
          <w:tab w:pos="4438" w:val="left"/>
        </w:tabs>
        <w:spacing w:after="0"/>
        <w:jc w:val="both"/>
        <w:rPr>
          <w:rFonts w:cs="Times New Roman" w:eastAsia="Times New Roman"/>
          <w:lang w:eastAsia="hr-HR"/>
        </w:rPr>
      </w:pPr>
    </w:p>
    <w:p w:rsidRDefault="00203A6C" w:rsidP="00203A6C" w:rsidR="00203A6C" w:rsidRPr="00203A6C">
      <w:pPr>
        <w:spacing w:lineRule="atLeast" w:line="240" w:after="0"/>
        <w:ind w:firstLine="708"/>
        <w:rPr>
          <w:rFonts w:cs="Times New Roman" w:eastAsia="Times New Roman"/>
          <w:lang w:eastAsia="hr-HR"/>
        </w:rPr>
      </w:pPr>
    </w:p>
    <w:p w:rsidRDefault="00203A6C" w:rsidP="00203A6C" w:rsidR="00203A6C" w:rsidRPr="00203A6C">
      <w:pPr>
        <w:spacing w:lineRule="atLeast" w:line="240" w:after="0"/>
        <w:ind w:firstLine="708"/>
        <w:rPr>
          <w:rFonts w:cs="Times New Roman" w:eastAsia="Times New Roman"/>
          <w:lang w:eastAsia="hr-HR"/>
        </w:rPr>
      </w:pPr>
      <w:r w:rsidRPr="00203A6C">
        <w:rPr>
          <w:rFonts w:cs="Times New Roman" w:eastAsia="Times New Roman"/>
          <w:lang w:eastAsia="hr-HR"/>
        </w:rPr>
        <w:t>Dostaviti:</w:t>
      </w:r>
    </w:p>
    <w:p w:rsidRDefault="00203A6C" w:rsidP="00203A6C" w:rsidR="00203A6C" w:rsidRPr="00203A6C">
      <w:pPr>
        <w:spacing w:lineRule="atLeast" w:line="240" w:after="0"/>
        <w:ind w:firstLine="708"/>
        <w:rPr>
          <w:rFonts w:cs="Times New Roman" w:eastAsia="Times New Roman"/>
          <w:lang w:eastAsia="hr-HR"/>
        </w:rPr>
      </w:pPr>
      <w:r w:rsidRPr="00203A6C">
        <w:rPr>
          <w:rFonts w:cs="Times New Roman" w:eastAsia="Times New Roman"/>
          <w:lang w:eastAsia="hr-HR"/>
        </w:rPr>
        <w:t>- Vjerovnicima</w:t>
      </w:r>
    </w:p>
    <w:p w:rsidRDefault="00203A6C" w:rsidP="00203A6C" w:rsidR="00203A6C" w:rsidRPr="00203A6C">
      <w:pPr>
        <w:spacing w:lineRule="atLeast" w:line="240" w:after="0"/>
        <w:ind w:firstLine="708"/>
        <w:rPr>
          <w:rFonts w:cs="Times New Roman" w:eastAsia="Times New Roman"/>
          <w:lang w:eastAsia="hr-HR"/>
        </w:rPr>
      </w:pPr>
      <w:r w:rsidRPr="00203A6C">
        <w:rPr>
          <w:rFonts w:cs="Times New Roman" w:eastAsia="Times New Roman"/>
          <w:lang w:eastAsia="hr-HR"/>
        </w:rPr>
        <w:t xml:space="preserve">- Stečajnom upravitelju </w:t>
      </w:r>
    </w:p>
    <w:p w:rsidRDefault="00203A6C" w:rsidP="00203A6C" w:rsidR="00203A6C" w:rsidRPr="00203A6C">
      <w:pPr>
        <w:spacing w:lineRule="atLeast" w:line="240" w:after="0"/>
        <w:ind w:firstLine="708"/>
        <w:rPr>
          <w:rFonts w:cs="Times New Roman" w:eastAsia="Times New Roman"/>
          <w:lang w:eastAsia="hr-HR"/>
        </w:rPr>
      </w:pPr>
      <w:r w:rsidRPr="00203A6C">
        <w:rPr>
          <w:rFonts w:cs="Times New Roman" w:eastAsia="Times New Roman"/>
          <w:lang w:eastAsia="hr-HR"/>
        </w:rPr>
        <w:t>- Svima putem mrežne stranice e-Oglasna ploča sudova</w:t>
      </w:r>
    </w:p>
    <w:p w:rsidRDefault="00203A6C" w:rsidP="00203A6C" w:rsidR="00DA0242">
      <w:pPr>
        <w:spacing w:lineRule="atLeast" w:line="240" w:after="0"/>
        <w:ind w:firstLine="708"/>
        <w:rPr>
          <w:rFonts w:cs="Times New Roman" w:eastAsia="Times New Roman"/>
          <w:lang w:eastAsia="hr-HR"/>
        </w:rPr>
      </w:pPr>
      <w:r w:rsidRPr="00203A6C">
        <w:rPr>
          <w:rFonts w:cs="Times New Roman" w:eastAsia="Times New Roman"/>
          <w:lang w:eastAsia="hr-HR"/>
        </w:rPr>
        <w:t>- U spis</w:t>
      </w:r>
    </w:p>
    <w:p w:rsidRDefault="00255EF1" w:rsidP="00203A6C" w:rsidR="00255EF1">
      <w:pPr>
        <w:spacing w:lineRule="atLeast" w:line="240" w:after="0"/>
        <w:ind w:firstLine="708"/>
      </w:pPr>
      <w:bookmarkStart w:name="_GoBack" w:id="0"/>
      <w:bookmarkEnd w:id="0"/>
    </w:p>
    <w:sectPr w:rsidSect="0032366B" w:rsidR="00255EF1">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3A6C"/>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EF1"/>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78020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St-551/2016-36</izvorni_sadrzaj>
    <derivirana_varijabla naziv="DomainObject.Oznaka_1">St-551/2016-36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551</izvorni_sadrzaj>
    <derivirana_varijabla naziv="DomainObject.Predmet.Broj_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St-551/2016</izvorni_sadrzaj>
    <derivirana_varijabla naziv="DomainObject.Predmet.OznakaBroj_1">St-551/2016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kad izađe iz kalendara ako stigne izvj. st. upr.
dignuti na e-Ogl. ploču</izvorni_sadrzaj>
    <derivirana_varijabla naziv="DomainObject.Predmet.PrimjedbaSuca_1">kad izađe iz kalendara ako stigne izvj. st. upr.
dignuti na e-Ogl. ploču</derivirana_varijabla>
  </DomainObject.Predmet.PrimjedbaSuca>
  <DomainObject.Predmet.PrimjedbaUpisnicara>
    <izvorni_sadrzaj/>
    <derivirana_varijabla naziv="DomainObject.Predmet.PrimjedbaUpisnicara_1"/>
  </DomainObject.Predmet.PrimjedbaUpisnicara>
  <DomainObject.Predmet.ProtustrankaFormated>
    <izvorni_sadrzaj>  NOVICOM proizvodnja, graditeljstvo i trgovina društvo s ograničenom odgovornošću</izvorni_sadrzaj>
    <derivirana_varijabla naziv="DomainObject.Predmet.ProtustrankaFormated_1">  NOVICOM proizvodnja, graditeljstvo i trgovina društvo s ograničenom odgovornošću</derivirana_varijabla>
  </DomainObject.Predmet.ProtustrankaFormated>
  <DomainObject.Predmet.ProtustrankaFormatedOIB>
    <izvorni_sadrzaj>  NOVICOM proizvodnja, graditeljstvo i trgovina društvo s ograničenom odgovornošću, OIB 52033895646</izvorni_sadrzaj>
    <derivirana_varijabla naziv="DomainObject.Predmet.ProtustrankaFormatedOIB_1">  NOVICOM proizvodnja, graditeljstvo i trgovina društvo s ograničenom odgovornošću, OIB 52033895646</derivirana_varijabla>
  </DomainObject.Predmet.ProtustrankaFormatedOIB>
  <DomainObject.Predmet.ProtustrankaFormatedWithAdress>
    <izvorni_sadrzaj> NOVICOM proizvodnja, graditeljstvo i trgovina društvo s ograničenom odgovornošću, Stablinac I 20, 22211 Vodice</izvorni_sadrzaj>
    <derivirana_varijabla naziv="DomainObject.Predmet.ProtustrankaFormatedWithAdress_1"> NOVICOM proizvodnja, graditeljstvo i trgovina društvo s ograničenom odgovornošću, Stablinac I 20, 22211 Vodice</derivirana_varijabla>
  </DomainObject.Predmet.ProtustrankaFormatedWithAdress>
  <DomainObject.Predmet.ProtustrankaFormatedWithAdressOIB>
    <izvorni_sadrzaj> NOVICOM proizvodnja, graditeljstvo i trgovina društvo s ograničenom odgovornošću, OIB 52033895646, Stablinac I 20, 22211 Vodice</izvorni_sadrzaj>
    <derivirana_varijabla naziv="DomainObject.Predmet.ProtustrankaFormatedWithAdressOIB_1"> NOVICOM proizvodnja, graditeljstvo i trgovina društvo s ograničenom odgovornošću, OIB 52033895646, Stablinac I 20, 22211 Vodice</derivirana_varijabla>
  </DomainObject.Predmet.ProtustrankaFormatedWithAdressOIB>
  <DomainObject.Predmet.ProtustrankaWithAdress>
    <izvorni_sadrzaj>NOVICOM proizvodnja, graditeljstvo i trgovina društvo s ograničenom odgovornošću Stablinac I 20, 22211 Vodice</izvorni_sadrzaj>
    <derivirana_varijabla naziv="DomainObject.Predmet.ProtustrankaWithAdress_1">NOVICOM proizvodnja, graditeljstvo i trgovina društvo s ograničenom odgovornošću Stablinac I 20, 22211 Vodice</derivirana_varijabla>
  </DomainObject.Predmet.ProtustrankaWithAdress>
  <DomainObject.Predmet.ProtustrankaWithAdressOIB>
    <izvorni_sadrzaj>NOVICOM proizvodnja, graditeljstvo i trgovina društvo s ograničenom odgovornošću, OIB 52033895646, Stablinac I 20, 22211 Vodice</izvorni_sadrzaj>
    <derivirana_varijabla naziv="DomainObject.Predmet.ProtustrankaWithAdressOIB_1">NOVICOM proizvodnja, graditeljstvo i trgovina društvo s ograničenom odgovornošću, OIB 52033895646, Stablinac I 20, 22211 Vodice</derivirana_varijabla>
  </DomainObject.Predmet.ProtustrankaWithAdressOIB>
  <DomainObject.Predmet.ProtustrankaNazivFormated>
    <izvorni_sadrzaj>NOVICOM proizvodnja, graditeljstvo i trgovina društvo s ograničenom odgovornošću</izvorni_sadrzaj>
    <derivirana_varijabla naziv="DomainObject.Predmet.ProtustrankaNazivFormated_1">NOVICOM proizvodnja, graditeljstvo i trgovina društvo s ograničenom odgovornošću</derivirana_varijabla>
  </DomainObject.Predmet.ProtustrankaNazivFormated>
  <DomainObject.Predmet.ProtustrankaNazivFormatedOIB>
    <izvorni_sadrzaj>NOVICOM proizvodnja, graditeljstvo i trgovina društvo s ograničenom odgovornošću, OIB 52033895646</izvorni_sadrzaj>
    <derivirana_varijabla naziv="DomainObject.Predmet.ProtustrankaNazivFormatedOIB_1">NOVICOM proizvodnja, graditeljstvo i trgovina društvo s ograničenom odgovornošću, OIB 52033895646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Ivo Dean</izvorni_sadrzaj>
    <derivirana_varijabla naziv="DomainObject.Predmet.StrankaFormated_1">  FINA - Podružnica Šibenik; Ivo Dean</derivirana_varijabla>
  </DomainObject.Predmet.StrankaFormated>
  <DomainObject.Predmet.StrankaFormatedOIB>
    <izvorni_sadrzaj>  FINA - Podružnica Šibenik, OIB 85821130368; Ivo Dean, OIB 21424615502</izvorni_sadrzaj>
    <derivirana_varijabla naziv="DomainObject.Predmet.StrankaFormatedOIB_1">  FINA - Podružnica Šibenik, OIB 85821130368; Ivo Dean, OIB 21424615502</derivirana_varijabla>
  </DomainObject.Predmet.StrankaFormatedOIB>
  <DomainObject.Predmet.StrankaFormatedWithAdress>
    <izvorni_sadrzaj> FINA - Podružnica Šibenik, Perivoj L. Marune 1, 22000 Šibenik; Ivo Dean, Ante Lasan Kabalera 27/A, 22211 Vodice</izvorni_sadrzaj>
    <derivirana_varijabla naziv="DomainObject.Predmet.StrankaFormatedWithAdress_1"> FINA - Podružnica Šibenik, Perivoj L. Marune 1, 22000 Šibenik; Ivo Dean, Ante Lasan Kabalera 27/A, 22211 Vodice</derivirana_varijabla>
  </DomainObject.Predmet.StrankaFormatedWithAdress>
  <DomainObject.Predmet.StrankaFormatedWithAdressOIB>
    <izvorni_sadrzaj> FINA - Podružnica Šibenik, OIB 85821130368, Perivoj L. Marune 1, 22000 Šibenik; Ivo Dean, OIB 21424615502, Ante Lasan Kabalera 27/A, 22211 Vodice</izvorni_sadrzaj>
    <derivirana_varijabla naziv="DomainObject.Predmet.StrankaFormatedWithAdressOIB_1"> FINA - Podružnica Šibenik, OIB 85821130368, Perivoj L. Marune 1, 22000 Šibenik; Ivo Dean, OIB 21424615502, Ante Lasan Kabalera 27/A, 22211 Vodice</derivirana_varijabla>
  </DomainObject.Predmet.StrankaFormatedWithAdressOIB>
  <DomainObject.Predmet.StrankaWithAdress>
    <izvorni_sadrzaj>FINA - Podružnica Šibenik Perivoj L. Marune 1,22000 Šibenik,Ivo Dean Ante Lasan Kabalera 27/A,22211 Vodice</izvorni_sadrzaj>
    <derivirana_varijabla naziv="DomainObject.Predmet.StrankaWithAdress_1">FINA - Podružnica Šibenik Perivoj L. Marune 1,22000 Šibenik,Ivo Dean Ante Lasan Kabalera 27/A,22211 Vodice</derivirana_varijabla>
  </DomainObject.Predmet.StrankaWithAdress>
  <DomainObject.Predmet.StrankaWithAdressOIB>
    <izvorni_sadrzaj>FINA - Podružnica Šibenik, OIB 85821130368, Perivoj L. Marune 1,22000 Šibenik,Ivo Dean, OIB 21424615502, Ante Lasan Kabalera 27/A,22211 Vodice</izvorni_sadrzaj>
    <derivirana_varijabla naziv="DomainObject.Predmet.StrankaWithAdressOIB_1">FINA - Podružnica Šibenik, OIB 85821130368, Perivoj L. Marune 1,22000 Šibenik,Ivo Dean, OIB 21424615502, Ante Lasan Kabalera 27/A,22211 Vodice</derivirana_varijabla>
  </DomainObject.Predmet.StrankaWithAdressOIB>
  <DomainObject.Predmet.StrankaNazivFormated>
    <izvorni_sadrzaj>FINA - Podružnica Šibenik,Ivo Dean</izvorni_sadrzaj>
    <derivirana_varijabla naziv="DomainObject.Predmet.StrankaNazivFormated_1">FINA - Podružnica Šibenik,Ivo Dean</derivirana_varijabla>
  </DomainObject.Predmet.StrankaNazivFormated>
  <DomainObject.Predmet.StrankaNazivFormatedOIB>
    <izvorni_sadrzaj>FINA - Podružnica Šibenik, OIB 85821130368,Ivo Dean, OIB 21424615502</izvorni_sadrzaj>
    <derivirana_varijabla naziv="DomainObject.Predmet.StrankaNazivFormatedOIB_1">FINA - Podružnica Šibenik, OIB 85821130368,Ivo Dean, OIB 21424615502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tem>Ivo Dean</item>
    </izvorni_sadrzaj>
    <derivirana_varijabla naziv="DomainObject.Predmet.StrankaListFormated_1">
      <item>FINA - Podružnica Šibenik</item>
      <item>Ivo Dean</item>
    </derivirana_varijabla>
  </DomainObject.Predmet.StrankaListFormated>
  <DomainObject.Predmet.StrankaListFormatedOIB>
    <izvorni_sadrzaj>
      <item>FINA - Podružnica Šibenik, OIB 85821130368</item>
      <item>Ivo Dean, OIB 21424615502</item>
    </izvorni_sadrzaj>
    <derivirana_varijabla naziv="DomainObject.Predmet.StrankaListFormatedOIB_1">
      <item>FINA - Podružnica Šibenik, OIB 85821130368</item>
      <item>Ivo Dean, OIB 21424615502</item>
    </derivirana_varijabla>
  </DomainObject.Predmet.StrankaListFormatedOIB>
  <DomainObject.Predmet.StrankaListFormatedWithAdress>
    <izvorni_sadrzaj>
      <item>FINA - Podružnica Šibenik, Perivoj L. Marune 1, 22000 Šibenik</item>
      <item>Ivo Dean, Ante Lasan Kabalera 27/A, 22211 Vodice</item>
    </izvorni_sadrzaj>
    <derivirana_varijabla naziv="DomainObject.Predmet.StrankaListFormatedWithAdress_1">
      <item>FINA - Podružnica Šibenik, Perivoj L. Marune 1, 22000 Šibenik</item>
      <item>Ivo Dean, Ante Lasan Kabalera 27/A, 22211 Vodice</item>
    </derivirana_varijabla>
  </DomainObject.Predmet.StrankaListFormatedWithAdress>
  <DomainObject.Predmet.StrankaListFormatedWithAdressOIB>
    <izvorni_sadrzaj>
      <item>FINA - Podružnica Šibenik, OIB 85821130368, Perivoj L. Marune 1, 22000 Šibenik</item>
      <item>Ivo Dean, OIB 21424615502, Ante Lasan Kabalera 27/A, 22211 Vodice</item>
    </izvorni_sadrzaj>
    <derivirana_varijabla naziv="DomainObject.Predmet.StrankaListFormatedWithAdressOIB_1">
      <item>FINA - Podružnica Šibenik, OIB 85821130368, Perivoj L. Marune 1, 22000 Šibenik</item>
      <item>Ivo Dean, OIB 21424615502, Ante Lasan Kabalera 27/A, 22211 Vodice</item>
    </derivirana_varijabla>
  </DomainObject.Predmet.StrankaListFormatedWithAdressOIB>
  <DomainObject.Predmet.StrankaListNazivFormated>
    <izvorni_sadrzaj>
      <item>FINA - Podružnica Šibenik</item>
      <item>Ivo Dean</item>
    </izvorni_sadrzaj>
    <derivirana_varijabla naziv="DomainObject.Predmet.StrankaListNazivFormated_1">
      <item>FINA - Podružnica Šibenik</item>
      <item>Ivo Dean</item>
    </derivirana_varijabla>
  </DomainObject.Predmet.StrankaListNazivFormated>
  <DomainObject.Predmet.StrankaListNazivFormatedOIB>
    <izvorni_sadrzaj>
      <item>FINA - Podružnica Šibenik, OIB 85821130368</item>
      <item>Ivo Dean, OIB 21424615502</item>
    </izvorni_sadrzaj>
    <derivirana_varijabla naziv="DomainObject.Predmet.StrankaListNazivFormatedOIB_1">
      <item>FINA - Podružnica Šibenik, OIB 85821130368</item>
      <item>Ivo Dean, OIB 21424615502</item>
    </derivirana_varijabla>
  </DomainObject.Predmet.StrankaListNazivFormatedOIB>
  <DomainObject.Predmet.ProtuStrankaListFormated>
    <izvorni_sadrzaj>
      <item>NOVICOM proizvodnja, graditeljstvo i trgovina društvo s ograničenom odgovornošću</item>
    </izvorni_sadrzaj>
    <derivirana_varijabla naziv="DomainObject.Predmet.ProtuStrankaListFormated_1">
      <item>NOVICOM proizvodnja, graditeljstvo i trgovina društvo s ograničenom odgovornošću</item>
    </derivirana_varijabla>
  </DomainObject.Predmet.ProtuStrankaListFormated>
  <DomainObject.Predmet.ProtuStrankaListFormatedOIB>
    <izvorni_sadrzaj>
      <item>NOVICOM proizvodnja, graditeljstvo i trgovina društvo s ograničenom odgovornošću, OIB 52033895646</item>
    </izvorni_sadrzaj>
    <derivirana_varijabla naziv="DomainObject.Predmet.ProtuStrankaListFormatedOIB_1">
      <item>NOVICOM proizvodnja, graditeljstvo i trgovina društvo s ograničenom odgovornošću, OIB 52033895646</item>
    </derivirana_varijabla>
  </DomainObject.Predmet.ProtuStrankaListFormatedOIB>
  <DomainObject.Predmet.ProtuStrankaListFormatedWithAdress>
    <izvorni_sadrzaj>
      <item>NOVICOM proizvodnja, graditeljstvo i trgovina društvo s ograničenom odgovornošću, Stablinac I 20, 22211 Vodice</item>
    </izvorni_sadrzaj>
    <derivirana_varijabla naziv="DomainObject.Predmet.ProtuStrankaListFormatedWithAdress_1">
      <item>NOVICOM proizvodnja, graditeljstvo i trgovina društvo s ograničenom odgovornošću, Stablinac I 20, 22211 Vodice</item>
    </derivirana_varijabla>
  </DomainObject.Predmet.ProtuStrankaListFormatedWithAdress>
  <DomainObject.Predmet.ProtuStrankaListFormatedWithAdressOIB>
    <izvorni_sadrzaj>
      <item>NOVICOM proizvodnja, graditeljstvo i trgovina društvo s ograničenom odgovornošću, OIB 52033895646, Stablinac I 20, 22211 Vodice</item>
    </izvorni_sadrzaj>
    <derivirana_varijabla naziv="DomainObject.Predmet.ProtuStrankaListFormatedWithAdressOIB_1">
      <item>NOVICOM proizvodnja, graditeljstvo i trgovina društvo s ograničenom odgovornošću, OIB 52033895646, Stablinac I 20, 22211 Vodice</item>
    </derivirana_varijabla>
  </DomainObject.Predmet.ProtuStrankaListFormatedWithAdressOIB>
  <DomainObject.Predmet.ProtuStrankaListNazivFormated>
    <izvorni_sadrzaj>
      <item>NOVICOM proizvodnja, graditeljstvo i trgovina društvo s ograničenom odgovornošću</item>
    </izvorni_sadrzaj>
    <derivirana_varijabla naziv="DomainObject.Predmet.ProtuStrankaListNazivFormated_1">
      <item>NOVICOM proizvodnja, graditeljstvo i trgovina društvo s ograničenom odgovornošću</item>
    </derivirana_varijabla>
  </DomainObject.Predmet.ProtuStrankaListNazivFormated>
  <DomainObject.Predmet.ProtuStrankaListNazivFormatedOIB>
    <izvorni_sadrzaj>
      <item>NOVICOM proizvodnja, graditeljstvo i trgovina društvo s ograničenom odgovornošću, OIB 52033895646</item>
    </izvorni_sadrzaj>
    <derivirana_varijabla naziv="DomainObject.Predmet.ProtuStrankaListNazivFormatedOIB_1">
      <item>NOVICOM proizvodnja, graditeljstvo i trgovina društvo s ograničenom odgovornošću, OIB 52033895646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St-551/2016-36</izvorni_sadrzaj>
    <derivirana_varijabla naziv="DomainObject.PoslovniBrojDokumenta_1">St-551/2016-36</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NOVICOM proizvodnja, graditeljstvo i trgovina društvo s ograničenom odgovornošću</izvorni_sadrzaj>
    <derivirana_varijabla naziv="DomainObject.Predmet.ProtustrankaIDrugi_1">NOVICOM proizvodnja, graditeljstvo i trgovina društvo s ograničenom odgovornošću</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NOVICOM proizvodnja, graditeljstvo i trgovina društvo s ograničenom odgovornošću, OIB 52033895646, Stablinac I 20, 22211 Vodice</izvorni_sadrzaj>
    <derivirana_varijabla naziv="DomainObject.Predmet.ProtustrankaIDrugiAdressOIB_1">NOVICOM proizvodnja, graditeljstvo i trgovina društvo s ograničenom odgovornošću, OIB 52033895646, Stablinac I 20,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NOVICOM proizvodnja, graditeljstvo i trgovina društvo s ograničenom odgovornošću</item>
      <item>FINA - Podružnica Šibenik</item>
      <item>Ivo Dean</item>
    </izvorni_sadrzaj>
    <derivirana_varijabla naziv="DomainObject.Predmet.SudioniciListNaziv_1">
      <item>NOVICOM proizvodnja, graditeljstvo i trgovina društvo s ograničenom odgovornošću</item>
      <item>FINA - Podružnica Šibenik</item>
      <item>Ivo Dean</item>
    </derivirana_varijabla>
  </DomainObject.Predmet.SudioniciListNaziv>
  <DomainObject.Predmet.SudioniciListAdressOIB>
    <izvorni_sadrzaj>
      <item>NOVICOM proizvodnja, graditeljstvo i trgovina društvo s ograničenom odgovornošću, OIB 52033895646, Stablinac I 20,22211 Vodice</item>
      <item>FINA - Podružnica Šibenik, OIB 85821130368, Perivoj L. Marune 1,22000 Šibenik</item>
      <item>Ivo Dean, OIB 21424615502, Ante Lasan Kabalera 27/A,22211 Vodice</item>
    </izvorni_sadrzaj>
    <derivirana_varijabla naziv="DomainObject.Predmet.SudioniciListAdressOIB_1">
      <item>NOVICOM proizvodnja, graditeljstvo i trgovina društvo s ograničenom odgovornošću, OIB 52033895646, Stablinac I 20,22211 Vodice</item>
      <item>FINA - Podružnica Šibenik, OIB 85821130368, Perivoj L. Marune 1,22000 Šibenik</item>
      <item>Ivo Dean, OIB 21424615502, Ante Lasan Kabalera 27/A,22211 Vodice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EFAF9F-D026-4067-BC69-892F1C3E80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518</properties:Words>
  <properties:Characters>2718</properties:Characters>
  <properties:Lines>134</properties:Lines>
  <properties:Paragraphs>59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2017-01-17T11:56:00Z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St-551/2016-36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