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e2a5b" w14:paraId="58e2a5b" w:rsidRDefault="00AE649C" w:rsidP="004F27AE" w:rsidR="00AE649C" w:rsidRPr="00B76F3C">
      <w:pPr>
        <w:pStyle w:val="NormaleSPIS"/>
        <w15:collapsed w:val="false"/>
      </w:pPr>
    </w:p>
    <w:p w:rsidRDefault="0071449C" w:rsidP="0071449C" w:rsidR="0071449C">
      <w:pPr>
        <w:ind w:firstLine="708"/>
        <w:jc w:val="both"/>
      </w:pPr>
      <w:r>
        <w:rPr>
          <w:noProof/>
        </w:rPr>
        <w:drawing>
          <wp:inline distR="0" distL="0" distB="0" distT="0">
            <wp:extent cy="723900" cx="541020"/>
            <wp:effectExtent b="0" r="0" t="0" l="0"/>
            <wp:docPr descr="Opis: Opis: Opis: Opis: Opis: Opis: Opis: grb 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Opis: Opis: Opis: 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1449C" w:rsidP="0071449C" w:rsidR="0071449C">
      <w:pPr>
        <w:spacing w:beforeAutospacing="true" w:before="100"/>
        <w:rPr>
          <w:color w:val="222222"/>
        </w:rPr>
      </w:pPr>
      <w:r>
        <w:rPr>
          <w:color w:val="222222"/>
        </w:rPr>
        <w:t>REPUBLIKA HRVATSKA</w:t>
      </w:r>
    </w:p>
    <w:p w:rsidRDefault="0071449C" w:rsidP="0071449C" w:rsidR="0071449C">
      <w:pPr>
        <w:spacing w:beforeAutospacing="true" w:before="100"/>
        <w:rPr>
          <w:color w:val="222222"/>
        </w:rPr>
      </w:pPr>
      <w:r>
        <w:rPr>
          <w:color w:val="222222"/>
        </w:rPr>
        <w:t>TRGOVAČKI SUD U OSIJEKU</w:t>
      </w:r>
    </w:p>
    <w:p w:rsidRDefault="0071449C" w:rsidP="0071449C" w:rsidR="0071449C">
      <w:pPr>
        <w:spacing w:beforeAutospacing="true" w:before="100"/>
        <w:rPr>
          <w:color w:val="222222"/>
        </w:rPr>
      </w:pPr>
      <w:r>
        <w:rPr>
          <w:color w:val="222222"/>
        </w:rPr>
        <w:t>STALNA SLUŽBA U SLAVONSKOM BRODU</w:t>
      </w:r>
    </w:p>
    <w:p w:rsidRDefault="0071449C" w:rsidP="0071449C" w:rsidR="0071449C">
      <w:pPr>
        <w:spacing w:beforeAutospacing="true" w:before="100"/>
        <w:rPr>
          <w:color w:val="222222"/>
        </w:rPr>
      </w:pPr>
      <w:r>
        <w:rPr>
          <w:color w:val="222222"/>
        </w:rPr>
        <w:t>Trg pobjede 13</w:t>
      </w:r>
    </w:p>
    <w:p w:rsidRDefault="0071449C" w:rsidP="0071449C" w:rsidR="0071449C">
      <w:pPr>
        <w:spacing w:beforeAutospacing="true" w:before="100"/>
        <w:rPr>
          <w:color w:val="222222"/>
        </w:rPr>
      </w:pPr>
      <w:r>
        <w:rPr>
          <w:color w:val="222222"/>
        </w:rPr>
        <w:t xml:space="preserve">35000 Slavonski Brod </w:t>
      </w: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  <w:t xml:space="preserve">  </w:t>
      </w:r>
    </w:p>
    <w:p w:rsidRDefault="0071449C" w:rsidP="0071449C" w:rsidR="0071449C">
      <w:pPr>
        <w:spacing w:beforeAutospacing="true" w:before="100"/>
        <w:ind w:firstLine="708" w:left="6372"/>
        <w:rPr>
          <w:color w:val="222222"/>
        </w:rPr>
      </w:pPr>
      <w:r>
        <w:rPr>
          <w:color w:val="222222"/>
        </w:rPr>
        <w:t>3/St-327/16-</w:t>
      </w:r>
      <w:r w:rsidR="002B12F6">
        <w:rPr>
          <w:color w:val="222222"/>
        </w:rPr>
        <w:t>74</w:t>
      </w:r>
    </w:p>
    <w:p w:rsidRDefault="0071449C" w:rsidP="0071449C" w:rsidR="0071449C">
      <w:pPr>
        <w:spacing w:beforeAutospacing="true" w:before="100"/>
        <w:jc w:val="center"/>
        <w:rPr>
          <w:b/>
          <w:color w:val="222222"/>
        </w:rPr>
      </w:pPr>
      <w:r>
        <w:rPr>
          <w:b/>
          <w:color w:val="222222"/>
        </w:rPr>
        <w:t xml:space="preserve">R E P U B L I K A  H R V A T S K A </w:t>
      </w:r>
    </w:p>
    <w:p w:rsidRDefault="0071449C" w:rsidP="0071449C" w:rsidR="0071449C">
      <w:pPr>
        <w:spacing w:beforeAutospacing="true" w:before="100"/>
        <w:jc w:val="center"/>
        <w:rPr>
          <w:b/>
          <w:color w:val="222222"/>
        </w:rPr>
      </w:pPr>
      <w:r>
        <w:rPr>
          <w:b/>
          <w:color w:val="222222"/>
        </w:rPr>
        <w:t xml:space="preserve">R J E Š E N J E  </w:t>
      </w:r>
    </w:p>
    <w:p w:rsidRDefault="0071449C" w:rsidP="0071449C" w:rsidR="0071449C">
      <w:pPr>
        <w:ind w:firstLine="708"/>
        <w:jc w:val="both"/>
      </w:pPr>
    </w:p>
    <w:p w:rsidRDefault="0071449C" w:rsidP="0071449C" w:rsidR="0071449C">
      <w:pPr>
        <w:ind w:firstLine="708"/>
        <w:jc w:val="both"/>
      </w:pPr>
      <w:r>
        <w:t xml:space="preserve">TRGOVAČKI SUD U OSIJEKU, STALNA SLUŽBA U SLAVONSKOM BRODU, po stečajnoj sutkinji Danieli Martini Maoduš, u postupku stečaja nad stečajnim dužnikom </w:t>
      </w:r>
      <w:r>
        <w:rPr>
          <w:b/>
        </w:rPr>
        <w:t xml:space="preserve">DOCA KOMERC d.o.o., Slavonski Brod, Julija </w:t>
      </w:r>
      <w:proofErr w:type="spellStart"/>
      <w:r>
        <w:rPr>
          <w:b/>
        </w:rPr>
        <w:t>Domca</w:t>
      </w:r>
      <w:proofErr w:type="spellEnd"/>
      <w:r>
        <w:rPr>
          <w:b/>
        </w:rPr>
        <w:t xml:space="preserve"> 37, u stečaju  OIB: 01333304388</w:t>
      </w:r>
      <w:r>
        <w:t xml:space="preserve">, zastupano po stečajnom upravitelju Žarku </w:t>
      </w:r>
      <w:proofErr w:type="spellStart"/>
      <w:r>
        <w:t>Timarcu</w:t>
      </w:r>
      <w:proofErr w:type="spellEnd"/>
      <w:r>
        <w:t xml:space="preserve">, </w:t>
      </w:r>
      <w:proofErr w:type="spellStart"/>
      <w:r>
        <w:t>dipl.oec</w:t>
      </w:r>
      <w:proofErr w:type="spellEnd"/>
      <w:r>
        <w:t>, 07. rujna 2018.</w:t>
      </w:r>
    </w:p>
    <w:p w:rsidRDefault="0071449C" w:rsidP="0071449C" w:rsidR="0071449C">
      <w:pPr>
        <w:spacing w:beforeAutospacing="true" w:before="100"/>
        <w:jc w:val="center"/>
        <w:rPr>
          <w:color w:val="222222"/>
        </w:rPr>
      </w:pPr>
      <w:r>
        <w:rPr>
          <w:color w:val="222222"/>
        </w:rPr>
        <w:t>r i j e š i o   j e</w:t>
      </w:r>
    </w:p>
    <w:p w:rsidRDefault="0071449C" w:rsidP="0071449C" w:rsidR="0071449C">
      <w:pPr>
        <w:rPr>
          <w:color w:val="000000"/>
        </w:rPr>
      </w:pPr>
    </w:p>
    <w:p w:rsidRDefault="0071449C" w:rsidP="0071449C" w:rsidR="0071449C">
      <w:pPr>
        <w:ind w:left="708"/>
        <w:jc w:val="both"/>
      </w:pPr>
      <w:r>
        <w:t xml:space="preserve">Utvrđuje se da je stečajni sudac u postupku stečaja nad dužnikom </w:t>
      </w:r>
      <w:r>
        <w:rPr>
          <w:b/>
        </w:rPr>
        <w:t xml:space="preserve">DOCA KOMERC d.o.o., Slavonski Brod, Julija </w:t>
      </w:r>
      <w:proofErr w:type="spellStart"/>
      <w:r>
        <w:rPr>
          <w:b/>
        </w:rPr>
        <w:t>Domca</w:t>
      </w:r>
      <w:proofErr w:type="spellEnd"/>
      <w:r>
        <w:rPr>
          <w:b/>
        </w:rPr>
        <w:t xml:space="preserve"> 37, OIB: 01333304388 </w:t>
      </w:r>
      <w:r>
        <w:t xml:space="preserve">ispitala i potvrdila završni račun stečajnog upravitelja Žarka </w:t>
      </w:r>
      <w:proofErr w:type="spellStart"/>
      <w:r>
        <w:t>Timarc</w:t>
      </w:r>
      <w:proofErr w:type="spellEnd"/>
      <w:r>
        <w:t xml:space="preserve">,  te se daje suglasnost na završni diobni popis prema kojem se  ne namiruju vjerovnici I. višeg isplatnog reda,   niti vjerovnici II. višeg isplatnog reda, a iz realizirane prodaje imovine pod </w:t>
      </w:r>
      <w:proofErr w:type="spellStart"/>
      <w:r>
        <w:t>razlučnim</w:t>
      </w:r>
      <w:proofErr w:type="spellEnd"/>
      <w:r>
        <w:t xml:space="preserve"> pravom je djelomično namiren samo </w:t>
      </w:r>
      <w:proofErr w:type="spellStart"/>
      <w:r>
        <w:t>razlučni</w:t>
      </w:r>
      <w:proofErr w:type="spellEnd"/>
      <w:r>
        <w:t xml:space="preserve"> vjerovnik s iznosom od 4</w:t>
      </w:r>
      <w:bookmarkStart w:name="_GoBack" w:id="0"/>
      <w:bookmarkEnd w:id="0"/>
      <w:r>
        <w:t>23.976,77 kn, a nije namiren s iznosom od 2.983.728,64 kn, pa je namiren s  12,44 % od utvrđene tražbine.</w:t>
      </w:r>
    </w:p>
    <w:p w:rsidRDefault="0071449C" w:rsidP="0071449C" w:rsidR="0071449C">
      <w:pPr>
        <w:ind w:left="708"/>
        <w:jc w:val="both"/>
      </w:pPr>
      <w:r>
        <w:t xml:space="preserve"> </w:t>
      </w:r>
    </w:p>
    <w:p w:rsidRDefault="0071449C" w:rsidP="0071449C" w:rsidR="0071449C">
      <w:pPr>
        <w:ind w:firstLine="708" w:left="2832"/>
        <w:rPr>
          <w:bCs/>
        </w:rPr>
      </w:pPr>
      <w:r>
        <w:rPr>
          <w:bCs/>
        </w:rPr>
        <w:t>Obrazloženje</w:t>
      </w:r>
    </w:p>
    <w:p w:rsidRDefault="0071449C" w:rsidP="0071449C" w:rsidR="0071449C">
      <w:pPr>
        <w:jc w:val="both"/>
      </w:pPr>
      <w:r>
        <w:t xml:space="preserve">            </w:t>
      </w:r>
    </w:p>
    <w:p w:rsidRDefault="0071449C" w:rsidP="0071449C" w:rsidR="0071449C">
      <w:pPr>
        <w:ind w:firstLine="708"/>
        <w:jc w:val="both"/>
      </w:pPr>
      <w:r>
        <w:t xml:space="preserve">    Nakon unovčenja stečajne mase te ispitivanja svih prijavljenih tražbina stečajnih vjerovnika, u postupku stečaja nad dužnikom </w:t>
      </w:r>
      <w:r>
        <w:rPr>
          <w:b/>
        </w:rPr>
        <w:t xml:space="preserve">DOCA KOMERC d.o.o., Slavonski Brod, Julija </w:t>
      </w:r>
      <w:proofErr w:type="spellStart"/>
      <w:r>
        <w:rPr>
          <w:b/>
        </w:rPr>
        <w:t>Domca</w:t>
      </w:r>
      <w:proofErr w:type="spellEnd"/>
      <w:r>
        <w:rPr>
          <w:b/>
        </w:rPr>
        <w:t xml:space="preserve"> 37 u stečaju,  te prodaje imovine pod </w:t>
      </w:r>
      <w:proofErr w:type="spellStart"/>
      <w:r>
        <w:rPr>
          <w:b/>
        </w:rPr>
        <w:t>razlučnim</w:t>
      </w:r>
      <w:proofErr w:type="spellEnd"/>
      <w:r>
        <w:rPr>
          <w:b/>
        </w:rPr>
        <w:t xml:space="preserve"> pravom</w:t>
      </w:r>
      <w:r>
        <w:rPr>
          <w:color w:val="000000"/>
        </w:rPr>
        <w:t>,</w:t>
      </w:r>
      <w:r>
        <w:rPr>
          <w:b/>
          <w:bCs/>
        </w:rPr>
        <w:t xml:space="preserve"> </w:t>
      </w:r>
      <w:proofErr w:type="spellStart"/>
      <w:r>
        <w:t>steč</w:t>
      </w:r>
      <w:proofErr w:type="spellEnd"/>
      <w:r>
        <w:t xml:space="preserve">. upravitelj je dostavio završni račun i završni diobni popis. </w:t>
      </w:r>
    </w:p>
    <w:p w:rsidRDefault="0071449C" w:rsidP="0071449C" w:rsidR="0071449C">
      <w:pPr>
        <w:ind w:firstLine="708"/>
        <w:jc w:val="both"/>
      </w:pPr>
    </w:p>
    <w:p w:rsidRDefault="0071449C" w:rsidP="0071449C" w:rsidR="0071449C">
      <w:pPr>
        <w:jc w:val="both"/>
      </w:pPr>
      <w:r>
        <w:t xml:space="preserve">           Nije bilo moguće zatražiti mišljenje odbora vjerovnika o završnom računu jer isti nije formiran u ovom stečajnom postupku. </w:t>
      </w:r>
    </w:p>
    <w:p w:rsidRDefault="002B12F6" w:rsidP="002B12F6" w:rsidR="002B12F6">
      <w:pPr>
        <w:spacing w:beforeAutospacing="true" w:before="100"/>
        <w:ind w:firstLine="708" w:left="6372"/>
        <w:rPr>
          <w:color w:val="222222"/>
        </w:rPr>
      </w:pPr>
      <w:r>
        <w:rPr>
          <w:color w:val="222222"/>
        </w:rPr>
        <w:lastRenderedPageBreak/>
        <w:t>3/St-327/16-74</w:t>
      </w:r>
    </w:p>
    <w:p w:rsidRDefault="002B12F6" w:rsidP="0071449C" w:rsidR="0071449C">
      <w:pPr>
        <w:jc w:val="both"/>
      </w:pPr>
      <w:r>
        <w:tab/>
      </w:r>
      <w:r>
        <w:tab/>
      </w:r>
      <w:r>
        <w:tab/>
      </w:r>
      <w:r>
        <w:tab/>
        <w:t>2</w:t>
      </w:r>
    </w:p>
    <w:p w:rsidRDefault="0071449C" w:rsidP="0071449C" w:rsidR="002B12F6">
      <w:pPr>
        <w:jc w:val="both"/>
      </w:pPr>
      <w:r>
        <w:tab/>
      </w:r>
    </w:p>
    <w:p w:rsidRDefault="002B12F6" w:rsidP="0071449C" w:rsidR="002B12F6">
      <w:pPr>
        <w:jc w:val="both"/>
      </w:pPr>
    </w:p>
    <w:p w:rsidRDefault="0071449C" w:rsidP="0071449C" w:rsidR="0071449C">
      <w:pPr>
        <w:jc w:val="both"/>
      </w:pPr>
      <w:r>
        <w:t>Stečajni sudac je ispitala završni račun te nakon uvida u sve priložene isprave i bankovne izvatke kojima se dokazuju promjene stanja na žiro računu dužnika, koji su prilog periodično dostavljenih izvješća stečajnog upravitelja, potvrđuje isti.</w:t>
      </w:r>
    </w:p>
    <w:p w:rsidRDefault="0071449C" w:rsidP="0071449C" w:rsidR="0071449C">
      <w:pPr>
        <w:ind w:firstLine="708"/>
        <w:jc w:val="both"/>
      </w:pPr>
    </w:p>
    <w:p w:rsidRDefault="0071449C" w:rsidP="0071449C" w:rsidR="0071449C">
      <w:pPr>
        <w:jc w:val="both"/>
      </w:pPr>
      <w:r>
        <w:t xml:space="preserve">            Prilikom ispitivanja računa, stečajni sudac je utvrdila da je završni račun izrađen u skladu s osnovama knjigovodstva, da su u njemu obuhvaćeni svi poslovni događaji, da je račun iskazan realno i nije utvrđena razlika u odnosu na iznos sredstava koji je </w:t>
      </w:r>
      <w:proofErr w:type="spellStart"/>
      <w:r>
        <w:t>steč.upravitelj</w:t>
      </w:r>
      <w:proofErr w:type="spellEnd"/>
      <w:r>
        <w:t xml:space="preserve"> iskazao u odnosu na iznos utvrđen analizom priljeva i odljeva sredstava na žiro računu.</w:t>
      </w:r>
    </w:p>
    <w:p w:rsidRDefault="0071449C" w:rsidP="0071449C" w:rsidR="0071449C">
      <w:pPr>
        <w:jc w:val="both"/>
      </w:pPr>
    </w:p>
    <w:p w:rsidRDefault="0071449C" w:rsidP="0071449C" w:rsidR="0071449C">
      <w:pPr>
        <w:jc w:val="both"/>
      </w:pPr>
      <w:r>
        <w:t xml:space="preserve">            Iz tih razloga  je odlučeno  kao u izreci ovog rješenja na temelju, u svezi s čl. 441 st. 2. Stečajnog zakona NN 35/05 i dr. primjenjuje se isti stečajni zakon jer je prijedlog za otvaranje tog stečajnog postupka zaprimljen nakon što je stupio na snagu taj zakon.  </w:t>
      </w:r>
    </w:p>
    <w:p w:rsidRDefault="0071449C" w:rsidP="0071449C" w:rsidR="0071449C">
      <w:pPr>
        <w:jc w:val="both"/>
      </w:pPr>
    </w:p>
    <w:p w:rsidRDefault="0071449C" w:rsidP="0071449C" w:rsidR="0071449C">
      <w:pPr>
        <w:jc w:val="both"/>
      </w:pPr>
      <w:r>
        <w:tab/>
        <w:t xml:space="preserve">Utvrđeno je da je </w:t>
      </w:r>
      <w:proofErr w:type="spellStart"/>
      <w:r>
        <w:t>steč</w:t>
      </w:r>
      <w:proofErr w:type="spellEnd"/>
      <w:r>
        <w:t xml:space="preserve">. upravitelj prije namirivanja </w:t>
      </w:r>
      <w:proofErr w:type="spellStart"/>
      <w:r>
        <w:t>steč</w:t>
      </w:r>
      <w:proofErr w:type="spellEnd"/>
      <w:r>
        <w:t xml:space="preserve">. vjerovnika podmirivao obveze </w:t>
      </w:r>
      <w:proofErr w:type="spellStart"/>
      <w:r>
        <w:t>steč</w:t>
      </w:r>
      <w:proofErr w:type="spellEnd"/>
      <w:r>
        <w:t xml:space="preserve">. mase. te troškove </w:t>
      </w:r>
      <w:proofErr w:type="spellStart"/>
      <w:r>
        <w:t>steč</w:t>
      </w:r>
      <w:proofErr w:type="spellEnd"/>
      <w:r>
        <w:t>. postupka.</w:t>
      </w:r>
    </w:p>
    <w:p w:rsidRDefault="0071449C" w:rsidP="0071449C" w:rsidR="0071449C">
      <w:pPr>
        <w:ind w:firstLine="708"/>
        <w:jc w:val="both"/>
      </w:pPr>
    </w:p>
    <w:p w:rsidRDefault="0071449C" w:rsidP="0071449C" w:rsidR="0071449C">
      <w:pPr>
        <w:ind w:firstLine="708"/>
        <w:jc w:val="both"/>
      </w:pPr>
      <w:r>
        <w:t xml:space="preserve">Potrebno je rezervirati iznos od 3.770,57 kn za namirenje obveza koje će dospjeti za stečajnu masu do zaključenja stečaja- trošak platnog prometa i zatvaranje žiro računa. </w:t>
      </w:r>
    </w:p>
    <w:p w:rsidRDefault="0071449C" w:rsidP="0071449C" w:rsidR="0071449C">
      <w:pPr>
        <w:ind w:firstLine="708"/>
        <w:jc w:val="both"/>
      </w:pPr>
    </w:p>
    <w:p w:rsidRDefault="0071449C" w:rsidP="0071449C" w:rsidR="0071449C">
      <w:pPr>
        <w:ind w:firstLine="708"/>
        <w:jc w:val="both"/>
      </w:pPr>
      <w:r>
        <w:t>U  sudskoj pisarnici  je izložen:  završni račun i diobni popis, a izložit će se i  ovo rješenje  radi stavljanja na uvid vjerovnicima.</w:t>
      </w:r>
    </w:p>
    <w:p w:rsidRDefault="0071449C" w:rsidP="0071449C" w:rsidR="0071449C">
      <w:pPr>
        <w:rPr>
          <w:rFonts w:hAnsi="Calibri" w:ascii="Calibri"/>
        </w:rPr>
      </w:pPr>
    </w:p>
    <w:p w:rsidRDefault="0071449C" w:rsidP="0071449C" w:rsidR="0071449C">
      <w:pPr>
        <w:jc w:val="both"/>
      </w:pPr>
      <w:r>
        <w:tab/>
      </w:r>
    </w:p>
    <w:p w:rsidRDefault="0071449C" w:rsidP="0071449C" w:rsidR="0071449C">
      <w:pPr>
        <w:jc w:val="both"/>
      </w:pPr>
    </w:p>
    <w:p w:rsidRDefault="0071449C" w:rsidP="0071449C" w:rsidR="0071449C">
      <w:pPr>
        <w:jc w:val="both"/>
      </w:pPr>
      <w:r>
        <w:t>                                             U Slavonskom Brodu,07  rujna 2018.</w:t>
      </w:r>
    </w:p>
    <w:p w:rsidRDefault="0071449C" w:rsidP="0071449C" w:rsidR="0071449C"/>
    <w:p w:rsidRDefault="0071449C" w:rsidP="0071449C" w:rsidR="0071449C">
      <w:r>
        <w:t>                                                                                                                 STEČAJNI SUDAC:</w:t>
      </w:r>
    </w:p>
    <w:p w:rsidRDefault="0071449C" w:rsidP="0071449C" w:rsidR="0071449C">
      <w:r>
        <w:t>                                                                                                              Daniela Martini Maoduš</w:t>
      </w:r>
    </w:p>
    <w:p w:rsidRDefault="0071449C" w:rsidP="0071449C" w:rsidR="0071449C">
      <w:p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NAPUTAK O PRAVNOM LIJEKU:</w:t>
      </w:r>
    </w:p>
    <w:p w:rsidRDefault="0071449C" w:rsidP="0071449C" w:rsidR="0071449C">
      <w:pPr>
        <w:rPr>
          <w:sz w:val="20"/>
          <w:szCs w:val="20"/>
        </w:rPr>
      </w:pPr>
      <w:r>
        <w:rPr>
          <w:sz w:val="20"/>
          <w:szCs w:val="20"/>
        </w:rPr>
        <w:t>Protiv ovog rješenja postoji pravo žalbe u roku od 8 dana</w:t>
      </w:r>
    </w:p>
    <w:p w:rsidRDefault="0071449C" w:rsidP="0071449C" w:rsidR="0071449C">
      <w:pPr>
        <w:rPr>
          <w:sz w:val="20"/>
          <w:szCs w:val="20"/>
        </w:rPr>
      </w:pPr>
      <w:r>
        <w:rPr>
          <w:sz w:val="20"/>
          <w:szCs w:val="20"/>
        </w:rPr>
        <w:t xml:space="preserve">s tim da rok za žalbu počinje teći istekom  osmog dana od </w:t>
      </w:r>
    </w:p>
    <w:p w:rsidRDefault="0071449C" w:rsidP="0071449C" w:rsidR="0071449C">
      <w:pPr>
        <w:rPr>
          <w:sz w:val="20"/>
          <w:szCs w:val="20"/>
        </w:rPr>
      </w:pPr>
      <w:r>
        <w:rPr>
          <w:sz w:val="20"/>
          <w:szCs w:val="20"/>
        </w:rPr>
        <w:t>dana stavljanja rješenja na   E oglasnu ploču suda.</w:t>
      </w:r>
    </w:p>
    <w:p w:rsidRDefault="0071449C" w:rsidP="0071449C" w:rsidR="0071449C">
      <w:pPr>
        <w:rPr>
          <w:sz w:val="20"/>
          <w:szCs w:val="20"/>
        </w:rPr>
      </w:pPr>
    </w:p>
    <w:p w:rsidRDefault="0071449C" w:rsidP="0071449C" w:rsidR="0071449C">
      <w:pPr>
        <w:rPr>
          <w:sz w:val="20"/>
          <w:szCs w:val="20"/>
        </w:rPr>
      </w:pPr>
      <w:r>
        <w:rPr>
          <w:sz w:val="20"/>
          <w:szCs w:val="20"/>
        </w:rPr>
        <w:t>Dostaviti</w:t>
      </w:r>
    </w:p>
    <w:p w:rsidRDefault="0071449C" w:rsidP="0071449C" w:rsidR="0071449C">
      <w:pPr>
        <w:rPr>
          <w:sz w:val="20"/>
          <w:szCs w:val="20"/>
        </w:rPr>
      </w:pPr>
    </w:p>
    <w:p w:rsidRDefault="0071449C" w:rsidP="0071449C" w:rsidR="0071449C">
      <w:r>
        <w:rPr>
          <w:sz w:val="20"/>
          <w:szCs w:val="20"/>
        </w:rPr>
        <w:t xml:space="preserve">1. </w:t>
      </w:r>
      <w:proofErr w:type="spellStart"/>
      <w:r>
        <w:rPr>
          <w:sz w:val="20"/>
          <w:szCs w:val="20"/>
        </w:rPr>
        <w:t>steč.upravitelju</w:t>
      </w:r>
      <w:proofErr w:type="spellEnd"/>
      <w:r>
        <w:rPr>
          <w:sz w:val="20"/>
          <w:szCs w:val="20"/>
        </w:rPr>
        <w:t xml:space="preserve">, </w:t>
      </w:r>
      <w:proofErr w:type="spellStart"/>
      <w:r>
        <w:rPr>
          <w:sz w:val="20"/>
          <w:szCs w:val="20"/>
        </w:rPr>
        <w:t>razlučnim</w:t>
      </w:r>
      <w:proofErr w:type="spellEnd"/>
      <w:r>
        <w:rPr>
          <w:sz w:val="20"/>
          <w:szCs w:val="20"/>
        </w:rPr>
        <w:t xml:space="preserve"> i stečajnim vjerovnicima te svim zainteresiranim putem Oglasna ploča suda</w:t>
      </w:r>
    </w:p>
    <w:p w:rsidRDefault="0071449C" w:rsidP="0071449C" w:rsidR="0071449C">
      <w:pPr>
        <w:jc w:val="both"/>
        <w:rPr>
          <w:sz w:val="20"/>
          <w:szCs w:val="20"/>
        </w:rPr>
      </w:pPr>
      <w:r>
        <w:rPr>
          <w:sz w:val="20"/>
          <w:szCs w:val="20"/>
        </w:rPr>
        <w:t>2. Položiti u sudskoj pisarnici uz završni račun radi stavljanja na uvid vjerovnicima</w:t>
      </w:r>
    </w:p>
    <w:p w:rsidRDefault="0071449C" w:rsidP="0071449C" w:rsidR="0071449C">
      <w:pPr>
        <w:rPr>
          <w:rFonts w:hAnsi="Calibri" w:ascii="Calibri"/>
          <w:sz w:val="22"/>
          <w:szCs w:val="22"/>
        </w:rPr>
      </w:pPr>
    </w:p>
    <w:p w:rsidRDefault="0071449C" w:rsidP="0071449C" w:rsidR="0071449C"/>
    <w:p w:rsidRDefault="0071449C" w:rsidP="0071449C" w:rsidR="0071449C">
      <w:pPr>
        <w:rPr>
          <w:rFonts w:hAnsi="Calibri" w:ascii="Calibri"/>
          <w:sz w:val="22"/>
          <w:szCs w:val="22"/>
        </w:rPr>
      </w:pPr>
    </w:p>
    <w:p w:rsidRDefault="0071449C" w:rsidP="0071449C" w:rsidR="0071449C"/>
    <w:p w:rsidRDefault="0071449C" w:rsidP="0071449C" w:rsidR="0071449C"/>
    <w:p w:rsidRDefault="0071449C" w:rsidP="0071449C" w:rsidR="0071449C">
      <w:pPr>
        <w:ind w:firstLine="708"/>
      </w:pPr>
    </w:p>
    <w:p w:rsidRDefault="00AE649C" w:rsidP="004F27AE" w:rsidR="00AE649C" w:rsidRPr="00B76F3C">
      <w:pPr>
        <w:pStyle w:val="NormaleSPIS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844DD" w:rsidP="00537B78" w:rsidR="00D844DD">
      <w:r>
        <w:separator/>
      </w:r>
    </w:p>
  </w:endnote>
  <w:endnote w:id="0" w:type="continuationSeparator">
    <w:p w:rsidRDefault="00D844DD" w:rsidP="00537B78" w:rsidR="00D844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844DD" w:rsidP="00537B78" w:rsidR="00D844DD">
      <w:r>
        <w:separator/>
      </w:r>
    </w:p>
  </w:footnote>
  <w:footnote w:id="0" w:type="continuationSeparator">
    <w:p w:rsidRDefault="00D844DD" w:rsidP="00537B78" w:rsidR="00D844D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6FE2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12F6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3AA1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49C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801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4D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71449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/>
      <w:outlineLvl w:val="1"/>
    </w:pPr>
    <w:rPr>
      <w:rFonts w:cstheme="minorBidi" w:eastAsiaTheme="minorHAnsi"/>
      <w:b/>
      <w:sz w:val="28"/>
      <w:szCs w:val="20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lang w:eastAsia="en-US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after="240"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lang w:eastAsia="en-US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cstheme="minorBidi"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cstheme="minorBidi"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cstheme="minorBidi"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cstheme="minorBidi"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cstheme="minorBidi"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eastAsia="en-US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eastAsia="en-US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eastAsiaTheme="minorHAnsi" w:cs="Tahoma" w:hAnsi="Tahoma" w:ascii="Tahoma"/>
      <w:sz w:val="16"/>
      <w:szCs w:val="16"/>
      <w:lang w:eastAsia="en-US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eastAsia="en-US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eastAsia="en-US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eastAsia="en-US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eastAsia="en-US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spacing w:after="240"/>
      <w:ind w:left="2880"/>
    </w:pPr>
    <w:rPr>
      <w:rFonts w:cstheme="majorBidi" w:eastAsiaTheme="majorEastAsia" w:hAnsiTheme="majorHAnsi" w:asciiTheme="majorHAnsi"/>
      <w:lang w:eastAsia="en-US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rFonts w:cstheme="minorBidi" w:eastAsiaTheme="minorHAnsi"/>
      <w:b/>
      <w:caps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cstheme="minorBidi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cstheme="minorBidi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rFonts w:cstheme="minorBidi" w:eastAsiaTheme="minorHAnsi"/>
      <w:b/>
      <w:bCs/>
      <w:i/>
      <w:iCs/>
      <w:color w:themeColor="accent1" w:val="4F81BD"/>
      <w:lang w:eastAsia="en-US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cstheme="minorBidi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  <w:rPr>
      <w:rFonts w:cstheme="minorBidi" w:eastAsiaTheme="minorHAnsi"/>
      <w:lang w:eastAsia="en-US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eastAsia="en-US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eastAsia="en-US"/>
    </w:rPr>
  </w:style>
  <w:style w:customStyle="true" w:styleId="Normal-NoSpace" w:type="paragraph">
    <w:name w:val="Normal-No Space"/>
    <w:basedOn w:val="Normal"/>
    <w:rsid w:val="00EB0D4C"/>
    <w:rPr>
      <w:rFonts w:cstheme="minorBidi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cstheme="minorBidi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cstheme="minorBidi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cstheme="minorBidi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cstheme="minorBidi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cstheme="minorBidi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cstheme="minorBidi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spacing w:after="240"/>
      <w:jc w:val="right"/>
    </w:pPr>
    <w:rPr>
      <w:rFonts w:cstheme="minorBidi" w:eastAsiaTheme="minorHAnsi"/>
      <w:noProof/>
      <w:szCs w:val="18"/>
      <w:lang w:eastAsia="en-US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after="240"/>
    </w:pPr>
    <w:rPr>
      <w:rFonts w:cstheme="minorBidi" w:eastAsiaTheme="minorHAnsi"/>
      <w:i/>
      <w:iCs/>
      <w:color w:themeColor="text1" w:val="000000"/>
      <w:lang w:eastAsia="en-US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spacing w:after="240"/>
    </w:pPr>
    <w:rPr>
      <w:rFonts w:cstheme="minorBidi" w:eastAsiaTheme="minorHAnsi" w:hAnsiTheme="minorHAnsi" w:asciiTheme="minorHAnsi"/>
      <w:sz w:val="18"/>
      <w:szCs w:val="18"/>
      <w:lang w:eastAsia="en-US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rFonts w:cstheme="minorBidi" w:eastAsiaTheme="minorHAnsi"/>
      <w:noProof/>
      <w:lang w:eastAsia="en-US"/>
    </w:rPr>
  </w:style>
  <w:style w:customStyle="true" w:styleId="SudNaziv" w:type="paragraph">
    <w:name w:val="Sud_Naziv"/>
    <w:basedOn w:val="Normal"/>
    <w:rsid w:val="00EB0D4C"/>
    <w:rPr>
      <w:rFonts w:cstheme="minorBidi" w:eastAsiaTheme="minorHAnsi"/>
      <w:b/>
      <w:noProof/>
      <w:lang w:eastAsia="en-US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eastAsia="en-US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eastAsia="en-US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eastAsia="en-US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lang w:eastAsia="en-US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eastAsia="en-US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eastAsia="en-US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  <w:rPr>
      <w:rFonts w:cstheme="minorBidi" w:eastAsiaTheme="minorHAnsi"/>
      <w:lang w:eastAsia="en-US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eastAsia="en-US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  <w:rPr>
      <w:rFonts w:cstheme="minorBidi" w:eastAsiaTheme="minorHAnsi"/>
      <w:lang w:eastAsia="en-US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eastAsia="en-US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eastAsia="en-US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eastAsiaTheme="minorHAnsi" w:cs="Tahoma" w:hAnsi="Tahoma" w:ascii="Tahoma"/>
      <w:sz w:val="16"/>
      <w:szCs w:val="16"/>
      <w:lang w:eastAsia="en-US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  <w:lang w:eastAsia="en-US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eastAsia="en-US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eastAsia="en-US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eastAsia="en-US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eastAsia="en-US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eastAsia="en-US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eastAsia="en-US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eastAsia="en-US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eastAsia="en-US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cstheme="majorBidi" w:eastAsiaTheme="majorEastAsia" w:hAnsiTheme="majorHAnsi" w:asciiTheme="majorHAnsi"/>
      <w:b/>
      <w:bCs/>
      <w:lang w:eastAsia="en-US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eastAsia="en-US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eastAsia="en-US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cstheme="majorBidi" w:eastAsiaTheme="majorEastAsia" w:hAnsiTheme="majorHAnsi" w:asciiTheme="majorHAnsi"/>
      <w:b/>
      <w:bCs/>
      <w:lang w:eastAsia="en-US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eastAsia="en-US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eastAsia="en-US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eastAsia="en-US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eastAsia="en-US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eastAsia="en-US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eastAsia="en-US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eastAsia="en-US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eastAsia="en-US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eastAsia="en-US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eastAsia="en-US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eastAsia="en-US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eastAsia="en-US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eastAsia="en-US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71449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/>
      <w:outlineLvl w:val="1"/>
    </w:pPr>
    <w:rPr>
      <w:rFonts w:cstheme="minorBidi" w:eastAsiaTheme="minorHAnsi"/>
      <w:b/>
      <w:sz w:val="28"/>
      <w:szCs w:val="20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lang w:eastAsia="en-US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after="240"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lang w:eastAsia="en-US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cstheme="minorBidi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cstheme="minorBidi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cstheme="minorBidi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cstheme="minorBidi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cstheme="minorBidi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eastAsia="en-US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eastAsia="en-US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ascii="Tahoma" w:cs="Tahoma" w:eastAsiaTheme="minorHAnsi" w:hAnsi="Tahoma"/>
      <w:sz w:val="16"/>
      <w:szCs w:val="16"/>
      <w:lang w:eastAsia="en-US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eastAsia="en-US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eastAsia="en-US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eastAsia="en-US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eastAsia="en-US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spacing w:after="240"/>
      <w:ind w:left="2880"/>
    </w:pPr>
    <w:rPr>
      <w:rFonts w:asciiTheme="majorHAnsi" w:cstheme="majorBidi" w:eastAsiaTheme="majorEastAsia" w:hAnsiTheme="majorHAnsi"/>
      <w:lang w:eastAsia="en-US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rFonts w:cstheme="minorBidi" w:eastAsiaTheme="minorHAnsi"/>
      <w:b/>
      <w:caps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cstheme="minorBidi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cstheme="minorBidi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rFonts w:cstheme="minorBidi" w:eastAsiaTheme="minorHAnsi"/>
      <w:b/>
      <w:bCs/>
      <w:i/>
      <w:iCs/>
      <w:color w:themeColor="accent1" w:val="4F81BD"/>
      <w:lang w:eastAsia="en-US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cstheme="minorBidi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  <w:rPr>
      <w:rFonts w:cstheme="minorBidi" w:eastAsiaTheme="minorHAnsi"/>
      <w:lang w:eastAsia="en-US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eastAsia="en-US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eastAsia="en-US"/>
    </w:rPr>
  </w:style>
  <w:style w:customStyle="1" w:styleId="Normal-NoSpace" w:type="paragraph">
    <w:name w:val="Normal-No Space"/>
    <w:basedOn w:val="Normal"/>
    <w:rsid w:val="00EB0D4C"/>
    <w:rPr>
      <w:rFonts w:cstheme="minorBidi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cstheme="minorBidi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cstheme="minorBidi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cstheme="minorBidi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cstheme="minorBidi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cstheme="minorBidi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cstheme="minorBidi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spacing w:after="240"/>
      <w:jc w:val="right"/>
    </w:pPr>
    <w:rPr>
      <w:rFonts w:cstheme="minorBidi" w:eastAsiaTheme="minorHAnsi"/>
      <w:noProof/>
      <w:szCs w:val="18"/>
      <w:lang w:eastAsia="en-US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after="240"/>
    </w:pPr>
    <w:rPr>
      <w:rFonts w:cstheme="minorBidi" w:eastAsiaTheme="minorHAnsi"/>
      <w:i/>
      <w:iCs/>
      <w:color w:themeColor="text1" w:val="000000"/>
      <w:lang w:eastAsia="en-US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spacing w:after="240"/>
    </w:pPr>
    <w:rPr>
      <w:rFonts w:asciiTheme="minorHAnsi" w:cstheme="minorBidi" w:eastAsiaTheme="minorHAnsi" w:hAnsiTheme="minorHAnsi"/>
      <w:sz w:val="18"/>
      <w:szCs w:val="18"/>
      <w:lang w:eastAsia="en-US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rFonts w:cstheme="minorBidi" w:eastAsiaTheme="minorHAnsi"/>
      <w:noProof/>
      <w:lang w:eastAsia="en-US"/>
    </w:rPr>
  </w:style>
  <w:style w:customStyle="1" w:styleId="SudNaziv" w:type="paragraph">
    <w:name w:val="Sud_Naziv"/>
    <w:basedOn w:val="Normal"/>
    <w:rsid w:val="00EB0D4C"/>
    <w:rPr>
      <w:rFonts w:cstheme="minorBidi" w:eastAsiaTheme="minorHAnsi"/>
      <w:b/>
      <w:noProof/>
      <w:lang w:eastAsia="en-US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eastAsia="en-US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eastAsia="en-US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eastAsia="en-US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eastAsia="en-US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lang w:eastAsia="en-US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eastAsia="en-US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eastAsia="en-US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  <w:rPr>
      <w:rFonts w:cstheme="minorBidi" w:eastAsiaTheme="minorHAnsi"/>
      <w:lang w:eastAsia="en-US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eastAsia="en-US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  <w:rPr>
      <w:rFonts w:cstheme="minorBidi" w:eastAsiaTheme="minorHAnsi"/>
      <w:lang w:eastAsia="en-US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eastAsia="en-US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eastAsia="en-US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eastAsiaTheme="minorHAnsi" w:hAnsi="Tahoma"/>
      <w:sz w:val="16"/>
      <w:szCs w:val="16"/>
      <w:lang w:eastAsia="en-US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  <w:lang w:eastAsia="en-US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eastAsia="en-US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eastAsia="en-US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eastAsia="en-US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eastAsia="en-US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eastAsia="en-US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eastAsia="en-US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eastAsia="en-US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eastAsia="en-US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asciiTheme="majorHAnsi" w:cstheme="majorBidi" w:eastAsiaTheme="majorEastAsia" w:hAnsiTheme="majorHAnsi"/>
      <w:b/>
      <w:bCs/>
      <w:lang w:eastAsia="en-US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eastAsia="en-US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eastAsia="en-US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asciiTheme="majorHAnsi" w:cstheme="majorBidi" w:eastAsiaTheme="majorEastAsia" w:hAnsiTheme="majorHAnsi"/>
      <w:b/>
      <w:bCs/>
      <w:lang w:eastAsia="en-US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eastAsia="en-US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eastAsia="en-US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eastAsia="en-US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eastAsia="en-US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eastAsia="en-US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eastAsia="en-US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eastAsia="en-US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eastAsia="en-US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eastAsia="en-US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eastAsia="en-US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eastAsia="en-US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eastAsia="en-US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eastAsia="en-US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61642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rujna 2018.</izvorni_sadrzaj>
    <derivirana_varijabla naziv="DomainObject.DatumDonosenjaOdluke_1">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St-327/2016-74</izvorni_sadrzaj>
    <derivirana_varijabla naziv="DomainObject.Oznaka_1">St-327/2016-74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327</izvorni_sadrzaj>
    <derivirana_varijabla naziv="DomainObject.Predmet.Broj_1">327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veljače 2016.</izvorni_sadrzaj>
    <derivirana_varijabla naziv="DomainObject.Predmet.DatumOsnivanja_1">11.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St-327/2016</izvorni_sadrzaj>
    <derivirana_varijabla naziv="DomainObject.Predmet.OznakaBroj_1">St-327/2016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st-286/15  VEZAN NA st-327/16  I,II dio kod dubi  ,  III dio u ref.</izvorni_sadrzaj>
    <derivirana_varijabla naziv="DomainObject.Predmet.PrimjedbaSuca_1">st-286/15  VEZAN NA st-327/16  I,II dio kod dubi  ,  III dio u ref.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DOCA KOMERC d.o.o. za trgovinu, građevinarstvo i usluge</izvorni_sadrzaj>
    <derivirana_varijabla naziv="DomainObject.Predmet.ProtustrankaFormated_1">  DOCA KOMERC d.o.o. za trgovinu, građevinarstvo i usluge</derivirana_varijabla>
  </DomainObject.Predmet.ProtustrankaFormated>
  <DomainObject.Predmet.ProtustrankaFormatedOIB>
    <izvorni_sadrzaj>  DOCA KOMERC d.o.o. za trgovinu, građevinarstvo i usluge, OIB 01333304388</izvorni_sadrzaj>
    <derivirana_varijabla naziv="DomainObject.Predmet.ProtustrankaFormatedOIB_1">  DOCA KOMERC d.o.o. za trgovinu, građevinarstvo i usluge, OIB 01333304388</derivirana_varijabla>
  </DomainObject.Predmet.ProtustrankaFormatedOIB>
  <DomainObject.Predmet.ProtustrankaFormatedWithAdress>
    <izvorni_sadrzaj> DOCA KOMERC d.o.o. za trgovinu, građevinarstvo i usluge, Julija Domca 37, 35000 Slavonski Brod</izvorni_sadrzaj>
    <derivirana_varijabla naziv="DomainObject.Predmet.ProtustrankaFormatedWithAdress_1"> DOCA KOMERC d.o.o. za trgovinu, građevinarstvo i usluge, Julija Domca 37, 35000 Slavonski Brod</derivirana_varijabla>
  </DomainObject.Predmet.ProtustrankaFormatedWithAdress>
  <DomainObject.Predmet.ProtustrankaFormatedWithAdressOIB>
    <izvorni_sadrzaj> DOCA KOMERC d.o.o. za trgovinu, građevinarstvo i usluge, OIB 01333304388, Julija Domca 37, 35000 Slavonski Brod</izvorni_sadrzaj>
    <derivirana_varijabla naziv="DomainObject.Predmet.ProtustrankaFormatedWithAdressOIB_1"> DOCA KOMERC d.o.o. za trgovinu, građevinarstvo i usluge, OIB 01333304388, Julija Domca 37, 35000 Slavonski Brod</derivirana_varijabla>
  </DomainObject.Predmet.ProtustrankaFormatedWithAdressOIB>
  <DomainObject.Predmet.ProtustrankaWithAdress>
    <izvorni_sadrzaj>DOCA KOMERC d.o.o. za trgovinu, građevinarstvo i usluge Julija Domca 37, 35000 Slavonski Brod</izvorni_sadrzaj>
    <derivirana_varijabla naziv="DomainObject.Predmet.ProtustrankaWithAdress_1">DOCA KOMERC d.o.o. za trgovinu, građevinarstvo i usluge Julija Domca 37, 35000 Slavonski Brod</derivirana_varijabla>
  </DomainObject.Predmet.ProtustrankaWithAdress>
  <DomainObject.Predmet.ProtustrankaWithAdressOIB>
    <izvorni_sadrzaj>DOCA KOMERC d.o.o. za trgovinu, građevinarstvo i usluge, OIB 01333304388, Julija Domca 37, 35000 Slavonski Brod</izvorni_sadrzaj>
    <derivirana_varijabla naziv="DomainObject.Predmet.ProtustrankaWithAdressOIB_1">DOCA KOMERC d.o.o. za trgovinu, građevinarstvo i usluge, OIB 01333304388, Julija Domca 37, 35000 Slavonski Brod</derivirana_varijabla>
  </DomainObject.Predmet.ProtustrankaWithAdressOIB>
  <DomainObject.Predmet.ProtustrankaNazivFormated>
    <izvorni_sadrzaj>DOCA KOMERC d.o.o. za trgovinu, građevinarstvo i usluge</izvorni_sadrzaj>
    <derivirana_varijabla naziv="DomainObject.Predmet.ProtustrankaNazivFormated_1">DOCA KOMERC d.o.o. za trgovinu, građevinarstvo i usluge</derivirana_varijabla>
  </DomainObject.Predmet.ProtustrankaNazivFormated>
  <DomainObject.Predmet.ProtustrankaNazivFormatedOIB>
    <izvorni_sadrzaj>DOCA KOMERC d.o.o. za trgovinu, građevinarstvo i usluge, OIB 01333304388</izvorni_sadrzaj>
    <derivirana_varijabla naziv="DomainObject.Predmet.ProtustrankaNazivFormatedOIB_1">DOCA KOMERC d.o.o. za trgovinu, građevinarstvo i usluge, OIB 01333304388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POREZNA UPRAVA Područni ured  Slavonija i baranja , Slavonski Brod</izvorni_sadrzaj>
    <derivirana_varijabla naziv="DomainObject.Predmet.StrankaFormated_1">  RH MINISTARSTVO FINANCIJA POREZNA UPRAVA Područni ured  Slavonija i baranja , Slavonski Brod</derivirana_varijabla>
  </DomainObject.Predmet.StrankaFormated>
  <DomainObject.Predmet.StrankaFormatedOIB>
    <izvorni_sadrzaj>  RH MINISTARSTVO FINANCIJA POREZNA UPRAVA Područni ured  Slavonija i baranja , Slavonski Brod, OIB 18683136487</izvorni_sadrzaj>
    <derivirana_varijabla naziv="DomainObject.Predmet.StrankaFormatedOIB_1">  RH MINISTARSTVO FINANCIJA POREZNA UPRAVA Područni ured  Slavonija i baranja , Slavonski Brod, OIB 18683136487</derivirana_varijabla>
  </DomainObject.Predmet.StrankaFormatedOIB>
  <DomainObject.Predmet.StrankaFormatedWithAdress>
    <izvorni_sadrzaj> RH MINISTARSTVO FINANCIJA POREZNA UPRAVA Područni ured  Slavonija i baranja , Slavonski Brod</izvorni_sadrzaj>
    <derivirana_varijabla naziv="DomainObject.Predmet.StrankaFormatedWithAdress_1"> RH MINISTARSTVO FINANCIJA POREZNA UPRAVA Područni ured  Slavonija i baranja , Slavonski Brod</derivirana_varijabla>
  </DomainObject.Predmet.StrankaFormatedWithAdress>
  <DomainObject.Predmet.StrankaFormatedWithAdressOIB>
    <izvorni_sadrzaj> RH MINISTARSTVO FINANCIJA POREZNA UPRAVA Područni ured  Slavonija i baranja , Slavonski Brod, OIB 18683136487</izvorni_sadrzaj>
    <derivirana_varijabla naziv="DomainObject.Predmet.StrankaFormatedWithAdressOIB_1"> RH MINISTARSTVO FINANCIJA POREZNA UPRAVA Područni ured  Slavonija i baranja , Slavonski Brod, OIB 18683136487</derivirana_varijabla>
  </DomainObject.Predmet.StrankaFormatedWithAdressOIB>
  <DomainObject.Predmet.StrankaWithAdress>
    <izvorni_sadrzaj>RH MINISTARSTVO FINANCIJA POREZNA UPRAVA Područni ured  Slavonija i baranja , Slavonski Brod </izvorni_sadrzaj>
    <derivirana_varijabla naziv="DomainObject.Predmet.StrankaWithAdress_1">RH MINISTARSTVO FINANCIJA POREZNA UPRAVA Područni ured  Slavonija i baranja , Slavonski Brod </derivirana_varijabla>
  </DomainObject.Predmet.StrankaWithAdress>
  <DomainObject.Predmet.StrankaWithAdressOIB>
    <izvorni_sadrzaj>RH MINISTARSTVO FINANCIJA POREZNA UPRAVA Područni ured  Slavonija i baranja , Slavonski Brod, OIB 18683136487</izvorni_sadrzaj>
    <derivirana_varijabla naziv="DomainObject.Predmet.StrankaWithAdressOIB_1">RH MINISTARSTVO FINANCIJA POREZNA UPRAVA Područni ured  Slavonija i baranja , Slavonski Brod, OIB 18683136487</derivirana_varijabla>
  </DomainObject.Predmet.StrankaWithAdressOIB>
  <DomainObject.Predmet.StrankaNazivFormated>
    <izvorni_sadrzaj>RH MINISTARSTVO FINANCIJA POREZNA UPRAVA Područni ured  Slavonija i baranja , Slavonski Brod</izvorni_sadrzaj>
    <derivirana_varijabla naziv="DomainObject.Predmet.StrankaNazivFormated_1">RH MINISTARSTVO FINANCIJA POREZNA UPRAVA Područni ured  Slavonija i baranja , Slavonski Brod</derivirana_varijabla>
  </DomainObject.Predmet.StrankaNazivFormated>
  <DomainObject.Predmet.StrankaNazivFormatedOIB>
    <izvorni_sadrzaj>RH MINISTARSTVO FINANCIJA POREZNA UPRAVA Područni ured  Slavonija i baranja , Slavonski Brod, OIB 18683136487</izvorni_sadrzaj>
    <derivirana_varijabla naziv="DomainObject.Predmet.StrankaNazivFormatedOIB_1">RH MINISTARSTVO FINANCIJA POREZNA UPRAVA Područni ured  Slavonija i baranja , Slavonski Brod, OIB 18683136487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RH MINISTARSTVO FINANCIJA POREZNA UPRAVA Područni ured  Slavonija i baranja , Slavonski Brod</item>
    </izvorni_sadrzaj>
    <derivirana_varijabla naziv="DomainObject.Predmet.StrankaListFormated_1">
      <item>RH MINISTARSTVO FINANCIJA POREZNA UPRAVA Područni ured  Slavonija i baranja , Slavonski Brod</item>
    </derivirana_varijabla>
  </DomainObject.Predmet.StrankaListFormated>
  <DomainObject.Predmet.StrankaListFormatedOIB>
    <izvorni_sadrzaj>
      <item>RH MINISTARSTVO FINANCIJA POREZNA UPRAVA Područni ured  Slavonija i baranja , Slavonski Brod, OIB 18683136487</item>
    </izvorni_sadrzaj>
    <derivirana_varijabla naziv="DomainObject.Predmet.StrankaListFormatedOIB_1">
      <item>RH MINISTARSTVO FINANCIJA POREZNA UPRAVA Područni ured  Slavonija i baranja , Slavonski Brod, OIB 18683136487</item>
    </derivirana_varijabla>
  </DomainObject.Predmet.StrankaListFormatedOIB>
  <DomainObject.Predmet.StrankaListFormatedWithAdress>
    <izvorni_sadrzaj>
      <item>RH MINISTARSTVO FINANCIJA POREZNA UPRAVA Područni ured  Slavonija i baranja , Slavonski Brod</item>
    </izvorni_sadrzaj>
    <derivirana_varijabla naziv="DomainObject.Predmet.StrankaListFormatedWithAdress_1">
      <item>RH MINISTARSTVO FINANCIJA POREZNA UPRAVA Područni ured  Slavonija i baranja , Slavonski Brod</item>
    </derivirana_varijabla>
  </DomainObject.Predmet.StrankaListFormatedWithAdress>
  <DomainObject.Predmet.StrankaListFormatedWithAdressOIB>
    <izvorni_sadrzaj>
      <item>RH MINISTARSTVO FINANCIJA POREZNA UPRAVA Područni ured  Slavonija i baranja , Slavonski Brod, OIB 18683136487</item>
    </izvorni_sadrzaj>
    <derivirana_varijabla naziv="DomainObject.Predmet.StrankaListFormatedWithAdressOIB_1">
      <item>RH MINISTARSTVO FINANCIJA POREZNA UPRAVA Područni ured  Slavonija i baranja , Slavonski Brod, OIB 18683136487</item>
    </derivirana_varijabla>
  </DomainObject.Predmet.StrankaListFormatedWithAdressOIB>
  <DomainObject.Predmet.StrankaListNazivFormated>
    <izvorni_sadrzaj>
      <item>RH MINISTARSTVO FINANCIJA POREZNA UPRAVA Područni ured  Slavonija i baranja , Slavonski Brod</item>
    </izvorni_sadrzaj>
    <derivirana_varijabla naziv="DomainObject.Predmet.StrankaListNazivFormated_1">
      <item>RH MINISTARSTVO FINANCIJA POREZNA UPRAVA Područni ured  Slavonija i baranja , Slavonski Brod</item>
    </derivirana_varijabla>
  </DomainObject.Predmet.StrankaListNazivFormated>
  <DomainObject.Predmet.StrankaListNazivFormatedOIB>
    <izvorni_sadrzaj>
      <item>RH MINISTARSTVO FINANCIJA POREZNA UPRAVA Područni ured  Slavonija i baranja , Slavonski Brod, OIB 18683136487</item>
    </izvorni_sadrzaj>
    <derivirana_varijabla naziv="DomainObject.Predmet.StrankaListNazivFormatedOIB_1">
      <item>RH MINISTARSTVO FINANCIJA POREZNA UPRAVA Područni ured  Slavonija i baranja , Slavonski Brod, OIB 18683136487</item>
    </derivirana_varijabla>
  </DomainObject.Predmet.StrankaListNazivFormatedOIB>
  <DomainObject.Predmet.ProtuStrankaListFormated>
    <izvorni_sadrzaj>
      <item>DOCA KOMERC d.o.o. za trgovinu, građevinarstvo i usluge</item>
    </izvorni_sadrzaj>
    <derivirana_varijabla naziv="DomainObject.Predmet.ProtuStrankaListFormated_1">
      <item>DOCA KOMERC d.o.o. za trgovinu, građevinarstvo i usluge</item>
    </derivirana_varijabla>
  </DomainObject.Predmet.ProtuStrankaListFormated>
  <DomainObject.Predmet.ProtuStrankaListFormatedOIB>
    <izvorni_sadrzaj>
      <item>DOCA KOMERC d.o.o. za trgovinu, građevinarstvo i usluge, OIB 01333304388</item>
    </izvorni_sadrzaj>
    <derivirana_varijabla naziv="DomainObject.Predmet.ProtuStrankaListFormatedOIB_1">
      <item>DOCA KOMERC d.o.o. za trgovinu, građevinarstvo i usluge, OIB 01333304388</item>
    </derivirana_varijabla>
  </DomainObject.Predmet.ProtuStrankaListFormatedOIB>
  <DomainObject.Predmet.ProtuStrankaListFormatedWithAdress>
    <izvorni_sadrzaj>
      <item>DOCA KOMERC d.o.o. za trgovinu, građevinarstvo i usluge, Julija Domca 37, 35000 Slavonski Brod</item>
    </izvorni_sadrzaj>
    <derivirana_varijabla naziv="DomainObject.Predmet.ProtuStrankaListFormatedWithAdress_1">
      <item>DOCA KOMERC d.o.o. za trgovinu, građevinarstvo i usluge, Julija Domca 37, 35000 Slavonski Brod</item>
    </derivirana_varijabla>
  </DomainObject.Predmet.ProtuStrankaListFormatedWithAdress>
  <DomainObject.Predmet.ProtuStrankaListFormatedWithAdressOIB>
    <izvorni_sadrzaj>
      <item>DOCA KOMERC d.o.o. za trgovinu, građevinarstvo i usluge, OIB 01333304388, Julija Domca 37, 35000 Slavonski Brod</item>
    </izvorni_sadrzaj>
    <derivirana_varijabla naziv="DomainObject.Predmet.ProtuStrankaListFormatedWithAdressOIB_1">
      <item>DOCA KOMERC d.o.o. za trgovinu, građevinarstvo i usluge, OIB 01333304388, Julija Domca 37, 35000 Slavonski Brod</item>
    </derivirana_varijabla>
  </DomainObject.Predmet.ProtuStrankaListFormatedWithAdressOIB>
  <DomainObject.Predmet.ProtuStrankaListNazivFormated>
    <izvorni_sadrzaj>
      <item>DOCA KOMERC d.o.o. za trgovinu, građevinarstvo i usluge</item>
    </izvorni_sadrzaj>
    <derivirana_varijabla naziv="DomainObject.Predmet.ProtuStrankaListNazivFormated_1">
      <item>DOCA KOMERC d.o.o. za trgovinu, građevinarstvo i usluge</item>
    </derivirana_varijabla>
  </DomainObject.Predmet.ProtuStrankaListNazivFormated>
  <DomainObject.Predmet.ProtuStrankaListNazivFormatedOIB>
    <izvorni_sadrzaj>
      <item>DOCA KOMERC d.o.o. za trgovinu, građevinarstvo i usluge, OIB 01333304388</item>
    </izvorni_sadrzaj>
    <derivirana_varijabla naziv="DomainObject.Predmet.ProtuStrankaListNazivFormatedOIB_1">
      <item>DOCA KOMERC d.o.o. za trgovinu, građevinarstvo i usluge, OIB 01333304388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2018.</izvorni_sadrzaj>
    <derivirana_varijabla naziv="DomainObject.Datum_1">7. rujna 2018.</derivirana_varijabla>
  </DomainObject.Datum>
  <DomainObject.PoslovniBrojDokumenta>
    <izvorni_sadrzaj>St-327/2016-74</izvorni_sadrzaj>
    <derivirana_varijabla naziv="DomainObject.PoslovniBrojDokumenta_1">St-327/2016-74</derivirana_varijabla>
  </DomainObject.PoslovniBrojDokumenta>
  <DomainObject.Predmet.StrankaIDrugi>
    <izvorni_sadrzaj>RH MINISTARSTVO FINANCIJA POREZNA UPRAVA Područni ured  Slavonija i baranja , Slavonski Brod</izvorni_sadrzaj>
    <derivirana_varijabla naziv="DomainObject.Predmet.StrankaIDrugi_1">RH MINISTARSTVO FINANCIJA POREZNA UPRAVA Područni ured  Slavonija i baranja , Slavonski Brod</derivirana_varijabla>
  </DomainObject.Predmet.StrankaIDrugi>
  <DomainObject.Predmet.ProtustrankaIDrugi>
    <izvorni_sadrzaj>DOCA KOMERC d.o.o. za trgovinu, građevinarstvo i usluge</izvorni_sadrzaj>
    <derivirana_varijabla naziv="DomainObject.Predmet.ProtustrankaIDrugi_1">DOCA KOMERC d.o.o. za trgovinu, građevinarstvo i usluge</derivirana_varijabla>
  </DomainObject.Predmet.ProtustrankaIDrugi>
  <DomainObject.Predmet.StrankaIDrugiAdressOIB>
    <izvorni_sadrzaj>RH MINISTARSTVO FINANCIJA POREZNA UPRAVA Područni ured  Slavonija i baranja , Slavonski Brod, OIB 18683136487</izvorni_sadrzaj>
    <derivirana_varijabla naziv="DomainObject.Predmet.StrankaIDrugiAdressOIB_1">RH MINISTARSTVO FINANCIJA POREZNA UPRAVA Područni ured  Slavonija i baranja , Slavonski Brod, OIB 18683136487</derivirana_varijabla>
  </DomainObject.Predmet.StrankaIDrugiAdressOIB>
  <DomainObject.Predmet.ProtustrankaIDrugiAdressOIB>
    <izvorni_sadrzaj>DOCA KOMERC d.o.o. za trgovinu, građevinarstvo i usluge, OIB 01333304388, Julija Domca 37, 35000 Slavonski Brod</izvorni_sadrzaj>
    <derivirana_varijabla naziv="DomainObject.Predmet.ProtustrankaIDrugiAdressOIB_1">DOCA KOMERC d.o.o. za trgovinu, građevinarstvo i usluge, OIB 01333304388, Julija Domca 37,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DOCA KOMERC d.o.o. za trgovinu, građevinarstvo i usluge</item>
      <item>RH MINISTARSTVO FINANCIJA POREZNA UPRAVA Područni ured  Slavonija i baranja , Slavonski Brod</item>
    </izvorni_sadrzaj>
    <derivirana_varijabla naziv="DomainObject.Predmet.SudioniciListNaziv_1">
      <item>DOCA KOMERC d.o.o. za trgovinu, građevinarstvo i usluge</item>
      <item>RH MINISTARSTVO FINANCIJA POREZNA UPRAVA Područni ured  Slavonija i baranja , Slavonski Brod</item>
    </derivirana_varijabla>
  </DomainObject.Predmet.SudioniciListNaziv>
  <DomainObject.Predmet.SudioniciListAdressOIB>
    <izvorni_sadrzaj>
      <item>DOCA KOMERC d.o.o. za trgovinu, građevinarstvo i usluge, OIB 01333304388, Julija Domca 37,35000 Slavonski Brod</item>
      <item>RH MINISTARSTVO FINANCIJA POREZNA UPRAVA Područni ured  Slavonija i baranja , Slavonski Brod, OIB 18683136487</item>
    </izvorni_sadrzaj>
    <derivirana_varijabla naziv="DomainObject.Predmet.SudioniciListAdressOIB_1">
      <item>DOCA KOMERC d.o.o. za trgovinu, građevinarstvo i usluge, OIB 01333304388, Julija Domca 37,35000 Slavonski Brod</item>
      <item>RH MINISTARSTVO FINANCIJA POREZNA UPRAVA Područni ured  Slavonija i baranja , Slavonski Brod,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66587DE-B6B6-4E99-B4C0-0E74A5B6D4E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524</properties:Words>
  <properties:Characters>2762</properties:Characters>
  <properties:Lines>83</properties:Lines>
  <properties:Paragraphs>32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3621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wsadmin</cp:lastModifiedBy>
  <dcterms:modified xmlns:xsi="http://www.w3.org/2001/XMLSchema-instance" xsi:type="dcterms:W3CDTF">2018-09-07T13:23:00Z</dcterms:modified>
  <cp:revision>15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St-327/2016-74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