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1e7e" w14:paraId="04e1e7e" w:rsidRDefault="00B873B9" w:rsidP="00B873B9" w:rsidR="00B873B9" w:rsidRPr="00B873B9">
      <w:pPr>
        <w:overflowPunct w:val="false"/>
        <w:autoSpaceDE w:val="false"/>
        <w:autoSpaceDN w:val="false"/>
        <w:adjustRightInd w:val="false"/>
        <w:spacing w:lineRule="auto" w:line="240" w:after="0"/>
        <w:textAlignment w:val="baseline"/>
        <w15:collapsed w:val="fals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b/>
          <w:lang w:eastAsia="hr-HR"/>
        </w:rPr>
      </w:pPr>
      <w:r w:rsidRPr="00B873B9">
        <w:rPr>
          <w:rFonts w:cs="Tahoma" w:eastAsia="Times New Roman" w:hAnsi="Tahoma" w:ascii="Tahoma"/>
          <w:b/>
          <w:lang w:eastAsia="hr-HR"/>
        </w:rPr>
        <w:t xml:space="preserve">KREŠIMIR FUČKAR  </w:t>
      </w:r>
      <w:proofErr w:type="spellStart"/>
      <w:r w:rsidRPr="00B873B9">
        <w:rPr>
          <w:rFonts w:cs="Tahoma" w:eastAsia="Times New Roman" w:hAnsi="Tahoma" w:ascii="Tahoma"/>
          <w:b/>
          <w:lang w:eastAsia="hr-HR"/>
        </w:rPr>
        <w:t>mag</w:t>
      </w:r>
      <w:proofErr w:type="spellEnd"/>
      <w:r w:rsidRPr="00B873B9">
        <w:rPr>
          <w:rFonts w:cs="Tahoma" w:eastAsia="Times New Roman" w:hAnsi="Tahoma" w:ascii="Tahoma"/>
          <w:b/>
          <w:lang w:eastAsia="hr-HR"/>
        </w:rPr>
        <w:t>. oec.</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lang w:eastAsia="hr-HR"/>
        </w:rPr>
      </w:pPr>
      <w:r w:rsidRPr="00B873B9">
        <w:rPr>
          <w:rFonts w:cs="Tahoma" w:eastAsia="Times New Roman" w:hAnsi="Tahoma" w:ascii="Tahoma"/>
          <w:noProof/>
          <w:lang w:eastAsia="hr-HR"/>
        </w:rPr>
        <w:pict>
          <v:line strokeweight="6pt" strokecolor="gray" o:allowincell="f" o:spid="_x0000_s1026" id="Line 2"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49.3pt,5.35pt" from="-4.35pt,5.3pt">
            <v:stroke endarrowlength="short" endarrowwidth="narrow" startarrowlength="short" startarrowwidth="narrow"/>
            <v:shadow offset="3.75pt,2.5pt" color="black" on="t"/>
          </v:line>
        </w:pict>
      </w:r>
    </w:p>
    <w:p w:rsidRDefault="00B873B9" w:rsidP="00B873B9" w:rsidR="00B873B9" w:rsidRPr="00B873B9">
      <w:pPr>
        <w:framePr w:y="6" w:x="1756" w:vAnchor="text" w:hAnchor="page" w:wrap="auto" w:hSpace="180" w:h="496" w:w="9091"/>
        <w:shd w:fill="auto" w:color="C0C0C0" w:val="pct20"/>
        <w:overflowPunct w:val="false"/>
        <w:autoSpaceDE w:val="false"/>
        <w:autoSpaceDN w:val="false"/>
        <w:adjustRightInd w:val="false"/>
        <w:spacing w:lineRule="auto" w:line="240" w:after="0"/>
        <w:textAlignment w:val="baseline"/>
        <w:rPr>
          <w:rFonts w:cs="Calibri" w:eastAsia="Times New Roman" w:hAnsi="Calibri" w:ascii="Calibri"/>
          <w:color w:val="000000"/>
          <w:sz w:val="16"/>
          <w:szCs w:val="16"/>
          <w:lang w:eastAsia="hr-HR"/>
        </w:rPr>
      </w:pPr>
      <w:r w:rsidRPr="00B873B9">
        <w:rPr>
          <w:rFonts w:cs="Calibri" w:eastAsia="Times New Roman" w:hAnsi="Calibri" w:ascii="Calibri"/>
          <w:color w:val="000000"/>
          <w:sz w:val="16"/>
          <w:szCs w:val="16"/>
          <w:lang w:eastAsia="hr-HR"/>
        </w:rPr>
        <w:t>ADRESA PREBIVALIŠTA: BRAĆE RADIĆA 63,  SLADOJEVCI , 33520, SLATINA,       ADRESA UREDA: TRG SVETOG JOSIPA 5A/II, 33520, SLATINA</w:t>
      </w:r>
    </w:p>
    <w:p w:rsidRDefault="00B873B9" w:rsidP="00B873B9" w:rsidR="00B873B9" w:rsidRPr="00B873B9">
      <w:pPr>
        <w:framePr w:y="6" w:x="1756" w:vAnchor="text" w:hAnchor="page" w:wrap="auto" w:hSpace="180" w:h="496" w:w="9091"/>
        <w:shd w:fill="auto" w:color="C0C0C0" w:val="pct20"/>
        <w:overflowPunct w:val="false"/>
        <w:autoSpaceDE w:val="false"/>
        <w:autoSpaceDN w:val="false"/>
        <w:adjustRightInd w:val="false"/>
        <w:spacing w:lineRule="auto" w:line="240" w:after="0"/>
        <w:jc w:val="center"/>
        <w:textAlignment w:val="baseline"/>
        <w:rPr>
          <w:rFonts w:cs="Calibri" w:eastAsia="Times New Roman" w:hAnsi="Calibri" w:ascii="Calibri"/>
          <w:color w:val="000000"/>
          <w:sz w:val="16"/>
          <w:szCs w:val="16"/>
          <w:lang w:eastAsia="hr-HR"/>
        </w:rPr>
      </w:pPr>
      <w:bookmarkStart w:name="_Hlk506131751" w:id="0"/>
      <w:r w:rsidRPr="00B873B9">
        <w:rPr>
          <w:rFonts w:cs="Calibri" w:eastAsia="Times New Roman" w:hAnsi="Calibri" w:ascii="Calibri"/>
          <w:color w:val="000000"/>
          <w:sz w:val="16"/>
          <w:szCs w:val="16"/>
          <w:lang w:eastAsia="hr-HR"/>
        </w:rPr>
        <w:t xml:space="preserve">MOB:+385-(0)99-855-22-46, E-MAIL: </w:t>
      </w:r>
      <w:hyperlink r:id="rId6" w:anchor="OUTLOOK.COM" w:history="true">
        <w:r w:rsidRPr="00B873B9">
          <w:rPr>
            <w:rFonts w:cs="Calibri" w:eastAsia="Times New Roman" w:hAnsi="Calibri" w:ascii="Calibri"/>
            <w:color w:val="000000"/>
            <w:sz w:val="16"/>
            <w:szCs w:val="16"/>
            <w:u w:val="single"/>
            <w:lang w:eastAsia="hr-HR"/>
          </w:rPr>
          <w:t>KRESOF</w:t>
        </w:r>
        <w:r w:rsidRPr="00B873B9">
          <w:rPr>
            <w:rFonts w:cs="Calibri" w:eastAsia="Times New Roman" w:hAnsi="Calibri" w:ascii="Calibri"/>
            <w:color w:val="000000"/>
            <w:sz w:val="16"/>
            <w:szCs w:val="16"/>
            <w:u w:val="single"/>
            <w:lang w:eastAsia="hr-HR"/>
          </w:rPr>
          <w:sym w:char="0040" w:font="Arial"/>
        </w:r>
        <w:r w:rsidRPr="00B873B9">
          <w:rPr>
            <w:rFonts w:cs="Calibri" w:eastAsia="Times New Roman" w:hAnsi="Calibri" w:ascii="Calibri"/>
            <w:color w:val="000000"/>
            <w:sz w:val="16"/>
            <w:szCs w:val="16"/>
            <w:u w:val="single"/>
            <w:lang w:eastAsia="hr-HR"/>
          </w:rPr>
          <w:t>OUTLOOK.COM</w:t>
        </w:r>
      </w:hyperlink>
      <w:r w:rsidRPr="00B873B9">
        <w:rPr>
          <w:rFonts w:cs="Calibri" w:eastAsia="Times New Roman" w:hAnsi="Calibri" w:ascii="Calibri"/>
          <w:color w:val="000000"/>
          <w:sz w:val="16"/>
          <w:szCs w:val="16"/>
          <w:u w:val="single"/>
          <w:lang w:eastAsia="hr-HR"/>
        </w:rPr>
        <w:t xml:space="preserve">, </w:t>
      </w:r>
      <w:r w:rsidRPr="00B873B9">
        <w:rPr>
          <w:rFonts w:cs="Calibri" w:eastAsia="Times New Roman" w:hAnsi="Calibri" w:ascii="Calibri"/>
          <w:color w:val="000000"/>
          <w:sz w:val="16"/>
          <w:szCs w:val="16"/>
          <w:lang w:eastAsia="hr-HR"/>
        </w:rPr>
        <w:t>FAX: 033-401-459</w:t>
      </w:r>
    </w:p>
    <w:bookmarkEnd w:id="0"/>
    <w:p w:rsidRDefault="00B873B9" w:rsidP="00B873B9" w:rsidR="00B873B9" w:rsidRPr="00B873B9">
      <w:pPr>
        <w:overflowPunct w:val="false"/>
        <w:autoSpaceDE w:val="false"/>
        <w:autoSpaceDN w:val="false"/>
        <w:adjustRightInd w:val="false"/>
        <w:spacing w:lineRule="auto" w:line="240" w:after="0"/>
        <w:jc w:val="center"/>
        <w:textAlignment w:val="baseline"/>
        <w:rPr>
          <w:rFonts w:cs="Tahoma" w:eastAsia="Times New Roman" w:hAnsi="Tahoma" w:ascii="Tahoma"/>
          <w:lang w:eastAsia="hr-HR"/>
        </w:rPr>
      </w:pPr>
      <w:r w:rsidRPr="00B873B9">
        <w:rPr>
          <w:rFonts w:cs="Tahoma" w:eastAsia="Times New Roman" w:hAnsi="Tahoma" w:ascii="Tahoma"/>
          <w:lang w:eastAsia="hr-HR"/>
        </w:rPr>
        <w:t xml:space="preserve">Stečajni upravitelj za: SAN PETER d.o.o. u stečaju, Sveti Petar, </w:t>
      </w:r>
      <w:proofErr w:type="spellStart"/>
      <w:r w:rsidRPr="00B873B9">
        <w:rPr>
          <w:rFonts w:cs="Tahoma" w:eastAsia="Times New Roman" w:hAnsi="Tahoma" w:ascii="Tahoma"/>
          <w:lang w:eastAsia="hr-HR"/>
        </w:rPr>
        <w:t>Harambašina</w:t>
      </w:r>
      <w:proofErr w:type="spellEnd"/>
      <w:r w:rsidRPr="00B873B9">
        <w:rPr>
          <w:rFonts w:cs="Tahoma" w:eastAsia="Times New Roman" w:hAnsi="Tahoma" w:ascii="Tahoma"/>
          <w:lang w:eastAsia="hr-HR"/>
        </w:rPr>
        <w:t xml:space="preserve"> 108, </w:t>
      </w:r>
    </w:p>
    <w:p w:rsidRDefault="00B873B9" w:rsidP="00B873B9" w:rsidR="00B873B9" w:rsidRPr="00B873B9">
      <w:pPr>
        <w:overflowPunct w:val="false"/>
        <w:autoSpaceDE w:val="false"/>
        <w:autoSpaceDN w:val="false"/>
        <w:adjustRightInd w:val="false"/>
        <w:spacing w:lineRule="auto" w:line="240" w:after="0"/>
        <w:jc w:val="center"/>
        <w:textAlignment w:val="baseline"/>
        <w:rPr>
          <w:rFonts w:cs="Tahoma" w:eastAsia="Times New Roman" w:hAnsi="Tahoma" w:ascii="Tahoma"/>
          <w:lang w:eastAsia="hr-HR"/>
        </w:rPr>
      </w:pPr>
      <w:r w:rsidRPr="00B873B9">
        <w:rPr>
          <w:rFonts w:cs="Tahoma" w:eastAsia="Times New Roman" w:hAnsi="Tahoma" w:ascii="Tahoma"/>
          <w:lang w:eastAsia="hr-HR"/>
        </w:rPr>
        <w:t>OIB:</w:t>
      </w:r>
      <w:r w:rsidRPr="00B873B9">
        <w:rPr>
          <w:rFonts w:cs="Tahoma" w:eastAsia="Times New Roman" w:hAnsi="Tahoma" w:ascii="Tahoma"/>
          <w:lang w:eastAsia="hr-HR" w:val="en-GB"/>
        </w:rPr>
        <w:t xml:space="preserve"> 93183880993</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color w:val="FF0000"/>
          <w:sz w:val="20"/>
          <w:szCs w:val="20"/>
          <w:lang w:eastAsia="hr-HR"/>
        </w:rPr>
      </w:pPr>
      <w:r w:rsidRPr="00B873B9">
        <w:rPr>
          <w:rFonts w:cs="Tahoma" w:eastAsia="Times New Roman" w:hAnsi="Tahoma" w:ascii="Tahoma"/>
          <w:sz w:val="20"/>
          <w:szCs w:val="20"/>
          <w:lang w:eastAsia="hr-HR"/>
        </w:rPr>
        <w:t>Slatina, 01. ožujka 2018.</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lang w:eastAsia="hr-HR"/>
        </w:rPr>
      </w:pPr>
      <w:r w:rsidRPr="00B873B9">
        <w:rPr>
          <w:rFonts w:cs="Tahoma" w:eastAsia="Times New Roman" w:hAnsi="Tahoma" w:ascii="Tahoma"/>
          <w:b/>
          <w:lang w:eastAsia="hr-HR"/>
        </w:rPr>
        <w:t>TRGOVAČKI SUD U BJELOVARU</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Stečajnom sucu </w:t>
      </w:r>
      <w:proofErr w:type="spellStart"/>
      <w:r w:rsidRPr="00B873B9">
        <w:rPr>
          <w:rFonts w:cs="Tahoma" w:eastAsia="Times New Roman" w:hAnsi="Tahoma" w:ascii="Tahoma"/>
          <w:sz w:val="20"/>
          <w:szCs w:val="20"/>
          <w:lang w:eastAsia="hr-HR"/>
        </w:rPr>
        <w:t>posl</w:t>
      </w:r>
      <w:proofErr w:type="spellEnd"/>
      <w:r w:rsidRPr="00B873B9">
        <w:rPr>
          <w:rFonts w:cs="Tahoma" w:eastAsia="Times New Roman" w:hAnsi="Tahoma" w:ascii="Tahoma"/>
          <w:sz w:val="20"/>
          <w:szCs w:val="20"/>
          <w:lang w:eastAsia="hr-HR"/>
        </w:rPr>
        <w:t>. br. St-361/2017</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Šetalište dr. I. </w:t>
      </w:r>
      <w:proofErr w:type="spellStart"/>
      <w:r w:rsidRPr="00B873B9">
        <w:rPr>
          <w:rFonts w:cs="Tahoma" w:eastAsia="Times New Roman" w:hAnsi="Tahoma" w:ascii="Tahoma"/>
          <w:sz w:val="20"/>
          <w:szCs w:val="20"/>
          <w:lang w:eastAsia="hr-HR"/>
        </w:rPr>
        <w:t>Lebovića</w:t>
      </w:r>
      <w:proofErr w:type="spellEnd"/>
      <w:r w:rsidRPr="00B873B9">
        <w:rPr>
          <w:rFonts w:cs="Tahoma" w:eastAsia="Times New Roman" w:hAnsi="Tahoma" w:ascii="Tahoma"/>
          <w:sz w:val="20"/>
          <w:szCs w:val="20"/>
          <w:lang w:eastAsia="hr-HR"/>
        </w:rPr>
        <w:t xml:space="preserve"> 42</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PREDMET: DOSTAVA IZVJEŠĆA O GOSPODARSKOM POLOŽAJU STEČAJNOG DUŽNIKA SA PRIPADAJUĆOM DOKUMENTACIJOM</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U 2 primjerka sa privicima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Stečajni upravitelj obavještava Sud da je u cijelosti postupio sukladno članku 259 SZ stavak 1. i 2. (NN 71/15, 104/17) te dostavio cjelokupnu dokumentaciju zajedno sa prijavama i priloženim ispravama u sudsku pisarnicu Stečajnog suda radi omogućavanja  uvida sudionicima stečajnog postupka.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STEČAJNI UPRAVITELJ:</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Krešimir Fučkar</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PRIVITAK:</w:t>
      </w:r>
    </w:p>
    <w:p w:rsidRDefault="00B873B9" w:rsidP="00B873B9" w:rsidR="00B873B9" w:rsidRPr="00B873B9">
      <w:pPr>
        <w:numPr>
          <w:ilvl w:val="0"/>
          <w:numId w:val="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Tablice prijavljenih tražbina 2. VIR čl.259 SZ (NN 71/15, 104/17)</w:t>
      </w:r>
    </w:p>
    <w:p w:rsidRDefault="00B873B9" w:rsidP="00B873B9" w:rsidR="00B873B9" w:rsidRPr="00B873B9">
      <w:pPr>
        <w:numPr>
          <w:ilvl w:val="0"/>
          <w:numId w:val="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Tablice </w:t>
      </w:r>
      <w:proofErr w:type="spellStart"/>
      <w:r w:rsidRPr="00B873B9">
        <w:rPr>
          <w:rFonts w:cs="Tahoma" w:eastAsia="Times New Roman" w:hAnsi="Tahoma" w:ascii="Tahoma"/>
          <w:sz w:val="20"/>
          <w:szCs w:val="20"/>
          <w:lang w:eastAsia="hr-HR"/>
        </w:rPr>
        <w:t>razlučnih</w:t>
      </w:r>
      <w:proofErr w:type="spellEnd"/>
      <w:r w:rsidRPr="00B873B9">
        <w:rPr>
          <w:rFonts w:cs="Tahoma" w:eastAsia="Times New Roman" w:hAnsi="Tahoma" w:ascii="Tahoma"/>
          <w:sz w:val="20"/>
          <w:szCs w:val="20"/>
          <w:lang w:eastAsia="hr-HR"/>
        </w:rPr>
        <w:t xml:space="preserve"> prava čl.259 SZ (NN 71/15, 104/17)</w:t>
      </w:r>
    </w:p>
    <w:p w:rsidRDefault="00B873B9" w:rsidP="00B873B9" w:rsidR="00B873B9" w:rsidRPr="00B873B9">
      <w:pPr>
        <w:numPr>
          <w:ilvl w:val="0"/>
          <w:numId w:val="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Popis predmeta stečajne mase čl. 221 SZ (NN 71/15, 104/17)</w:t>
      </w:r>
    </w:p>
    <w:p w:rsidRDefault="00B873B9" w:rsidP="00B873B9" w:rsidR="00B873B9" w:rsidRPr="00B873B9">
      <w:pPr>
        <w:numPr>
          <w:ilvl w:val="0"/>
          <w:numId w:val="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Popis vjerovnika čl. 222 SZ (NN 71/15, 104/17)</w:t>
      </w:r>
    </w:p>
    <w:p w:rsidRDefault="00B873B9" w:rsidP="00B873B9" w:rsidR="00B873B9" w:rsidRPr="00B873B9">
      <w:pPr>
        <w:numPr>
          <w:ilvl w:val="0"/>
          <w:numId w:val="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Pregled imovine i obveza čl. 223 SZ (NN 71/15, 104/17)</w:t>
      </w: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Calibri" w:eastAsia="Times New Roman" w:hAnsi="Calibri" w:ascii="Calibri"/>
          <w:sz w:val="24"/>
          <w:szCs w:val="56"/>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 xml:space="preserve">SAN PETER d.o.o. u stečaju, </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OIB: 93183880993</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proofErr w:type="spellStart"/>
      <w:r w:rsidRPr="00B873B9">
        <w:rPr>
          <w:rFonts w:cs="Tahoma" w:eastAsia="Times New Roman" w:hAnsi="Tahoma" w:ascii="Tahoma"/>
          <w:sz w:val="20"/>
          <w:szCs w:val="20"/>
          <w:lang w:eastAsia="hr-HR"/>
        </w:rPr>
        <w:t>Harambašina</w:t>
      </w:r>
      <w:proofErr w:type="spellEnd"/>
      <w:r w:rsidRPr="00B873B9">
        <w:rPr>
          <w:rFonts w:cs="Tahoma" w:eastAsia="Times New Roman" w:hAnsi="Tahoma" w:ascii="Tahoma"/>
          <w:sz w:val="20"/>
          <w:szCs w:val="20"/>
          <w:lang w:eastAsia="hr-HR"/>
        </w:rPr>
        <w:t xml:space="preserve"> 108</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b/>
          <w:sz w:val="20"/>
          <w:szCs w:val="20"/>
          <w:lang w:eastAsia="hr-HR"/>
        </w:rPr>
      </w:pPr>
      <w:r w:rsidRPr="00B873B9">
        <w:rPr>
          <w:rFonts w:cs="Tahoma" w:eastAsia="Times New Roman" w:hAnsi="Tahoma" w:ascii="Tahoma"/>
          <w:sz w:val="20"/>
          <w:szCs w:val="20"/>
          <w:lang w:eastAsia="hr-HR"/>
        </w:rPr>
        <w:t>Sveti Petar</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TRGOVAČKI SUD U BJELOVARU</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Stečajnom sucu</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ST- 361/2017</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center"/>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IZVJEŠĆE STEČAJNOG UPRAVITELJA O GOSPODARSKOM POLOŽAJU STEČAJNOG DUŽNIKA I NJEGOVIM UZROCIMA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UVOD</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 xml:space="preserve">RJEŠENJE: </w:t>
      </w:r>
      <w:r w:rsidRPr="00B873B9">
        <w:rPr>
          <w:rFonts w:cs="Tahoma" w:eastAsia="Times New Roman" w:hAnsi="Tahoma" w:ascii="Tahoma"/>
          <w:sz w:val="20"/>
          <w:szCs w:val="20"/>
          <w:lang w:eastAsia="hr-HR"/>
        </w:rPr>
        <w:t>TS Bjelovar  Rješenjem poslovni broj  5. St-361/2017-6   od  8. prosinca 2017. otvorio je stečajni postupak nad dužnikom.</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 xml:space="preserve">PREDLAGATELJ: </w:t>
      </w:r>
      <w:r w:rsidRPr="00B873B9">
        <w:rPr>
          <w:rFonts w:cs="Tahoma" w:eastAsia="Times New Roman" w:hAnsi="Tahoma" w:ascii="Tahoma"/>
          <w:sz w:val="20"/>
          <w:szCs w:val="20"/>
          <w:lang w:eastAsia="hr-HR"/>
        </w:rPr>
        <w:t>Ministarstvo financija – Porezna uprava</w:t>
      </w:r>
      <w:r w:rsidRPr="00B873B9">
        <w:rPr>
          <w:rFonts w:cs="Tahoma" w:eastAsia="Times New Roman" w:hAnsi="Tahoma" w:ascii="Tahoma"/>
          <w:b/>
          <w:sz w:val="20"/>
          <w:szCs w:val="20"/>
          <w:lang w:eastAsia="hr-HR"/>
        </w:rPr>
        <w:t xml:space="preserve">, </w:t>
      </w:r>
      <w:r w:rsidRPr="00B873B9">
        <w:rPr>
          <w:rFonts w:cs="Tahoma" w:eastAsia="Times New Roman" w:hAnsi="Tahoma" w:ascii="Tahoma"/>
          <w:sz w:val="20"/>
          <w:szCs w:val="20"/>
          <w:lang w:eastAsia="hr-HR"/>
        </w:rPr>
        <w:t>Područni ured Sjeverna Hrvatska</w:t>
      </w:r>
      <w:r w:rsidRPr="00B873B9">
        <w:rPr>
          <w:rFonts w:cs="Tahoma" w:eastAsia="Times New Roman" w:hAnsi="Tahoma" w:ascii="Tahoma"/>
          <w:color w:val="FF0000"/>
          <w:sz w:val="20"/>
          <w:szCs w:val="20"/>
          <w:lang w:eastAsia="hr-HR"/>
        </w:rPr>
        <w:t xml:space="preserve"> </w:t>
      </w:r>
      <w:r w:rsidRPr="00B873B9">
        <w:rPr>
          <w:rFonts w:cs="Tahoma" w:eastAsia="Times New Roman" w:hAnsi="Tahoma" w:ascii="Tahoma"/>
          <w:sz w:val="20"/>
          <w:szCs w:val="20"/>
          <w:lang w:eastAsia="hr-HR"/>
        </w:rPr>
        <w:t>u skraćenom stečajnom postupku St-1175/16 koji je pokrenula FINA kod TS Varaždin 30.prosinca 2016.</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DUŽNIK</w:t>
      </w:r>
      <w:bookmarkStart w:name="_Hlk507061340" w:id="1"/>
      <w:r w:rsidRPr="00B873B9">
        <w:rPr>
          <w:rFonts w:cs="Tahoma" w:eastAsia="Times New Roman" w:hAnsi="Tahoma" w:ascii="Tahoma"/>
          <w:b/>
          <w:sz w:val="20"/>
          <w:szCs w:val="20"/>
          <w:lang w:eastAsia="hr-HR"/>
        </w:rPr>
        <w:t xml:space="preserve">: </w:t>
      </w:r>
      <w:r w:rsidRPr="00B873B9">
        <w:rPr>
          <w:rFonts w:cs="Tahoma" w:eastAsia="Times New Roman" w:hAnsi="Tahoma" w:ascii="Tahoma"/>
          <w:sz w:val="20"/>
          <w:szCs w:val="20"/>
          <w:lang w:eastAsia="hr-HR"/>
        </w:rPr>
        <w:t>SAN PETER d.o.o. u stečaju</w:t>
      </w:r>
      <w:bookmarkEnd w:id="1"/>
      <w:r w:rsidRPr="00B873B9">
        <w:rPr>
          <w:rFonts w:cs="Tahoma" w:eastAsia="Times New Roman" w:hAnsi="Tahoma" w:ascii="Tahoma"/>
          <w:sz w:val="20"/>
          <w:szCs w:val="20"/>
          <w:lang w:eastAsia="hr-HR"/>
        </w:rPr>
        <w:t xml:space="preserve">, </w:t>
      </w:r>
      <w:bookmarkStart w:name="_Hlk507061368" w:id="2"/>
      <w:proofErr w:type="spellStart"/>
      <w:r w:rsidRPr="00B873B9">
        <w:rPr>
          <w:rFonts w:cs="Tahoma" w:eastAsia="Times New Roman" w:hAnsi="Tahoma" w:ascii="Tahoma"/>
          <w:sz w:val="20"/>
          <w:szCs w:val="20"/>
          <w:lang w:eastAsia="hr-HR"/>
        </w:rPr>
        <w:t>Harambašina</w:t>
      </w:r>
      <w:proofErr w:type="spellEnd"/>
      <w:r w:rsidRPr="00B873B9">
        <w:rPr>
          <w:rFonts w:cs="Tahoma" w:eastAsia="Times New Roman" w:hAnsi="Tahoma" w:ascii="Tahoma"/>
          <w:sz w:val="20"/>
          <w:szCs w:val="20"/>
          <w:lang w:eastAsia="hr-HR"/>
        </w:rPr>
        <w:t xml:space="preserve"> 108</w:t>
      </w:r>
      <w:bookmarkEnd w:id="2"/>
      <w:r w:rsidRPr="00B873B9">
        <w:rPr>
          <w:rFonts w:cs="Tahoma" w:eastAsia="Times New Roman" w:hAnsi="Tahoma" w:ascii="Tahoma"/>
          <w:sz w:val="20"/>
          <w:szCs w:val="20"/>
          <w:lang w:eastAsia="hr-HR"/>
        </w:rPr>
        <w:t>, Sveti Petar, OIB:93183880993</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 xml:space="preserve">STEČAJNI UPRAVITELJ: </w:t>
      </w:r>
      <w:r w:rsidRPr="00B873B9">
        <w:rPr>
          <w:rFonts w:cs="Tahoma" w:eastAsia="Times New Roman" w:hAnsi="Tahoma" w:ascii="Tahoma"/>
          <w:sz w:val="20"/>
          <w:szCs w:val="20"/>
          <w:lang w:eastAsia="hr-HR"/>
        </w:rPr>
        <w:t xml:space="preserve">Krešimir Fučkar, OIB: 01195634741, </w:t>
      </w:r>
      <w:proofErr w:type="spellStart"/>
      <w:r w:rsidRPr="00B873B9">
        <w:rPr>
          <w:rFonts w:cs="Tahoma" w:eastAsia="Times New Roman" w:hAnsi="Tahoma" w:ascii="Tahoma"/>
          <w:sz w:val="20"/>
          <w:szCs w:val="20"/>
          <w:lang w:eastAsia="hr-HR"/>
        </w:rPr>
        <w:t>B.Radića</w:t>
      </w:r>
      <w:proofErr w:type="spellEnd"/>
      <w:r w:rsidRPr="00B873B9">
        <w:rPr>
          <w:rFonts w:cs="Tahoma" w:eastAsia="Times New Roman" w:hAnsi="Tahoma" w:ascii="Tahoma"/>
          <w:sz w:val="20"/>
          <w:szCs w:val="20"/>
          <w:lang w:eastAsia="hr-HR"/>
        </w:rPr>
        <w:t xml:space="preserve"> 63, </w:t>
      </w:r>
      <w:proofErr w:type="spellStart"/>
      <w:r w:rsidRPr="00B873B9">
        <w:rPr>
          <w:rFonts w:cs="Tahoma" w:eastAsia="Times New Roman" w:hAnsi="Tahoma" w:ascii="Tahoma"/>
          <w:sz w:val="20"/>
          <w:szCs w:val="20"/>
          <w:lang w:eastAsia="hr-HR"/>
        </w:rPr>
        <w:t>Sladojevci</w:t>
      </w:r>
      <w:proofErr w:type="spellEnd"/>
      <w:r w:rsidRPr="00B873B9">
        <w:rPr>
          <w:rFonts w:cs="Tahoma" w:eastAsia="Times New Roman" w:hAnsi="Tahoma" w:ascii="Tahoma"/>
          <w:sz w:val="20"/>
          <w:szCs w:val="20"/>
          <w:lang w:eastAsia="hr-HR"/>
        </w:rPr>
        <w:t>, Slatina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Calibri" w:eastAsia="Times New Roman" w:hAnsi="Calibri" w:ascii="Calibri"/>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Calibri" w:eastAsia="Times New Roman" w:hAnsi="Calibri" w:ascii="Calibri"/>
          <w:sz w:val="20"/>
          <w:szCs w:val="20"/>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STATUSNO PRAVNI POLOŽAJ DUŽNIKA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TEMELJNI PODACI:</w:t>
      </w:r>
    </w:p>
    <w:p w:rsidRDefault="00B873B9" w:rsidP="00B873B9" w:rsidR="00B873B9" w:rsidRPr="00B873B9">
      <w:pPr>
        <w:overflowPunct w:val="false"/>
        <w:autoSpaceDE w:val="false"/>
        <w:autoSpaceDN w:val="false"/>
        <w:adjustRightInd w:val="false"/>
        <w:spacing w:lineRule="auto" w:line="240" w:after="0"/>
        <w:ind w:left="792"/>
        <w:contextualSpacing/>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 xml:space="preserve">Tvrtka: </w:t>
      </w:r>
      <w:r w:rsidRPr="00B873B9">
        <w:rPr>
          <w:rFonts w:cs="Tahoma" w:eastAsia="Times New Roman" w:hAnsi="Tahoma" w:ascii="Tahoma"/>
          <w:sz w:val="20"/>
          <w:szCs w:val="20"/>
          <w:lang w:eastAsia="hr-HR"/>
        </w:rPr>
        <w:t xml:space="preserve">SAN PETER d.o.o. u stečaju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Sjedište:</w:t>
      </w:r>
      <w:r w:rsidRPr="00B873B9">
        <w:rPr>
          <w:rFonts w:cs="Tahoma" w:eastAsia="Times New Roman" w:hAnsi="Tahoma" w:ascii="Tahoma"/>
          <w:sz w:val="20"/>
          <w:szCs w:val="20"/>
          <w:lang w:eastAsia="hr-HR"/>
        </w:rPr>
        <w:t xml:space="preserve"> </w:t>
      </w:r>
      <w:proofErr w:type="spellStart"/>
      <w:r w:rsidRPr="00B873B9">
        <w:rPr>
          <w:rFonts w:cs="Tahoma" w:eastAsia="Times New Roman" w:hAnsi="Tahoma" w:ascii="Tahoma"/>
          <w:sz w:val="20"/>
          <w:szCs w:val="20"/>
          <w:lang w:eastAsia="hr-HR"/>
        </w:rPr>
        <w:t>Harambašina</w:t>
      </w:r>
      <w:proofErr w:type="spellEnd"/>
      <w:r w:rsidRPr="00B873B9">
        <w:rPr>
          <w:rFonts w:cs="Tahoma" w:eastAsia="Times New Roman" w:hAnsi="Tahoma" w:ascii="Tahoma"/>
          <w:sz w:val="20"/>
          <w:szCs w:val="20"/>
          <w:lang w:eastAsia="hr-HR"/>
        </w:rPr>
        <w:t xml:space="preserve"> 108, Sveti Petar</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OIB:</w:t>
      </w:r>
      <w:r w:rsidRPr="00B873B9">
        <w:rPr>
          <w:rFonts w:cs="Tahoma" w:eastAsia="Times New Roman" w:hAnsi="Tahoma" w:ascii="Tahoma"/>
          <w:sz w:val="20"/>
          <w:szCs w:val="20"/>
          <w:lang w:eastAsia="hr-HR" w:val="en-GB"/>
        </w:rPr>
        <w:t xml:space="preserve"> </w:t>
      </w:r>
      <w:r w:rsidRPr="00B873B9">
        <w:rPr>
          <w:rFonts w:cs="Tahoma" w:eastAsia="Times New Roman" w:hAnsi="Tahoma" w:ascii="Tahoma"/>
          <w:sz w:val="20"/>
          <w:szCs w:val="20"/>
          <w:lang w:eastAsia="hr-HR"/>
        </w:rPr>
        <w:t>93183880993</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Matični broj subjekta:</w:t>
      </w:r>
      <w:r w:rsidRPr="00B873B9">
        <w:rPr>
          <w:rFonts w:cs="Tahoma" w:eastAsia="Times New Roman" w:hAnsi="Tahoma" w:ascii="Tahoma"/>
          <w:sz w:val="20"/>
          <w:szCs w:val="20"/>
          <w:lang w:eastAsia="hr-HR"/>
        </w:rPr>
        <w:t xml:space="preserve"> 070083528</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Registarski sud</w:t>
      </w:r>
      <w:r w:rsidRPr="00B873B9">
        <w:rPr>
          <w:rFonts w:cs="Tahoma" w:eastAsia="Times New Roman" w:hAnsi="Tahoma" w:ascii="Tahoma"/>
          <w:sz w:val="20"/>
          <w:szCs w:val="20"/>
          <w:lang w:eastAsia="hr-HR"/>
        </w:rPr>
        <w:t>: TS Varaždin</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Temeljni kapital:</w:t>
      </w:r>
      <w:r w:rsidRPr="00B873B9">
        <w:rPr>
          <w:rFonts w:cs="Tahoma" w:eastAsia="Times New Roman" w:hAnsi="Tahoma" w:ascii="Tahoma"/>
          <w:sz w:val="20"/>
          <w:szCs w:val="20"/>
          <w:lang w:eastAsia="hr-HR"/>
        </w:rPr>
        <w:t xml:space="preserve"> 20.000,00 kuna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Članovi uprave:</w:t>
      </w:r>
      <w:r w:rsidRPr="00B873B9">
        <w:rPr>
          <w:rFonts w:cs="Tahoma" w:eastAsia="Times New Roman" w:hAnsi="Tahoma" w:ascii="Tahoma"/>
          <w:sz w:val="20"/>
          <w:szCs w:val="20"/>
          <w:lang w:eastAsia="hr-HR"/>
        </w:rPr>
        <w:t xml:space="preserve"> Andreja Trojak, Varaždinska ulica 116, </w:t>
      </w:r>
      <w:proofErr w:type="spellStart"/>
      <w:r w:rsidRPr="00B873B9">
        <w:rPr>
          <w:rFonts w:cs="Tahoma" w:eastAsia="Times New Roman" w:hAnsi="Tahoma" w:ascii="Tahoma"/>
          <w:sz w:val="20"/>
          <w:szCs w:val="20"/>
          <w:lang w:eastAsia="hr-HR"/>
        </w:rPr>
        <w:t>Bolfan</w:t>
      </w:r>
      <w:proofErr w:type="spellEnd"/>
      <w:r w:rsidRPr="00B873B9">
        <w:rPr>
          <w:rFonts w:cs="Tahoma" w:eastAsia="Times New Roman" w:hAnsi="Tahoma" w:ascii="Tahoma"/>
          <w:sz w:val="20"/>
          <w:szCs w:val="20"/>
          <w:lang w:eastAsia="hr-HR"/>
        </w:rPr>
        <w:t>, OIB:04779790340</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Datum osnivanja:</w:t>
      </w:r>
      <w:r w:rsidRPr="00B873B9">
        <w:rPr>
          <w:rFonts w:cs="Tahoma" w:eastAsia="Times New Roman" w:hAnsi="Tahoma" w:ascii="Tahoma"/>
          <w:sz w:val="20"/>
          <w:szCs w:val="20"/>
          <w:lang w:eastAsia="hr-HR"/>
        </w:rPr>
        <w:t xml:space="preserve"> 19. ožujak 2008.</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Osnovna djelatnost:</w:t>
      </w:r>
      <w:r w:rsidRPr="00B873B9">
        <w:rPr>
          <w:rFonts w:cs="Tahoma" w:eastAsia="Times New Roman" w:hAnsi="Tahoma" w:ascii="Tahoma"/>
          <w:sz w:val="20"/>
          <w:szCs w:val="20"/>
          <w:lang w:eastAsia="hr-HR"/>
        </w:rPr>
        <w:t xml:space="preserve"> je sukladno razvrstavanju DZS proizvodnja obuće, kožne galanterije i konfekcije.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ČLANOVI DRUŠTVA:</w:t>
      </w:r>
    </w:p>
    <w:p w:rsidRDefault="00B873B9" w:rsidP="00B873B9" w:rsidR="00B873B9" w:rsidRPr="00B873B9">
      <w:pPr>
        <w:overflowPunct w:val="false"/>
        <w:autoSpaceDE w:val="false"/>
        <w:autoSpaceDN w:val="false"/>
        <w:adjustRightInd w:val="false"/>
        <w:spacing w:lineRule="auto" w:line="240" w:after="0"/>
        <w:ind w:left="792"/>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r w:rsidRPr="00B873B9">
        <w:rPr>
          <w:rFonts w:cs="Tahoma" w:eastAsia="Times New Roman" w:hAnsi="Tahoma" w:ascii="Tahoma"/>
          <w:sz w:val="20"/>
          <w:szCs w:val="20"/>
          <w:lang w:eastAsia="hr-HR"/>
        </w:rPr>
        <w:t xml:space="preserve">Osnivač društva je Alen </w:t>
      </w:r>
      <w:proofErr w:type="spellStart"/>
      <w:r w:rsidRPr="00B873B9">
        <w:rPr>
          <w:rFonts w:cs="Tahoma" w:eastAsia="Times New Roman" w:hAnsi="Tahoma" w:ascii="Tahoma"/>
          <w:sz w:val="20"/>
          <w:szCs w:val="20"/>
          <w:lang w:eastAsia="hr-HR"/>
        </w:rPr>
        <w:t>Ledinko</w:t>
      </w:r>
      <w:proofErr w:type="spellEnd"/>
      <w:r w:rsidRPr="00B873B9">
        <w:rPr>
          <w:rFonts w:cs="Tahoma" w:eastAsia="Times New Roman" w:hAnsi="Tahoma" w:ascii="Tahoma"/>
          <w:sz w:val="20"/>
          <w:szCs w:val="20"/>
          <w:lang w:eastAsia="hr-HR"/>
        </w:rPr>
        <w:t xml:space="preserve"> OIB:02957266693, Sveti Petar, </w:t>
      </w:r>
      <w:proofErr w:type="spellStart"/>
      <w:r w:rsidRPr="00B873B9">
        <w:rPr>
          <w:rFonts w:cs="Tahoma" w:eastAsia="Times New Roman" w:hAnsi="Tahoma" w:ascii="Tahoma"/>
          <w:sz w:val="20"/>
          <w:szCs w:val="20"/>
          <w:lang w:eastAsia="hr-HR"/>
        </w:rPr>
        <w:t>Harambašina</w:t>
      </w:r>
      <w:proofErr w:type="spellEnd"/>
      <w:r w:rsidRPr="00B873B9">
        <w:rPr>
          <w:rFonts w:cs="Tahoma" w:eastAsia="Times New Roman" w:hAnsi="Tahoma" w:ascii="Tahoma"/>
          <w:sz w:val="20"/>
          <w:szCs w:val="20"/>
          <w:lang w:eastAsia="hr-HR"/>
        </w:rPr>
        <w:t xml:space="preserve"> 41, a jedini član društva  u trenutku otvaranja stečajnog postupka je Andreja Trojak, Varaždinska ulica 116, </w:t>
      </w:r>
      <w:proofErr w:type="spellStart"/>
      <w:r w:rsidRPr="00B873B9">
        <w:rPr>
          <w:rFonts w:cs="Tahoma" w:eastAsia="Times New Roman" w:hAnsi="Tahoma" w:ascii="Tahoma"/>
          <w:sz w:val="20"/>
          <w:szCs w:val="20"/>
          <w:lang w:eastAsia="hr-HR"/>
        </w:rPr>
        <w:t>Bolfan</w:t>
      </w:r>
      <w:proofErr w:type="spellEnd"/>
      <w:r w:rsidRPr="00B873B9">
        <w:rPr>
          <w:rFonts w:cs="Tahoma" w:eastAsia="Times New Roman" w:hAnsi="Tahoma" w:ascii="Tahoma"/>
          <w:sz w:val="20"/>
          <w:szCs w:val="20"/>
          <w:lang w:eastAsia="hr-HR"/>
        </w:rPr>
        <w:t>, OIB:04779790340</w:t>
      </w:r>
      <w:r w:rsidRPr="00B873B9">
        <w:rPr>
          <w:rFonts w:cs="Tahoma" w:eastAsia="Times New Roman" w:hAnsi="Tahoma" w:ascii="Tahoma"/>
          <w:color w:val="FF0000"/>
          <w:sz w:val="20"/>
          <w:szCs w:val="20"/>
          <w:lang w:eastAsia="hr-HR"/>
        </w:rPr>
        <w:t xml:space="preserve">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 xml:space="preserve">RADNO PRAVNI ODNOSI </w:t>
      </w:r>
    </w:p>
    <w:p w:rsidRDefault="00B873B9" w:rsidP="00B873B9" w:rsidR="00B873B9" w:rsidRPr="00B873B9">
      <w:pPr>
        <w:overflowPunct w:val="false"/>
        <w:autoSpaceDE w:val="false"/>
        <w:autoSpaceDN w:val="false"/>
        <w:adjustRightInd w:val="false"/>
        <w:spacing w:lineRule="auto" w:line="240" w:after="0"/>
        <w:ind w:left="792"/>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Društvo na dan otvaranja stečajnog postupka nema zaposlenih.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SPOROVI</w:t>
      </w:r>
    </w:p>
    <w:p w:rsidRDefault="00B873B9" w:rsidP="00B873B9" w:rsidR="00B873B9" w:rsidRPr="00B873B9">
      <w:pPr>
        <w:overflowPunct w:val="false"/>
        <w:autoSpaceDE w:val="false"/>
        <w:autoSpaceDN w:val="false"/>
        <w:adjustRightInd w:val="false"/>
        <w:spacing w:lineRule="auto" w:line="240" w:after="0"/>
        <w:ind w:left="792"/>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Prema dostupnim izvorima informacija dužnik nema bitnih sporova koji bi mogli utjecati na vrijednost stečajne mase.</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lang w:eastAsia="hr-HR"/>
        </w:rPr>
      </w:pPr>
      <w:r w:rsidRPr="00B873B9">
        <w:rPr>
          <w:rFonts w:cs="Tahoma" w:eastAsia="Times New Roman" w:hAnsi="Tahoma" w:ascii="Tahoma"/>
          <w:b/>
          <w:lang w:eastAsia="hr-HR"/>
        </w:rPr>
        <w:t>PODUZETE RADNJE OD OTVARANJA STEČAJNOG POSTUPKA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Nakon preuzimanja dužnosti poduzete su aktivnosti kako slijedi:</w:t>
      </w:r>
    </w:p>
    <w:p w:rsidRDefault="00B873B9" w:rsidP="00B873B9" w:rsidR="00B873B9" w:rsidRPr="00B873B9">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b/>
          <w:sz w:val="20"/>
          <w:szCs w:val="20"/>
          <w:lang w:eastAsia="hr-HR"/>
        </w:rPr>
      </w:pP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Preuzet stari žig dužnika i napravljen novi s prefiksom „u stečaju“</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Zatvoren stari račun dužnika kod Zagrebačke banke </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Otvoren novi žiro račun  kod ADDIKO BANK  broj: HR6925000091101467089</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Predan zahtjev Državnom zavodu za statistiku  za promjenu naziva</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Sklopljen ugovor za obavljanje računovodstvenih usluga s računovodstvenim servisom „KNJIGA“, Lipa 121, Slatina uz mjesečnu naknadu od  500,00 mjesečno s uključenim PDV.</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i/>
          <w:sz w:val="20"/>
          <w:szCs w:val="20"/>
          <w:lang w:eastAsia="hr-HR"/>
        </w:rPr>
      </w:pPr>
      <w:r w:rsidRPr="00B873B9">
        <w:rPr>
          <w:rFonts w:cs="Tahoma" w:eastAsia="Times New Roman" w:hAnsi="Tahoma" w:ascii="Tahoma"/>
          <w:sz w:val="20"/>
          <w:szCs w:val="20"/>
          <w:lang w:eastAsia="hr-HR"/>
        </w:rPr>
        <w:t xml:space="preserve">U roku za prijavljivanje tražbina zaprimljeno je i obrađeno trinaest tražbina 2.VIR i jedna  prijava </w:t>
      </w:r>
      <w:proofErr w:type="spellStart"/>
      <w:r w:rsidRPr="00B873B9">
        <w:rPr>
          <w:rFonts w:cs="Tahoma" w:eastAsia="Times New Roman" w:hAnsi="Tahoma" w:ascii="Tahoma"/>
          <w:sz w:val="20"/>
          <w:szCs w:val="20"/>
          <w:lang w:eastAsia="hr-HR"/>
        </w:rPr>
        <w:t>razlučnih</w:t>
      </w:r>
      <w:proofErr w:type="spellEnd"/>
      <w:r w:rsidRPr="00B873B9">
        <w:rPr>
          <w:rFonts w:cs="Tahoma" w:eastAsia="Times New Roman" w:hAnsi="Tahoma" w:ascii="Tahoma"/>
          <w:sz w:val="20"/>
          <w:szCs w:val="20"/>
          <w:lang w:eastAsia="hr-HR"/>
        </w:rPr>
        <w:t xml:space="preserve"> prava.</w:t>
      </w:r>
      <w:r w:rsidRPr="00B873B9">
        <w:rPr>
          <w:rFonts w:cs="Tahoma" w:eastAsia="Times New Roman" w:hAnsi="Tahoma" w:ascii="Tahoma"/>
          <w:i/>
          <w:sz w:val="20"/>
          <w:szCs w:val="20"/>
          <w:lang w:eastAsia="hr-HR"/>
        </w:rPr>
        <w:t xml:space="preserve"> </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Odmah po otvaranju stečaja pristupio sam preuzimanju u posjed predmeta stečajne mase u vlasništvu stečajnog dužnika.</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Imenovano je povjerenstvo za popis predmeta stečajne mase koje je popis i izvršilo. </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Calibri" w:eastAsia="Times New Roman" w:hAnsi="Calibri" w:ascii="Calibri"/>
          <w:lang w:eastAsia="hr-HR"/>
        </w:rPr>
      </w:pPr>
      <w:r w:rsidRPr="00B873B9">
        <w:rPr>
          <w:rFonts w:cs="Calibri" w:eastAsia="Times New Roman" w:hAnsi="Calibri" w:ascii="Calibri"/>
          <w:lang w:eastAsia="hr-HR"/>
        </w:rPr>
        <w:t>Utvrdio stanje stečajne imovine prema dostupnoj dokumentaciji</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Calibri" w:eastAsia="Times New Roman" w:hAnsi="Calibri" w:ascii="Calibri"/>
          <w:lang w:eastAsia="hr-HR"/>
        </w:rPr>
      </w:pPr>
      <w:r w:rsidRPr="00B873B9">
        <w:rPr>
          <w:rFonts w:cs="Calibri" w:eastAsia="Times New Roman" w:hAnsi="Calibri" w:ascii="Calibri"/>
          <w:lang w:eastAsia="hr-HR"/>
        </w:rPr>
        <w:t>Utvrdio obveze stečajnog dužnika prema dostupnoj dokumentaciji i prijavama tražbina vjerovnika koje sam ispitao</w:t>
      </w:r>
    </w:p>
    <w:p w:rsidRDefault="00B873B9" w:rsidP="00B873B9" w:rsidR="00B873B9" w:rsidRPr="00B873B9">
      <w:pPr>
        <w:numPr>
          <w:ilvl w:val="0"/>
          <w:numId w:val="4"/>
        </w:numPr>
        <w:overflowPunct w:val="false"/>
        <w:autoSpaceDE w:val="false"/>
        <w:autoSpaceDN w:val="false"/>
        <w:adjustRightInd w:val="false"/>
        <w:spacing w:lineRule="auto" w:line="240" w:after="0"/>
        <w:contextualSpacing/>
        <w:jc w:val="both"/>
        <w:textAlignment w:val="baseline"/>
        <w:rPr>
          <w:rFonts w:cs="Calibri" w:eastAsia="Times New Roman" w:hAnsi="Calibri" w:ascii="Calibri"/>
          <w:lang w:eastAsia="hr-HR"/>
        </w:rPr>
      </w:pPr>
      <w:r w:rsidRPr="00B873B9">
        <w:rPr>
          <w:rFonts w:cs="Calibri" w:eastAsia="Times New Roman" w:hAnsi="Calibri" w:ascii="Calibri"/>
          <w:lang w:eastAsia="hr-HR"/>
        </w:rPr>
        <w:t>Pristupio analizi stanja poslovanja stečajnog dužnika prije otvaranja stečajnog postupka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720"/>
        <w:contextualSpacing/>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imes New Roman" w:eastAsia="Times New Roman" w:hAnsi="Times New Roman" w:ascii="Times New Roman"/>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lang w:eastAsia="hr-HR"/>
        </w:rPr>
      </w:pPr>
      <w:r w:rsidRPr="00B873B9">
        <w:rPr>
          <w:rFonts w:cs="Tahoma" w:eastAsia="Times New Roman" w:hAnsi="Tahoma" w:ascii="Tahoma"/>
          <w:b/>
          <w:lang w:eastAsia="hr-HR"/>
        </w:rPr>
        <w:t>GOSPODARSKO FINANCIJSKO STANJE</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UVOD</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spacing w:lineRule="auto" w:line="240" w:after="0"/>
        <w:jc w:val="both"/>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Dana 26. svibnja 2015 godine Trgovački sud u Varaždinu donio je rješenje sa snagom ovršne isprave </w:t>
      </w:r>
      <w:proofErr w:type="spellStart"/>
      <w:r w:rsidRPr="00B873B9">
        <w:rPr>
          <w:rFonts w:cs="Tahoma" w:eastAsia="Times New Roman" w:hAnsi="Tahoma" w:ascii="Tahoma"/>
          <w:sz w:val="20"/>
          <w:szCs w:val="20"/>
          <w:lang w:eastAsia="hr-HR"/>
        </w:rPr>
        <w:t>posl</w:t>
      </w:r>
      <w:proofErr w:type="spellEnd"/>
      <w:r w:rsidRPr="00B873B9">
        <w:rPr>
          <w:rFonts w:cs="Tahoma" w:eastAsia="Times New Roman" w:hAnsi="Tahoma" w:ascii="Tahoma"/>
          <w:sz w:val="20"/>
          <w:szCs w:val="20"/>
          <w:lang w:eastAsia="hr-HR"/>
        </w:rPr>
        <w:t xml:space="preserve"> br. 7 </w:t>
      </w:r>
      <w:proofErr w:type="spellStart"/>
      <w:r w:rsidRPr="00B873B9">
        <w:rPr>
          <w:rFonts w:cs="Tahoma" w:eastAsia="Times New Roman" w:hAnsi="Tahoma" w:ascii="Tahoma"/>
          <w:sz w:val="20"/>
          <w:szCs w:val="20"/>
          <w:lang w:eastAsia="hr-HR"/>
        </w:rPr>
        <w:t>Stpn</w:t>
      </w:r>
      <w:proofErr w:type="spellEnd"/>
      <w:r w:rsidRPr="00B873B9">
        <w:rPr>
          <w:rFonts w:cs="Tahoma" w:eastAsia="Times New Roman" w:hAnsi="Tahoma" w:ascii="Tahoma"/>
          <w:sz w:val="20"/>
          <w:szCs w:val="20"/>
          <w:lang w:eastAsia="hr-HR"/>
        </w:rPr>
        <w:t xml:space="preserve">-19/15-7 o odobravanju </w:t>
      </w:r>
      <w:proofErr w:type="spellStart"/>
      <w:r w:rsidRPr="00B873B9">
        <w:rPr>
          <w:rFonts w:cs="Tahoma" w:eastAsia="Times New Roman" w:hAnsi="Tahoma" w:ascii="Tahoma"/>
          <w:sz w:val="20"/>
          <w:szCs w:val="20"/>
          <w:lang w:eastAsia="hr-HR"/>
        </w:rPr>
        <w:t>predstečajne</w:t>
      </w:r>
      <w:proofErr w:type="spellEnd"/>
      <w:r w:rsidRPr="00B873B9">
        <w:rPr>
          <w:rFonts w:cs="Tahoma" w:eastAsia="Times New Roman" w:hAnsi="Tahoma" w:ascii="Tahoma"/>
          <w:sz w:val="20"/>
          <w:szCs w:val="20"/>
          <w:lang w:eastAsia="hr-HR"/>
        </w:rPr>
        <w:t xml:space="preserve"> nagodbe za dužnika SAN PETER d.o.o., </w:t>
      </w:r>
      <w:proofErr w:type="spellStart"/>
      <w:r w:rsidRPr="00B873B9">
        <w:rPr>
          <w:rFonts w:cs="Tahoma" w:eastAsia="Times New Roman" w:hAnsi="Tahoma" w:ascii="Tahoma"/>
          <w:sz w:val="20"/>
          <w:szCs w:val="20"/>
          <w:lang w:eastAsia="hr-HR"/>
        </w:rPr>
        <w:t>Harambašina</w:t>
      </w:r>
      <w:proofErr w:type="spellEnd"/>
      <w:r w:rsidRPr="00B873B9">
        <w:rPr>
          <w:rFonts w:cs="Tahoma" w:eastAsia="Times New Roman" w:hAnsi="Tahoma" w:ascii="Tahoma"/>
          <w:sz w:val="20"/>
          <w:szCs w:val="20"/>
          <w:lang w:eastAsia="hr-HR"/>
        </w:rPr>
        <w:t xml:space="preserve"> 108, Sveti Petar, OIB:93183880993. Rješenjem su utvrđene obveze dužnika u iznosu od 5.685.868,25 kuna. Rješenjem je utvrđen otpis tražbina vjerovnika od 30%, moratorij na ostatak duga od 12 mjeseci i otplata preostalog duga u 48 jednakih rata.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Vjerovnik Republika Hrvatska, Ministarstvo financija, Porezna uprava, Područni ured Sjeverna Hrvatska, podnijela je u skraćenom stečajnom postupku St-1175/16, koji je pokrenula FINA 30. prosinca 2016 godine kod Trgovačkog suda u Varaždinu, temeljem čl.430. SZ, prijedlog za otvaranje stečajnog postupka nad dužnikom.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Po prijedlogu vjerovnika Republike Hrvatske, Ministarstvo financija, Porezna uprava, sud je dana 27. listopada 2017. godine , temeljem čl.115. st.1. SZ-a, donio rješenje o pokretanju prethodnog postupka radi utvrđivanja pretpostavki za otvaranje stečajnog postupka.  </w:t>
      </w:r>
    </w:p>
    <w:p w:rsidRDefault="00B873B9" w:rsidP="00B873B9" w:rsidR="00B873B9" w:rsidRPr="00B873B9">
      <w:pPr>
        <w:overflowPunct w:val="false"/>
        <w:autoSpaceDE w:val="false"/>
        <w:autoSpaceDN w:val="false"/>
        <w:adjustRightInd w:val="false"/>
        <w:spacing w:lineRule="auto" w:line="240" w:after="0"/>
        <w:ind w:firstLine="851"/>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Iz zahtjeva za provedbu skraćenog stečajnog postupka, koji je podnijela FINA proizlazi da je 27. prosinca 2016. dužnik u Očevidniku redoslijeda osnova za plaćanje imao evidentirane neizvršene osnove za plaćanje u neprekinutom razdoblju od 120 dana, u ukupnom iznosu od 1.293.569,90 kn, u koji iznos je uračunata kamata i naknada Financijske agencije za provedbu ovrhe na novčanim sredstvima. </w:t>
      </w:r>
    </w:p>
    <w:p w:rsidRDefault="00B873B9" w:rsidP="00B873B9" w:rsidR="00B873B9" w:rsidRPr="00B873B9">
      <w:pPr>
        <w:spacing w:lineRule="auto" w:line="240" w:after="0"/>
        <w:jc w:val="both"/>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Budući da je tijekom prethodnog postupka nedvojbeno utvrđeno da je dužnik nelikvidan i nesposoban za plaćanje, odnosno da postoji stečajni razlog utvrđen u odredbi čl. 5 i čl. 6. SZ (NN </w:t>
      </w:r>
      <w:r w:rsidRPr="00B873B9">
        <w:rPr>
          <w:rFonts w:cs="Tahoma" w:eastAsia="Times New Roman" w:hAnsi="Tahoma" w:ascii="Tahoma"/>
          <w:sz w:val="20"/>
          <w:szCs w:val="20"/>
          <w:lang w:eastAsia="hr-HR"/>
        </w:rPr>
        <w:lastRenderedPageBreak/>
        <w:t>71/15) Sud je rješenjem broj 5. St-361/2017-6   od  8. prosinca 2017. otvorio je stečajni postupak nad dužnikom.</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 xml:space="preserve">BILANCA I RAČUN DOBITI I GUBITKA </w:t>
      </w:r>
    </w:p>
    <w:p w:rsidRDefault="00B873B9" w:rsidP="00B873B9" w:rsidR="00B873B9" w:rsidRPr="00B873B9">
      <w:pPr>
        <w:overflowPunct w:val="false"/>
        <w:autoSpaceDE w:val="false"/>
        <w:autoSpaceDN w:val="false"/>
        <w:adjustRightInd w:val="false"/>
        <w:spacing w:lineRule="auto" w:line="240" w:after="0"/>
        <w:ind w:left="792"/>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792"/>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Radi utvrđivanja gospodarsko financijskog stanja potrebno je bilo izvršiti uvid u godišnja financijska izvješća koja su temeljem zakonske obveze predavana u FINU radi javne objave i knjigovodstvenu evidenciju radi izrade financijskih izvješća sa danom koji prethodi danu otvaranja stečajnog postupka tj. 07. prosinca  2017. godine kao i zbog izrade početne stečajne bilance.</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tbl>
      <w:tblPr>
        <w:tblW w:type="pct" w:w="5000"/>
        <w:tblLayout w:type="fixed"/>
        <w:tblLook w:val="04A0" w:noVBand="1" w:noHBand="0" w:lastColumn="0" w:firstColumn="1" w:lastRow="0" w:firstRow="1"/>
      </w:tblPr>
      <w:tblGrid>
        <w:gridCol w:w="5664"/>
        <w:gridCol w:w="708"/>
        <w:gridCol w:w="456"/>
        <w:gridCol w:w="552"/>
        <w:gridCol w:w="610"/>
        <w:gridCol w:w="443"/>
        <w:gridCol w:w="759"/>
      </w:tblGrid>
      <w:tr w:rsidTr="0079039B" w:rsidR="00B873B9" w:rsidRPr="00B873B9">
        <w:trPr>
          <w:trHeight w:val="227"/>
        </w:trPr>
        <w:tc>
          <w:tcPr>
            <w:tcW w:type="pct" w:w="5000"/>
            <w:gridSpan w:val="7"/>
            <w:tcBorders>
              <w:top w:space="0" w:sz="4" w:color="auto" w:val="single"/>
              <w:left w:space="0" w:sz="4" w:color="auto" w:val="single"/>
              <w:bottom w:space="0" w:sz="4" w:color="auto" w:val="single"/>
              <w:right w:space="0" w:sz="4" w:color="auto" w:val="single"/>
            </w:tcBorders>
            <w:shd w:fill="DDD9C4" w:color="CCCCFF" w:val="clear"/>
            <w:noWrap/>
            <w:vAlign w:val="bottom"/>
            <w:hideMark/>
          </w:tcPr>
          <w:p w:rsidRDefault="00B873B9" w:rsidP="00B873B9" w:rsidR="00B873B9" w:rsidRPr="00B873B9">
            <w:pPr>
              <w:spacing w:lineRule="auto" w:line="240" w:after="0"/>
              <w:jc w:val="center"/>
              <w:rPr>
                <w:rFonts w:cs="Tahoma" w:eastAsia="Times New Roman" w:hAnsi="Tahoma" w:ascii="Tahoma"/>
                <w:b/>
                <w:bCs/>
                <w:color w:val="333333"/>
                <w:sz w:val="18"/>
                <w:szCs w:val="18"/>
                <w:lang w:eastAsia="hr-HR"/>
              </w:rPr>
            </w:pPr>
            <w:r w:rsidRPr="00B873B9">
              <w:rPr>
                <w:rFonts w:cs="Tahoma" w:eastAsia="Times New Roman" w:hAnsi="Tahoma" w:ascii="Tahoma"/>
                <w:b/>
                <w:bCs/>
                <w:color w:val="333333"/>
                <w:sz w:val="18"/>
                <w:szCs w:val="18"/>
                <w:lang w:eastAsia="hr-HR"/>
              </w:rPr>
              <w:t>BILANCA</w:t>
            </w:r>
          </w:p>
        </w:tc>
      </w:tr>
      <w:tr w:rsidTr="0079039B" w:rsidR="00B873B9" w:rsidRPr="00B873B9">
        <w:trPr>
          <w:trHeight w:val="227"/>
        </w:trPr>
        <w:tc>
          <w:tcPr>
            <w:tcW w:type="pct" w:w="3081"/>
            <w:tcBorders>
              <w:top w:space="0" w:sz="4" w:color="auto" w:val="single"/>
              <w:left w:val="nil"/>
              <w:bottom w:val="nil"/>
              <w:right w:val="nil"/>
            </w:tcBorders>
            <w:shd w:fill="auto" w:color="auto" w:val="clear"/>
            <w:noWrap/>
            <w:vAlign w:val="bottom"/>
            <w:hideMark/>
          </w:tcPr>
          <w:p w:rsidRDefault="00B873B9" w:rsidP="00B873B9" w:rsidR="00B873B9" w:rsidRPr="00B873B9">
            <w:pPr>
              <w:spacing w:lineRule="auto" w:line="240" w:after="0"/>
              <w:jc w:val="center"/>
              <w:rPr>
                <w:rFonts w:cs="Tahoma" w:eastAsia="Times New Roman" w:hAnsi="Tahoma" w:ascii="Tahoma"/>
                <w:b/>
                <w:bCs/>
                <w:color w:val="333333"/>
                <w:sz w:val="18"/>
                <w:szCs w:val="18"/>
                <w:lang w:eastAsia="hr-HR"/>
              </w:rPr>
            </w:pPr>
          </w:p>
        </w:tc>
        <w:tc>
          <w:tcPr>
            <w:tcW w:type="pct" w:w="385"/>
            <w:tcBorders>
              <w:top w:space="0" w:sz="4" w:color="auto" w:val="single"/>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pct" w:w="548"/>
            <w:gridSpan w:val="2"/>
            <w:tcBorders>
              <w:top w:space="0" w:sz="4" w:color="auto" w:val="single"/>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pct" w:w="573"/>
            <w:gridSpan w:val="2"/>
            <w:tcBorders>
              <w:top w:space="0" w:sz="4" w:color="auto" w:val="single"/>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pct" w:w="414"/>
            <w:tcBorders>
              <w:top w:space="0" w:sz="4" w:color="auto" w:val="single"/>
              <w:left w:val="nil"/>
              <w:bottom w:val="nil"/>
              <w:right w:val="nil"/>
            </w:tcBorders>
            <w:shd w:fill="auto" w:color="auto" w:val="clear"/>
            <w:noWrap/>
            <w:vAlign w:val="bottom"/>
            <w:hideMark/>
          </w:tcPr>
          <w:p w:rsidRDefault="00B873B9" w:rsidP="00B873B9" w:rsidR="00B873B9" w:rsidRPr="00B873B9">
            <w:pPr>
              <w:spacing w:lineRule="auto" w:line="240" w:after="0"/>
              <w:jc w:val="center"/>
              <w:rPr>
                <w:rFonts w:cs="Tahoma" w:eastAsia="Times New Roman" w:hAnsi="Tahoma" w:ascii="Tahoma"/>
                <w:sz w:val="18"/>
                <w:szCs w:val="18"/>
                <w:lang w:eastAsia="hr-HR"/>
              </w:rPr>
            </w:pPr>
          </w:p>
        </w:tc>
      </w:tr>
      <w:tr w:rsidTr="0079039B" w:rsidR="00B873B9" w:rsidRPr="00B873B9">
        <w:trPr>
          <w:trHeight w:val="227"/>
        </w:trPr>
        <w:tc>
          <w:tcPr>
            <w:tcW w:type="pct" w:w="30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Godina</w:t>
            </w:r>
          </w:p>
        </w:tc>
        <w:tc>
          <w:tcPr>
            <w:tcW w:type="pct" w:w="633"/>
            <w:gridSpan w:val="2"/>
            <w:tcBorders>
              <w:top w:space="0" w:sz="4" w:color="auto" w:val="single"/>
              <w:left w:val="nil"/>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2015</w:t>
            </w:r>
          </w:p>
        </w:tc>
        <w:tc>
          <w:tcPr>
            <w:tcW w:type="pct" w:w="632"/>
            <w:gridSpan w:val="2"/>
            <w:tcBorders>
              <w:top w:space="0" w:sz="4" w:color="auto" w:val="single"/>
              <w:left w:val="nil"/>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2016</w:t>
            </w:r>
          </w:p>
        </w:tc>
        <w:tc>
          <w:tcPr>
            <w:tcW w:type="pct" w:w="655"/>
            <w:gridSpan w:val="2"/>
            <w:tcBorders>
              <w:top w:space="0" w:sz="4" w:color="auto" w:val="single"/>
              <w:left w:val="nil"/>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07.12.17</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DUGOTRAJNA IMOVINA (STALNA, TRAJNA SREDSTVA)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121952</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41086</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Nematerijalna imovina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Materijalna imovina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121952</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41086</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Financijska imovina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Potraživanja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Odgođena porezna imovina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KRATKOTRAJNA (STALNA, TEKUĆA) IMOVINA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4655343</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531025</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531024</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Zalihe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3229792</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Potraživanja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1423347</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531025</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531024</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Financijska imovina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Novac u banci i blagajni</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2204</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PLAĆENI TROŠKOVI BUDUĆEG RAZDOBLJA I OBRAČUNATI PRIHODI</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UKUPNA IMOVINA (BILANČNA SVOTA, AKTIVA)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4777295</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572111</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531024</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UKUPNI VLASTITI KAPITAL I PRIČUVE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957589</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-1765248</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-1806335</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Upisani-temeljni kapital</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20000</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20000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20000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Kapitalne pričuve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500000</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500000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500000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Ostale pričuve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Zadržani dobitak</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427493</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437589</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437589</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Preneseni gubitak</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2722837</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Dobitak poslovne godine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10096</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Gubitak poslovne godine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0</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2722837</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41086</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Manjinski interes</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REZERVIRANJA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xml:space="preserve">DUGOROČNE OBVEZE </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989294</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0</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 0</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UKUPNO KRATKOROČNE OBVEZE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2830412</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2337359</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2337359</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Obveze prema dobavljačima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922967</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740045</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740045</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Obveze za kratkoročne kredite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768656</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149449</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149449</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Cs/>
                <w:sz w:val="18"/>
                <w:szCs w:val="18"/>
                <w:lang w:eastAsia="hr-HR"/>
              </w:rPr>
            </w:pPr>
            <w:r w:rsidRPr="00B873B9">
              <w:rPr>
                <w:rFonts w:cs="Tahoma" w:eastAsia="Times New Roman" w:hAnsi="Tahoma" w:ascii="Tahoma"/>
                <w:iCs/>
                <w:sz w:val="18"/>
                <w:szCs w:val="18"/>
                <w:lang w:eastAsia="hr-HR"/>
              </w:rPr>
              <w:t>Ostale kratkoročne obveze</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1138789</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1447865</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1447865</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ODGOĐENO PLAĆANJE TROŠKOVA I PRIHOD BUDUĆEG RAZDOBLJA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 </w:t>
            </w:r>
          </w:p>
        </w:tc>
      </w:tr>
      <w:tr w:rsidTr="0079039B" w:rsidR="00B873B9" w:rsidRPr="00B873B9">
        <w:trPr>
          <w:trHeight w:val="227"/>
        </w:trPr>
        <w:tc>
          <w:tcPr>
            <w:tcW w:type="pct" w:w="3081"/>
            <w:tcBorders>
              <w:top w:val="nil"/>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UKUPNO IZVORI (BILANČNA SVOTA, PASIVA)</w:t>
            </w:r>
          </w:p>
        </w:tc>
        <w:tc>
          <w:tcPr>
            <w:tcW w:type="pct" w:w="633"/>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4777295</w:t>
            </w:r>
          </w:p>
        </w:tc>
        <w:tc>
          <w:tcPr>
            <w:tcW w:type="pct" w:w="632"/>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572111</w:t>
            </w:r>
          </w:p>
        </w:tc>
        <w:tc>
          <w:tcPr>
            <w:tcW w:type="pct" w:w="655"/>
            <w:gridSpan w:val="2"/>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i/>
                <w:iCs/>
                <w:sz w:val="18"/>
                <w:szCs w:val="18"/>
                <w:lang w:eastAsia="hr-HR"/>
              </w:rPr>
            </w:pPr>
            <w:r w:rsidRPr="00B873B9">
              <w:rPr>
                <w:rFonts w:cs="Tahoma" w:eastAsia="Times New Roman" w:hAnsi="Tahoma" w:ascii="Tahoma"/>
                <w:b/>
                <w:bCs/>
                <w:i/>
                <w:iCs/>
                <w:sz w:val="18"/>
                <w:szCs w:val="18"/>
                <w:lang w:eastAsia="hr-HR"/>
              </w:rPr>
              <w:t>531024</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Iz tih izvješća je vidljivo slijedeće:</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Aktiva ili vrijednost imovine se kontinuirano u promatranom periodu smanjivala od 4.777.295,00 kuna 2015. godine do 531.024,00 kuna na dan otvaranja stečajnog postupka što predstavlja znatno i znakovito smanjenje.</w:t>
      </w:r>
    </w:p>
    <w:p w:rsidRDefault="00B873B9" w:rsidP="00B873B9" w:rsidR="00B873B9" w:rsidRPr="00B873B9">
      <w:pPr>
        <w:numPr>
          <w:ilvl w:val="0"/>
          <w:numId w:val="14"/>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Iako se obveze nisu u promatranom periodu povećale, uglavnom zbog neaktivnosti dužnika, zbog kontinuiranog gubitka u poslovanju u zadnje dvije godine kapital je stalno u negativnoj zoni te je dosegao iznos od -1.806.335,00 kuna.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tbl>
      <w:tblPr>
        <w:tblW w:type="pct" w:w="5000"/>
        <w:tblLook w:val="04A0" w:noVBand="1" w:noHBand="0" w:lastColumn="0" w:firstColumn="1" w:lastRow="0" w:firstRow="1"/>
      </w:tblPr>
      <w:tblGrid>
        <w:gridCol w:w="5658"/>
        <w:gridCol w:w="1167"/>
        <w:gridCol w:w="1252"/>
        <w:gridCol w:w="1115"/>
      </w:tblGrid>
      <w:tr w:rsidTr="0079039B" w:rsidR="00B873B9" w:rsidRPr="00B873B9">
        <w:trPr>
          <w:trHeight w:val="227"/>
        </w:trPr>
        <w:tc>
          <w:tcPr>
            <w:tcW w:type="dxa" w:w="8966"/>
            <w:gridSpan w:val="4"/>
            <w:tcBorders>
              <w:top w:space="0" w:sz="8" w:color="auto" w:val="single"/>
              <w:left w:space="0" w:sz="8" w:color="auto" w:val="single"/>
              <w:bottom w:space="0" w:sz="8" w:color="auto" w:val="single"/>
              <w:right w:val="nil"/>
            </w:tcBorders>
            <w:shd w:fill="DDD9C4" w:color="000000" w:val="clear"/>
            <w:noWrap/>
            <w:vAlign w:val="bottom"/>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RAČUN DOBITI I GUBITKA</w:t>
            </w:r>
          </w:p>
        </w:tc>
      </w:tr>
      <w:tr w:rsidTr="0079039B" w:rsidR="00B873B9" w:rsidRPr="00B873B9">
        <w:trPr>
          <w:trHeight w:val="227"/>
        </w:trPr>
        <w:tc>
          <w:tcPr>
            <w:tcW w:type="dxa" w:w="5519"/>
            <w:tcBorders>
              <w:top w:val="nil"/>
              <w:left w:val="nil"/>
              <w:bottom w:val="nil"/>
              <w:right w:val="nil"/>
            </w:tcBorders>
            <w:shd w:fill="auto" w:color="auto" w:val="clear"/>
            <w:noWrap/>
            <w:vAlign w:val="bottom"/>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p>
        </w:tc>
        <w:tc>
          <w:tcPr>
            <w:tcW w:type="dxa" w:w="1138"/>
            <w:tcBorders>
              <w:top w:val="nil"/>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val="nil"/>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val="nil"/>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Godina</w:t>
            </w:r>
          </w:p>
        </w:tc>
        <w:tc>
          <w:tcPr>
            <w:tcW w:type="dxa" w:w="1138"/>
            <w:tcBorders>
              <w:top w:space="0" w:sz="4" w:color="auto" w:val="single"/>
              <w:left w:val="nil"/>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2015</w:t>
            </w:r>
          </w:p>
        </w:tc>
        <w:tc>
          <w:tcPr>
            <w:tcW w:type="dxa" w:w="1221"/>
            <w:tcBorders>
              <w:top w:space="0" w:sz="4" w:color="auto" w:val="single"/>
              <w:left w:val="nil"/>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2016</w:t>
            </w:r>
          </w:p>
        </w:tc>
        <w:tc>
          <w:tcPr>
            <w:tcW w:type="dxa" w:w="1088"/>
            <w:tcBorders>
              <w:top w:space="0" w:sz="4" w:color="auto" w:val="single"/>
              <w:left w:val="nil"/>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07.12.17.</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Poslovni prihodi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3175675</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2270218</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Poslovni rashodi = rashodi razdoblja korigirani sa +/- vrijednosti zaliha</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3122889</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4927276</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Rashodi razdoblja</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Povećanje/smanjenje vrijednosti  zaliha</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Poslovni rashodi umanjeni za amortizaciju</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3122889</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4927276</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EBITDA</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52786</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-2657058</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Izvanredni prihodi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Od toga prihodi od prodaje imovine</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Izvanredni rashodi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Amortizacija</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Dobit/gubitak od izvanrednih  aktivnosti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tcPr>
          <w:p w:rsidRDefault="00B873B9" w:rsidP="00B873B9" w:rsidR="00B873B9" w:rsidRPr="00B873B9">
            <w:pPr>
              <w:spacing w:lineRule="auto" w:line="240" w:after="0"/>
              <w:jc w:val="right"/>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tcPr>
          <w:p w:rsidRDefault="00B873B9" w:rsidP="00B873B9" w:rsidR="00B873B9" w:rsidRPr="00B873B9">
            <w:pPr>
              <w:spacing w:lineRule="auto" w:line="240" w:after="0"/>
              <w:jc w:val="right"/>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EBIT</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52786</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-2657058</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Financijski prihodi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2592</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24</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0</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Financijski rashodi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40486</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65803</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0</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Dobit/gubitak od financijskih aktivnosti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-37894</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-65779</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0</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EBT</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14892</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-2722837</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Porez  %</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Iznos poreza</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4796</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NETO DOBIT/GUBITAK</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10096</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-2722837</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-41086</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UKUPNI PRIHODI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3178267</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2270242</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w:t>
            </w:r>
          </w:p>
        </w:tc>
      </w:tr>
      <w:tr w:rsidTr="0079039B" w:rsidR="00B873B9" w:rsidRPr="00B873B9">
        <w:trPr>
          <w:trHeight w:val="227"/>
        </w:trPr>
        <w:tc>
          <w:tcPr>
            <w:tcW w:type="dxa" w:w="551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UKUPNI RASHODI</w:t>
            </w:r>
          </w:p>
        </w:tc>
        <w:tc>
          <w:tcPr>
            <w:tcW w:type="dxa" w:w="113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3163375</w:t>
            </w:r>
          </w:p>
        </w:tc>
        <w:tc>
          <w:tcPr>
            <w:tcW w:type="dxa" w:w="122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4993079</w:t>
            </w:r>
          </w:p>
        </w:tc>
        <w:tc>
          <w:tcPr>
            <w:tcW w:type="dxa" w:w="10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41086</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Dužnik je 2016 godine ostvario gubitak u poslovanju, a on  je ostvaren i u 2017. godini u kojoj je otvoren stečajni postupak.  Gubici u poslovanju su nastali prodajom pokretnina društvu SAN PETER TRADE d.o.o., u naravi strojeva i opreme za proizvodnju, zaliha sirovina i repromaterijala, osobnih automobila te gotovih proizvoda ispod nabavne cijene.</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Pokazatelji poslovanja: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066"/>
        <w:gridCol w:w="986"/>
        <w:gridCol w:w="986"/>
        <w:gridCol w:w="1154"/>
      </w:tblGrid>
      <w:tr w:rsidTr="0079039B" w:rsidR="00B873B9" w:rsidRPr="00B873B9">
        <w:trPr>
          <w:trHeight w:val="227"/>
        </w:trPr>
        <w:tc>
          <w:tcPr>
            <w:tcW w:type="dxa" w:w="5737"/>
            <w:shd w:fill="DDD9C4" w:color="000000"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LIKVIDNOST</w:t>
            </w:r>
          </w:p>
        </w:tc>
        <w:tc>
          <w:tcPr>
            <w:tcW w:type="dxa" w:w="932"/>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2015</w:t>
            </w:r>
          </w:p>
        </w:tc>
        <w:tc>
          <w:tcPr>
            <w:tcW w:type="dxa" w:w="932"/>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2016</w:t>
            </w:r>
          </w:p>
        </w:tc>
        <w:tc>
          <w:tcPr>
            <w:tcW w:type="dxa" w:w="1091"/>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07.12.17.</w:t>
            </w:r>
          </w:p>
        </w:tc>
      </w:tr>
      <w:tr w:rsidTr="0079039B" w:rsidR="00B873B9" w:rsidRPr="00B873B9">
        <w:trPr>
          <w:trHeight w:val="227"/>
        </w:trPr>
        <w:tc>
          <w:tcPr>
            <w:tcW w:type="dxa" w:w="5737"/>
            <w:shd w:fill="auto" w:color="auto" w:val="clear"/>
            <w:noWrap/>
            <w:vAlign w:val="bottom"/>
            <w:hideMark/>
          </w:tcPr>
          <w:p w:rsidRDefault="00B873B9" w:rsidP="00B873B9" w:rsidR="00B873B9" w:rsidRPr="00B873B9">
            <w:pPr>
              <w:spacing w:lineRule="auto" w:line="240" w:after="0"/>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novac i potraživanja</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1425551</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531025</w:t>
            </w:r>
          </w:p>
        </w:tc>
        <w:tc>
          <w:tcPr>
            <w:tcW w:type="dxa" w:w="1091"/>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531024</w:t>
            </w:r>
          </w:p>
        </w:tc>
      </w:tr>
      <w:tr w:rsidTr="0079039B" w:rsidR="00B873B9" w:rsidRPr="00B873B9">
        <w:trPr>
          <w:trHeight w:val="227"/>
        </w:trPr>
        <w:tc>
          <w:tcPr>
            <w:tcW w:type="dxa" w:w="5737"/>
            <w:shd w:fill="auto" w:color="auto" w:val="clear"/>
            <w:noWrap/>
            <w:vAlign w:val="bottom"/>
            <w:hideMark/>
          </w:tcPr>
          <w:p w:rsidRDefault="00B873B9" w:rsidP="00B873B9" w:rsidR="00B873B9" w:rsidRPr="00B873B9">
            <w:pPr>
              <w:spacing w:lineRule="auto" w:line="240" w:after="0"/>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kratkotrajna imovina</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4655343</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531025</w:t>
            </w:r>
          </w:p>
        </w:tc>
        <w:tc>
          <w:tcPr>
            <w:tcW w:type="dxa" w:w="1091"/>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531024</w:t>
            </w:r>
          </w:p>
        </w:tc>
      </w:tr>
      <w:tr w:rsidTr="0079039B" w:rsidR="00B873B9" w:rsidRPr="00B873B9">
        <w:trPr>
          <w:trHeight w:val="227"/>
        </w:trPr>
        <w:tc>
          <w:tcPr>
            <w:tcW w:type="dxa" w:w="5737"/>
            <w:shd w:fill="auto" w:color="auto" w:val="clear"/>
            <w:noWrap/>
            <w:vAlign w:val="bottom"/>
            <w:hideMark/>
          </w:tcPr>
          <w:p w:rsidRDefault="00B873B9" w:rsidP="00B873B9" w:rsidR="00B873B9" w:rsidRPr="00B873B9">
            <w:pPr>
              <w:spacing w:lineRule="auto" w:line="240" w:after="0"/>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kratkoročne obveze</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2830412</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2337359</w:t>
            </w:r>
          </w:p>
        </w:tc>
        <w:tc>
          <w:tcPr>
            <w:tcW w:type="dxa" w:w="1091"/>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2337359</w:t>
            </w:r>
          </w:p>
        </w:tc>
      </w:tr>
      <w:tr w:rsidTr="0079039B" w:rsidR="00B873B9" w:rsidRPr="00B873B9">
        <w:trPr>
          <w:trHeight w:val="227"/>
        </w:trPr>
        <w:tc>
          <w:tcPr>
            <w:tcW w:type="dxa" w:w="5737"/>
            <w:tcBorders>
              <w:bottom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Koeficijent ubrzane likvidnosti (novac+potraživanja/</w:t>
            </w:r>
            <w:proofErr w:type="spellStart"/>
            <w:r w:rsidRPr="00B873B9">
              <w:rPr>
                <w:rFonts w:cs="Tahoma" w:eastAsia="Times New Roman" w:hAnsi="Tahoma" w:ascii="Tahoma"/>
                <w:b/>
                <w:bCs/>
                <w:sz w:val="18"/>
                <w:szCs w:val="18"/>
                <w:lang w:eastAsia="hr-HR"/>
              </w:rPr>
              <w:t>kratk.obveze</w:t>
            </w:r>
            <w:proofErr w:type="spellEnd"/>
            <w:r w:rsidRPr="00B873B9">
              <w:rPr>
                <w:rFonts w:cs="Tahoma" w:eastAsia="Times New Roman" w:hAnsi="Tahoma" w:ascii="Tahoma"/>
                <w:b/>
                <w:bCs/>
                <w:sz w:val="18"/>
                <w:szCs w:val="18"/>
                <w:lang w:eastAsia="hr-HR"/>
              </w:rPr>
              <w:t>)</w:t>
            </w:r>
          </w:p>
        </w:tc>
        <w:tc>
          <w:tcPr>
            <w:tcW w:type="dxa" w:w="932"/>
            <w:tcBorders>
              <w:bottom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0,50</w:t>
            </w:r>
          </w:p>
        </w:tc>
        <w:tc>
          <w:tcPr>
            <w:tcW w:type="dxa" w:w="932"/>
            <w:tcBorders>
              <w:bottom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0,23</w:t>
            </w:r>
          </w:p>
        </w:tc>
        <w:tc>
          <w:tcPr>
            <w:tcW w:type="dxa" w:w="1091"/>
            <w:tcBorders>
              <w:bottom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0,23</w:t>
            </w:r>
          </w:p>
        </w:tc>
      </w:tr>
      <w:tr w:rsidTr="0079039B" w:rsidR="00B873B9" w:rsidRPr="00B873B9">
        <w:trPr>
          <w:trHeight w:val="227"/>
        </w:trPr>
        <w:tc>
          <w:tcPr>
            <w:tcW w:type="dxa" w:w="5737"/>
            <w:tcBorders>
              <w:bottom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poželjna veličina</w:t>
            </w:r>
          </w:p>
        </w:tc>
        <w:tc>
          <w:tcPr>
            <w:tcW w:type="dxa" w:w="932"/>
            <w:tcBorders>
              <w:bottom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1</w:t>
            </w:r>
          </w:p>
        </w:tc>
        <w:tc>
          <w:tcPr>
            <w:tcW w:type="dxa" w:w="932"/>
            <w:tcBorders>
              <w:bottom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1</w:t>
            </w:r>
          </w:p>
        </w:tc>
        <w:tc>
          <w:tcPr>
            <w:tcW w:type="dxa" w:w="1091"/>
            <w:tcBorders>
              <w:bottom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1</w:t>
            </w:r>
          </w:p>
        </w:tc>
      </w:tr>
      <w:tr w:rsidTr="0079039B" w:rsidR="00B873B9" w:rsidRPr="00B873B9">
        <w:trPr>
          <w:trHeight w:val="227"/>
        </w:trPr>
        <w:tc>
          <w:tcPr>
            <w:tcW w:type="dxa" w:w="5737"/>
            <w:tcBorders>
              <w:top w:space="0" w:sz="4" w:color="auto" w:val="single"/>
              <w:left w:val="nil"/>
              <w:bottom w:space="0" w:sz="4" w:color="auto" w:val="single"/>
              <w:right w:val="nil"/>
            </w:tcBorders>
            <w:shd w:fill="auto" w:color="auto" w:val="clear"/>
            <w:noWrap/>
            <w:vAlign w:val="bottom"/>
          </w:tcPr>
          <w:p w:rsidRDefault="00B873B9" w:rsidP="00B873B9" w:rsidR="00B873B9" w:rsidRPr="00B873B9">
            <w:pPr>
              <w:spacing w:lineRule="auto" w:line="240" w:after="0"/>
              <w:rPr>
                <w:rFonts w:cs="Tahoma" w:eastAsia="Times New Roman" w:hAnsi="Tahoma" w:ascii="Tahoma"/>
                <w:i/>
                <w:iCs/>
                <w:sz w:val="18"/>
                <w:szCs w:val="18"/>
                <w:lang w:eastAsia="hr-HR"/>
              </w:rPr>
            </w:pPr>
          </w:p>
        </w:tc>
        <w:tc>
          <w:tcPr>
            <w:tcW w:type="dxa" w:w="932"/>
            <w:tcBorders>
              <w:top w:space="0" w:sz="4" w:color="auto" w:val="single"/>
              <w:left w:val="nil"/>
              <w:bottom w:space="0" w:sz="4" w:color="auto" w:val="single"/>
              <w:right w:val="nil"/>
            </w:tcBorders>
            <w:shd w:fill="auto" w:color="auto" w:val="clear"/>
            <w:noWrap/>
            <w:vAlign w:val="bottom"/>
          </w:tcPr>
          <w:p w:rsidRDefault="00B873B9" w:rsidP="00B873B9" w:rsidR="00B873B9" w:rsidRPr="00B873B9">
            <w:pPr>
              <w:spacing w:lineRule="auto" w:line="240" w:after="0"/>
              <w:jc w:val="right"/>
              <w:rPr>
                <w:rFonts w:cs="Tahoma" w:eastAsia="Times New Roman" w:hAnsi="Tahoma" w:ascii="Tahoma"/>
                <w:i/>
                <w:iCs/>
                <w:sz w:val="18"/>
                <w:szCs w:val="18"/>
                <w:lang w:eastAsia="hr-HR"/>
              </w:rPr>
            </w:pPr>
          </w:p>
        </w:tc>
        <w:tc>
          <w:tcPr>
            <w:tcW w:type="dxa" w:w="932"/>
            <w:tcBorders>
              <w:top w:space="0" w:sz="4" w:color="auto" w:val="single"/>
              <w:left w:val="nil"/>
              <w:bottom w:space="0" w:sz="4" w:color="auto" w:val="single"/>
              <w:right w:val="nil"/>
            </w:tcBorders>
            <w:shd w:fill="auto" w:color="auto" w:val="clear"/>
            <w:noWrap/>
            <w:vAlign w:val="bottom"/>
          </w:tcPr>
          <w:p w:rsidRDefault="00B873B9" w:rsidP="00B873B9" w:rsidR="00B873B9" w:rsidRPr="00B873B9">
            <w:pPr>
              <w:spacing w:lineRule="auto" w:line="240" w:after="0"/>
              <w:jc w:val="right"/>
              <w:rPr>
                <w:rFonts w:cs="Tahoma" w:eastAsia="Times New Roman" w:hAnsi="Tahoma" w:ascii="Tahoma"/>
                <w:i/>
                <w:iCs/>
                <w:sz w:val="18"/>
                <w:szCs w:val="18"/>
                <w:lang w:eastAsia="hr-HR"/>
              </w:rPr>
            </w:pPr>
          </w:p>
        </w:tc>
        <w:tc>
          <w:tcPr>
            <w:tcW w:type="dxa" w:w="1091"/>
            <w:tcBorders>
              <w:top w:space="0" w:sz="4" w:color="auto" w:val="single"/>
              <w:left w:val="nil"/>
              <w:bottom w:space="0" w:sz="4" w:color="auto" w:val="single"/>
              <w:right w:val="nil"/>
            </w:tcBorders>
            <w:shd w:fill="auto" w:color="auto" w:val="clear"/>
            <w:noWrap/>
            <w:vAlign w:val="bottom"/>
          </w:tcPr>
          <w:p w:rsidRDefault="00B873B9" w:rsidP="00B873B9" w:rsidR="00B873B9" w:rsidRPr="00B873B9">
            <w:pPr>
              <w:spacing w:lineRule="auto" w:line="240" w:after="0"/>
              <w:jc w:val="right"/>
              <w:rPr>
                <w:rFonts w:cs="Tahoma" w:eastAsia="Times New Roman" w:hAnsi="Tahoma" w:ascii="Tahoma"/>
                <w:i/>
                <w:iCs/>
                <w:sz w:val="18"/>
                <w:szCs w:val="18"/>
                <w:lang w:eastAsia="hr-HR"/>
              </w:rPr>
            </w:pPr>
          </w:p>
        </w:tc>
      </w:tr>
      <w:tr w:rsidTr="0079039B" w:rsidR="00B873B9" w:rsidRPr="00B873B9">
        <w:trPr>
          <w:trHeight w:val="227"/>
        </w:trPr>
        <w:tc>
          <w:tcPr>
            <w:tcW w:type="dxa" w:w="5737"/>
            <w:tcBorders>
              <w:top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Koeficijent tekuće likvidnosti (kratkotrajna imovina/</w:t>
            </w:r>
            <w:proofErr w:type="spellStart"/>
            <w:r w:rsidRPr="00B873B9">
              <w:rPr>
                <w:rFonts w:cs="Tahoma" w:eastAsia="Times New Roman" w:hAnsi="Tahoma" w:ascii="Tahoma"/>
                <w:b/>
                <w:bCs/>
                <w:sz w:val="18"/>
                <w:szCs w:val="18"/>
                <w:lang w:eastAsia="hr-HR"/>
              </w:rPr>
              <w:t>kratk</w:t>
            </w:r>
            <w:proofErr w:type="spellEnd"/>
            <w:r w:rsidRPr="00B873B9">
              <w:rPr>
                <w:rFonts w:cs="Tahoma" w:eastAsia="Times New Roman" w:hAnsi="Tahoma" w:ascii="Tahoma"/>
                <w:b/>
                <w:bCs/>
                <w:sz w:val="18"/>
                <w:szCs w:val="18"/>
                <w:lang w:eastAsia="hr-HR"/>
              </w:rPr>
              <w:t>. obveze)</w:t>
            </w:r>
          </w:p>
        </w:tc>
        <w:tc>
          <w:tcPr>
            <w:tcW w:type="dxa" w:w="932"/>
            <w:tcBorders>
              <w:top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1,64</w:t>
            </w:r>
          </w:p>
        </w:tc>
        <w:tc>
          <w:tcPr>
            <w:tcW w:type="dxa" w:w="932"/>
            <w:tcBorders>
              <w:top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0,23</w:t>
            </w:r>
          </w:p>
        </w:tc>
        <w:tc>
          <w:tcPr>
            <w:tcW w:type="dxa" w:w="1091"/>
            <w:tcBorders>
              <w:top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0,23</w:t>
            </w:r>
          </w:p>
        </w:tc>
      </w:tr>
      <w:tr w:rsidTr="0079039B" w:rsidR="00B873B9" w:rsidRPr="00B873B9">
        <w:trPr>
          <w:trHeight w:val="227"/>
        </w:trPr>
        <w:tc>
          <w:tcPr>
            <w:tcW w:type="dxa" w:w="5737"/>
            <w:shd w:fill="auto" w:color="auto" w:val="clear"/>
            <w:noWrap/>
            <w:vAlign w:val="bottom"/>
            <w:hideMark/>
          </w:tcPr>
          <w:p w:rsidRDefault="00B873B9" w:rsidP="00B873B9" w:rsidR="00B873B9" w:rsidRPr="00B873B9">
            <w:pPr>
              <w:spacing w:lineRule="auto" w:line="240" w:after="0"/>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poželjna veličina</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2</w:t>
            </w:r>
          </w:p>
        </w:tc>
        <w:tc>
          <w:tcPr>
            <w:tcW w:type="dxa" w:w="93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2</w:t>
            </w:r>
          </w:p>
        </w:tc>
        <w:tc>
          <w:tcPr>
            <w:tcW w:type="dxa" w:w="1091"/>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2</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Pokazatelji likvidnosti  pokazuju da je likvidnost u zadnje tri godine ispod poželjnih veličina. Sukladno tome je poslovanje dužnika bilo opterećeno nelikvidnošću, a kasnije  i insolventnošću čime se stekao jedan od razloga za otvaranja stečajnog postupka nad dužnikom.</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953"/>
        <w:gridCol w:w="1017"/>
        <w:gridCol w:w="1018"/>
        <w:gridCol w:w="1204"/>
      </w:tblGrid>
      <w:tr w:rsidTr="0079039B" w:rsidR="00B873B9" w:rsidRPr="00B873B9">
        <w:trPr>
          <w:trHeight w:val="227"/>
        </w:trPr>
        <w:tc>
          <w:tcPr>
            <w:tcW w:type="dxa" w:w="5807"/>
            <w:shd w:fill="DDD9C4" w:color="000000"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PREZADUŽENOST (stečajni razlog)</w:t>
            </w:r>
          </w:p>
        </w:tc>
        <w:tc>
          <w:tcPr>
            <w:tcW w:type="dxa" w:w="992"/>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2015</w:t>
            </w:r>
          </w:p>
        </w:tc>
        <w:tc>
          <w:tcPr>
            <w:tcW w:type="dxa" w:w="993"/>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2016</w:t>
            </w:r>
          </w:p>
        </w:tc>
        <w:tc>
          <w:tcPr>
            <w:tcW w:type="dxa" w:w="1174"/>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07.12.17.</w:t>
            </w:r>
          </w:p>
        </w:tc>
      </w:tr>
      <w:tr w:rsidTr="0079039B" w:rsidR="00B873B9" w:rsidRPr="00B873B9">
        <w:trPr>
          <w:trHeight w:val="227"/>
        </w:trPr>
        <w:tc>
          <w:tcPr>
            <w:tcW w:type="dxa" w:w="5807"/>
            <w:shd w:fill="auto" w:color="auto" w:val="clear"/>
            <w:noWrap/>
            <w:vAlign w:val="bottom"/>
            <w:hideMark/>
          </w:tcPr>
          <w:p w:rsidRDefault="00B873B9" w:rsidP="00B873B9" w:rsidR="00B873B9" w:rsidRPr="00B873B9">
            <w:pPr>
              <w:spacing w:lineRule="auto" w:line="240" w:after="0"/>
              <w:rPr>
                <w:rFonts w:cs="Tahoma" w:eastAsia="Times New Roman" w:hAnsi="Tahoma" w:ascii="Tahoma"/>
                <w:bCs/>
                <w:sz w:val="18"/>
                <w:szCs w:val="18"/>
                <w:lang w:eastAsia="hr-HR"/>
              </w:rPr>
            </w:pPr>
            <w:r w:rsidRPr="00B873B9">
              <w:rPr>
                <w:rFonts w:cs="Tahoma" w:eastAsia="Times New Roman" w:hAnsi="Tahoma" w:ascii="Tahoma"/>
                <w:bCs/>
                <w:sz w:val="18"/>
                <w:szCs w:val="18"/>
                <w:lang w:eastAsia="hr-HR"/>
              </w:rPr>
              <w:t>AKTIVA - IMOVINA</w:t>
            </w:r>
          </w:p>
        </w:tc>
        <w:tc>
          <w:tcPr>
            <w:tcW w:type="dxa" w:w="99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4777295</w:t>
            </w:r>
          </w:p>
        </w:tc>
        <w:tc>
          <w:tcPr>
            <w:tcW w:type="dxa" w:w="993"/>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572111</w:t>
            </w:r>
          </w:p>
        </w:tc>
        <w:tc>
          <w:tcPr>
            <w:tcW w:type="dxa" w:w="1174"/>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531024</w:t>
            </w:r>
          </w:p>
        </w:tc>
      </w:tr>
      <w:tr w:rsidTr="0079039B" w:rsidR="00B873B9" w:rsidRPr="00B873B9">
        <w:trPr>
          <w:trHeight w:val="227"/>
        </w:trPr>
        <w:tc>
          <w:tcPr>
            <w:tcW w:type="dxa" w:w="5807"/>
            <w:shd w:fill="auto" w:color="auto" w:val="clear"/>
            <w:noWrap/>
            <w:vAlign w:val="bottom"/>
            <w:hideMark/>
          </w:tcPr>
          <w:p w:rsidRDefault="00B873B9" w:rsidP="00B873B9" w:rsidR="00B873B9" w:rsidRPr="00B873B9">
            <w:pPr>
              <w:spacing w:lineRule="auto" w:line="240" w:after="0"/>
              <w:rPr>
                <w:rFonts w:cs="Tahoma" w:eastAsia="Times New Roman" w:hAnsi="Tahoma" w:ascii="Tahoma"/>
                <w:bCs/>
                <w:sz w:val="18"/>
                <w:szCs w:val="18"/>
                <w:lang w:eastAsia="hr-HR"/>
              </w:rPr>
            </w:pPr>
            <w:r w:rsidRPr="00B873B9">
              <w:rPr>
                <w:rFonts w:cs="Tahoma" w:eastAsia="Times New Roman" w:hAnsi="Tahoma" w:ascii="Tahoma"/>
                <w:bCs/>
                <w:sz w:val="18"/>
                <w:szCs w:val="18"/>
                <w:lang w:eastAsia="hr-HR"/>
              </w:rPr>
              <w:lastRenderedPageBreak/>
              <w:t>VLASTITI KAPITAL I PRIČUVE</w:t>
            </w:r>
          </w:p>
        </w:tc>
        <w:tc>
          <w:tcPr>
            <w:tcW w:type="dxa" w:w="99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957589</w:t>
            </w:r>
          </w:p>
        </w:tc>
        <w:tc>
          <w:tcPr>
            <w:tcW w:type="dxa" w:w="993"/>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-1765248</w:t>
            </w:r>
          </w:p>
        </w:tc>
        <w:tc>
          <w:tcPr>
            <w:tcW w:type="dxa" w:w="1174"/>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-1806335</w:t>
            </w:r>
          </w:p>
        </w:tc>
      </w:tr>
      <w:tr w:rsidTr="0079039B" w:rsidR="00B873B9" w:rsidRPr="00B873B9">
        <w:trPr>
          <w:trHeight w:val="227"/>
        </w:trPr>
        <w:tc>
          <w:tcPr>
            <w:tcW w:type="dxa" w:w="5807"/>
            <w:shd w:fill="auto" w:color="auto" w:val="clear"/>
            <w:noWrap/>
            <w:vAlign w:val="bottom"/>
            <w:hideMark/>
          </w:tcPr>
          <w:p w:rsidRDefault="00B873B9" w:rsidP="00B873B9" w:rsidR="00B873B9" w:rsidRPr="00B873B9">
            <w:pPr>
              <w:spacing w:lineRule="auto" w:line="240" w:after="0"/>
              <w:rPr>
                <w:rFonts w:cs="Tahoma" w:eastAsia="Times New Roman" w:hAnsi="Tahoma" w:ascii="Tahoma"/>
                <w:bCs/>
                <w:sz w:val="18"/>
                <w:szCs w:val="18"/>
                <w:lang w:eastAsia="hr-HR"/>
              </w:rPr>
            </w:pPr>
            <w:r w:rsidRPr="00B873B9">
              <w:rPr>
                <w:rFonts w:cs="Tahoma" w:eastAsia="Times New Roman" w:hAnsi="Tahoma" w:ascii="Tahoma"/>
                <w:bCs/>
                <w:sz w:val="18"/>
                <w:szCs w:val="18"/>
                <w:lang w:eastAsia="hr-HR"/>
              </w:rPr>
              <w:t>OBVEZE</w:t>
            </w:r>
          </w:p>
        </w:tc>
        <w:tc>
          <w:tcPr>
            <w:tcW w:type="dxa" w:w="99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3819706</w:t>
            </w:r>
          </w:p>
        </w:tc>
        <w:tc>
          <w:tcPr>
            <w:tcW w:type="dxa" w:w="993"/>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2337359</w:t>
            </w:r>
          </w:p>
        </w:tc>
        <w:tc>
          <w:tcPr>
            <w:tcW w:type="dxa" w:w="1174"/>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2337359</w:t>
            </w:r>
          </w:p>
        </w:tc>
      </w:tr>
      <w:tr w:rsidTr="0079039B" w:rsidR="00B873B9" w:rsidRPr="00B873B9">
        <w:trPr>
          <w:trHeight w:val="227"/>
        </w:trPr>
        <w:tc>
          <w:tcPr>
            <w:tcW w:type="dxa" w:w="5807"/>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PREZADUŽENOST</w:t>
            </w:r>
          </w:p>
        </w:tc>
        <w:tc>
          <w:tcPr>
            <w:tcW w:type="dxa" w:w="992"/>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NE</w:t>
            </w:r>
          </w:p>
        </w:tc>
        <w:tc>
          <w:tcPr>
            <w:tcW w:type="dxa" w:w="993"/>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DA</w:t>
            </w:r>
          </w:p>
        </w:tc>
        <w:tc>
          <w:tcPr>
            <w:tcW w:type="dxa" w:w="1174"/>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DA</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Dužnik je prezadužen jer su obveze na dan otvaranja stečaja veće od imovine.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r w:rsidRPr="00B873B9">
        <w:rPr>
          <w:rFonts w:cs="Tahoma" w:eastAsia="Times New Roman" w:hAnsi="Tahoma" w:ascii="Tahoma"/>
          <w:sz w:val="20"/>
          <w:szCs w:val="20"/>
          <w:lang w:eastAsia="hr-HR"/>
        </w:rPr>
        <w:t>Temeljem ovih pokazatelja razvidno je da su ispunjeni stečajni razlozi za otvaranje stečajnog postupka temeljem čl. 6 SZ (NN 71/15, 104/17) , nesposobnost za plaćanje-insolventnost i čl.7 SZ (NN 71/15, 104/17), prezaduženost.</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091"/>
        <w:gridCol w:w="1066"/>
        <w:gridCol w:w="849"/>
        <w:gridCol w:w="1186"/>
      </w:tblGrid>
      <w:tr w:rsidTr="0079039B" w:rsidR="00B873B9" w:rsidRPr="00B873B9">
        <w:trPr>
          <w:trHeight w:val="227"/>
        </w:trPr>
        <w:tc>
          <w:tcPr>
            <w:tcW w:type="dxa" w:w="5942"/>
            <w:shd w:fill="DDD9C4" w:color="000000" w:val="clear"/>
            <w:noWrap/>
            <w:vAlign w:val="bottom"/>
            <w:hideMark/>
          </w:tcPr>
          <w:p w:rsidRDefault="00B873B9" w:rsidP="00B873B9" w:rsidR="00B873B9" w:rsidRPr="00B873B9">
            <w:pPr>
              <w:spacing w:lineRule="auto" w:line="240" w:after="0"/>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ALTMANOV Z-FAKTOR  / Godina</w:t>
            </w:r>
          </w:p>
        </w:tc>
        <w:tc>
          <w:tcPr>
            <w:tcW w:type="dxa" w:w="1040"/>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2015</w:t>
            </w:r>
          </w:p>
        </w:tc>
        <w:tc>
          <w:tcPr>
            <w:tcW w:type="dxa" w:w="827"/>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2016</w:t>
            </w:r>
          </w:p>
        </w:tc>
        <w:tc>
          <w:tcPr>
            <w:tcW w:type="dxa" w:w="1157"/>
            <w:shd w:fill="DDD9C4" w:color="000000" w:val="clear"/>
            <w:vAlign w:val="center"/>
            <w:hideMark/>
          </w:tcPr>
          <w:p w:rsidRDefault="00B873B9" w:rsidP="00B873B9" w:rsidR="00B873B9" w:rsidRPr="00B873B9">
            <w:pPr>
              <w:spacing w:lineRule="auto" w:line="240" w:after="0"/>
              <w:jc w:val="center"/>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07.12.17.</w:t>
            </w:r>
          </w:p>
        </w:tc>
      </w:tr>
      <w:tr w:rsidTr="0079039B" w:rsidR="00B873B9" w:rsidRPr="00B873B9">
        <w:trPr>
          <w:trHeight w:val="227"/>
        </w:trPr>
        <w:tc>
          <w:tcPr>
            <w:tcW w:type="dxa" w:w="5942"/>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r w:rsidRPr="00B873B9">
              <w:rPr>
                <w:rFonts w:cs="Tahoma" w:eastAsia="Times New Roman" w:hAnsi="Tahoma" w:ascii="Tahoma"/>
                <w:sz w:val="18"/>
                <w:szCs w:val="18"/>
                <w:lang w:eastAsia="hr-HR"/>
              </w:rPr>
              <w:t>Veličina Z-faktora</w:t>
            </w:r>
          </w:p>
        </w:tc>
        <w:tc>
          <w:tcPr>
            <w:tcW w:type="dxa" w:w="1040"/>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6,35</w:t>
            </w:r>
          </w:p>
        </w:tc>
        <w:tc>
          <w:tcPr>
            <w:tcW w:type="dxa" w:w="827"/>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-47,92</w:t>
            </w:r>
          </w:p>
        </w:tc>
        <w:tc>
          <w:tcPr>
            <w:tcW w:type="dxa" w:w="1157"/>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sz w:val="18"/>
                <w:szCs w:val="18"/>
                <w:lang w:eastAsia="hr-HR"/>
              </w:rPr>
            </w:pPr>
            <w:r w:rsidRPr="00B873B9">
              <w:rPr>
                <w:rFonts w:cs="Tahoma" w:eastAsia="Times New Roman" w:hAnsi="Tahoma" w:ascii="Tahoma"/>
                <w:b/>
                <w:bCs/>
                <w:sz w:val="18"/>
                <w:szCs w:val="18"/>
                <w:lang w:eastAsia="hr-HR"/>
              </w:rPr>
              <w:t>-17,85</w:t>
            </w:r>
          </w:p>
        </w:tc>
      </w:tr>
      <w:tr w:rsidTr="0079039B" w:rsidR="00B873B9" w:rsidRPr="00B873B9">
        <w:trPr>
          <w:trHeight w:val="227"/>
        </w:trPr>
        <w:tc>
          <w:tcPr>
            <w:tcW w:type="dxa" w:w="5942"/>
            <w:shd w:fill="auto" w:color="auto" w:val="clear"/>
            <w:noWrap/>
            <w:vAlign w:val="bottom"/>
            <w:hideMark/>
          </w:tcPr>
          <w:p w:rsidRDefault="00B873B9" w:rsidP="00B873B9" w:rsidR="00B873B9" w:rsidRPr="00B873B9">
            <w:pPr>
              <w:spacing w:lineRule="auto" w:line="240" w:after="0"/>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poželjna veličina VEĆE ILI JEDNAKO 4,35</w:t>
            </w:r>
          </w:p>
        </w:tc>
        <w:tc>
          <w:tcPr>
            <w:tcW w:type="dxa" w:w="1040"/>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&gt;=4,35</w:t>
            </w:r>
          </w:p>
        </w:tc>
        <w:tc>
          <w:tcPr>
            <w:tcW w:type="dxa" w:w="827"/>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&gt;=4,35</w:t>
            </w:r>
          </w:p>
        </w:tc>
        <w:tc>
          <w:tcPr>
            <w:tcW w:type="dxa" w:w="1157"/>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i/>
                <w:iCs/>
                <w:sz w:val="18"/>
                <w:szCs w:val="18"/>
                <w:lang w:eastAsia="hr-HR"/>
              </w:rPr>
            </w:pPr>
            <w:r w:rsidRPr="00B873B9">
              <w:rPr>
                <w:rFonts w:cs="Tahoma" w:eastAsia="Times New Roman" w:hAnsi="Tahoma" w:ascii="Tahoma"/>
                <w:i/>
                <w:iCs/>
                <w:sz w:val="18"/>
                <w:szCs w:val="18"/>
                <w:lang w:eastAsia="hr-HR"/>
              </w:rPr>
              <w:t>&gt;=4,35</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roofErr w:type="spellStart"/>
      <w:r w:rsidRPr="00B873B9">
        <w:rPr>
          <w:rFonts w:cs="Tahoma" w:eastAsia="Times New Roman" w:hAnsi="Tahoma" w:ascii="Tahoma"/>
          <w:sz w:val="20"/>
          <w:szCs w:val="20"/>
          <w:lang w:eastAsia="hr-HR"/>
        </w:rPr>
        <w:t>Altmanov</w:t>
      </w:r>
      <w:proofErr w:type="spellEnd"/>
      <w:r w:rsidRPr="00B873B9">
        <w:rPr>
          <w:rFonts w:cs="Tahoma" w:eastAsia="Times New Roman" w:hAnsi="Tahoma" w:ascii="Tahoma"/>
          <w:sz w:val="20"/>
          <w:szCs w:val="20"/>
          <w:lang w:eastAsia="hr-HR"/>
        </w:rPr>
        <w:t xml:space="preserve"> Z-faktor ili koeficijent stečaja pokazuje da je dužnik od 2016 godine u zoni bankrota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MIŠLJENJE O MOGUĆNOSTI NASTAVKA POSLOVANJA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Stečajni upravitelj na temelju knjigovodstvene dokumentacije i stanju obrtnih sredstava (novac, potraživanja, zalihe), kao i obzirom na činjenicu da je dužnik ostao bez tehnološke osnovice prodajom osnovnih sredstava za izradu kožne galanterije, zaliha sirovina i gotovih proizvoda društvu SAN PETER TRADE d.o.o., izražava mišljenje da dužnik nema izgleda za nastavak poslovanja.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lang w:eastAsia="hr-HR"/>
        </w:rPr>
      </w:pPr>
      <w:r w:rsidRPr="00B873B9">
        <w:rPr>
          <w:rFonts w:cs="Tahoma" w:eastAsia="Times New Roman" w:hAnsi="Tahoma" w:ascii="Tahoma"/>
          <w:b/>
          <w:lang w:eastAsia="hr-HR"/>
        </w:rPr>
        <w:t>STANJE STEČAJNE MASE – IMOVINA I OBVEZE ZA VRIJEME TRAJANJA STEČAJNOG  POSTUPKA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 xml:space="preserve">IMOVINA STEČAJNOG DUŽNIKA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Prema knjigovodstvenoj dokumentaciji i objavljenim financijskim izvješćima, obavljenom popisu imovine, te </w:t>
      </w:r>
      <w:proofErr w:type="spellStart"/>
      <w:r w:rsidRPr="00B873B9">
        <w:rPr>
          <w:rFonts w:cs="Tahoma" w:eastAsia="Times New Roman" w:hAnsi="Tahoma" w:ascii="Tahoma"/>
          <w:sz w:val="20"/>
          <w:szCs w:val="20"/>
          <w:lang w:eastAsia="hr-HR"/>
        </w:rPr>
        <w:t>prokaznog</w:t>
      </w:r>
      <w:proofErr w:type="spellEnd"/>
      <w:r w:rsidRPr="00B873B9">
        <w:rPr>
          <w:rFonts w:cs="Tahoma" w:eastAsia="Times New Roman" w:hAnsi="Tahoma" w:ascii="Tahoma"/>
          <w:sz w:val="20"/>
          <w:szCs w:val="20"/>
          <w:lang w:eastAsia="hr-HR"/>
        </w:rPr>
        <w:t xml:space="preserve"> popisa imovine zakonskog zastupnika dužnik posjeduje slijedeću imovinu:</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2"/>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MATERIJALNA IMOVINA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p>
    <w:p w:rsidRDefault="00B873B9" w:rsidP="00B873B9" w:rsidR="00B873B9" w:rsidRPr="00B873B9">
      <w:pPr>
        <w:numPr>
          <w:ilvl w:val="3"/>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Pokretnine</w:t>
      </w:r>
    </w:p>
    <w:p w:rsidRDefault="00B873B9" w:rsidP="00B873B9" w:rsidR="00B873B9" w:rsidRPr="00B873B9">
      <w:pPr>
        <w:overflowPunct w:val="false"/>
        <w:autoSpaceDE w:val="false"/>
        <w:autoSpaceDN w:val="false"/>
        <w:adjustRightInd w:val="false"/>
        <w:spacing w:lineRule="auto" w:line="240" w:after="0"/>
        <w:ind w:left="108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sz w:val="20"/>
          <w:szCs w:val="20"/>
          <w:lang w:eastAsia="hr-HR"/>
        </w:rPr>
        <w:t>Popis pokretnina u vlasništvu dužnika SAN PETER d.o.o. u stečaju:</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27"/>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color w:val="000000"/>
          <w:sz w:val="18"/>
          <w:szCs w:val="18"/>
          <w:lang w:eastAsia="hr-HR"/>
        </w:rPr>
      </w:pPr>
      <w:proofErr w:type="spellStart"/>
      <w:r w:rsidRPr="00B873B9">
        <w:rPr>
          <w:rFonts w:cs="Tahoma" w:eastAsia="Times New Roman" w:hAnsi="Tahoma" w:ascii="Tahoma"/>
          <w:color w:val="000000"/>
          <w:sz w:val="18"/>
          <w:szCs w:val="18"/>
          <w:lang w:eastAsia="hr-HR" w:val="en-GB"/>
        </w:rPr>
        <w:t>Teretni</w:t>
      </w:r>
      <w:proofErr w:type="spellEnd"/>
      <w:r w:rsidRPr="00B873B9">
        <w:rPr>
          <w:rFonts w:cs="Tahoma" w:eastAsia="Times New Roman" w:hAnsi="Tahoma" w:ascii="Tahoma"/>
          <w:color w:val="000000"/>
          <w:sz w:val="18"/>
          <w:szCs w:val="18"/>
          <w:lang w:eastAsia="hr-HR" w:val="en-GB"/>
        </w:rPr>
        <w:t xml:space="preserve"> </w:t>
      </w:r>
      <w:proofErr w:type="spellStart"/>
      <w:r w:rsidRPr="00B873B9">
        <w:rPr>
          <w:rFonts w:cs="Tahoma" w:eastAsia="Times New Roman" w:hAnsi="Tahoma" w:ascii="Tahoma"/>
          <w:color w:val="000000"/>
          <w:sz w:val="18"/>
          <w:szCs w:val="18"/>
          <w:lang w:eastAsia="hr-HR" w:val="en-GB"/>
        </w:rPr>
        <w:t>automobil</w:t>
      </w:r>
      <w:proofErr w:type="spellEnd"/>
      <w:r w:rsidRPr="00B873B9">
        <w:rPr>
          <w:rFonts w:cs="Tahoma" w:eastAsia="Times New Roman" w:hAnsi="Tahoma" w:ascii="Tahoma"/>
          <w:color w:val="000000"/>
          <w:sz w:val="18"/>
          <w:szCs w:val="18"/>
          <w:lang w:eastAsia="hr-HR" w:val="en-GB"/>
        </w:rPr>
        <w:t xml:space="preserve"> Volkswagen 1,9 TDI transporter, VŽ260FF, šasija:WV1ZZZ7HZ5H082934</w:t>
      </w:r>
    </w:p>
    <w:p w:rsidRDefault="00B873B9" w:rsidP="00B873B9" w:rsidR="00B873B9" w:rsidRPr="00B873B9">
      <w:pPr>
        <w:numPr>
          <w:ilvl w:val="0"/>
          <w:numId w:val="27"/>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color w:val="000000"/>
          <w:sz w:val="18"/>
          <w:szCs w:val="18"/>
          <w:lang w:eastAsia="hr-HR"/>
        </w:rPr>
      </w:pPr>
      <w:proofErr w:type="spellStart"/>
      <w:r w:rsidRPr="00B873B9">
        <w:rPr>
          <w:rFonts w:cs="Tahoma" w:eastAsia="Times New Roman" w:hAnsi="Tahoma" w:ascii="Tahoma"/>
          <w:color w:val="000000"/>
          <w:sz w:val="18"/>
          <w:szCs w:val="18"/>
          <w:lang w:eastAsia="hr-HR" w:val="en-GB"/>
        </w:rPr>
        <w:t>Osobni</w:t>
      </w:r>
      <w:proofErr w:type="spellEnd"/>
      <w:r w:rsidRPr="00B873B9">
        <w:rPr>
          <w:rFonts w:cs="Tahoma" w:eastAsia="Times New Roman" w:hAnsi="Tahoma" w:ascii="Tahoma"/>
          <w:color w:val="000000"/>
          <w:sz w:val="18"/>
          <w:szCs w:val="18"/>
          <w:lang w:eastAsia="hr-HR" w:val="en-GB"/>
        </w:rPr>
        <w:t xml:space="preserve"> </w:t>
      </w:r>
      <w:proofErr w:type="spellStart"/>
      <w:r w:rsidRPr="00B873B9">
        <w:rPr>
          <w:rFonts w:cs="Tahoma" w:eastAsia="Times New Roman" w:hAnsi="Tahoma" w:ascii="Tahoma"/>
          <w:color w:val="000000"/>
          <w:sz w:val="18"/>
          <w:szCs w:val="18"/>
          <w:lang w:eastAsia="hr-HR" w:val="en-GB"/>
        </w:rPr>
        <w:t>automobil</w:t>
      </w:r>
      <w:proofErr w:type="spellEnd"/>
      <w:r w:rsidRPr="00B873B9">
        <w:rPr>
          <w:rFonts w:cs="Tahoma" w:eastAsia="Times New Roman" w:hAnsi="Tahoma" w:ascii="Tahoma"/>
          <w:color w:val="000000"/>
          <w:sz w:val="18"/>
          <w:szCs w:val="18"/>
          <w:lang w:eastAsia="hr-HR" w:val="en-GB"/>
        </w:rPr>
        <w:t xml:space="preserve"> Volkswagen V6 TDI Phaeton, VŽ7777LA, šasija:WVWZZZ3DZ58005416</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Procijenjena vrijednost po </w:t>
      </w:r>
      <w:proofErr w:type="spellStart"/>
      <w:r w:rsidRPr="00B873B9">
        <w:rPr>
          <w:rFonts w:cs="Tahoma" w:eastAsia="Times New Roman" w:hAnsi="Tahoma" w:ascii="Tahoma"/>
          <w:sz w:val="20"/>
          <w:szCs w:val="20"/>
          <w:lang w:eastAsia="hr-HR"/>
        </w:rPr>
        <w:t>Pljenidbenom</w:t>
      </w:r>
      <w:proofErr w:type="spellEnd"/>
      <w:r w:rsidRPr="00B873B9">
        <w:rPr>
          <w:rFonts w:cs="Tahoma" w:eastAsia="Times New Roman" w:hAnsi="Tahoma" w:ascii="Tahoma"/>
          <w:sz w:val="20"/>
          <w:szCs w:val="20"/>
          <w:lang w:eastAsia="hr-HR"/>
        </w:rPr>
        <w:t xml:space="preserve"> zapisniku Porezne uprave od  09.svibnja 2014. pokretnine pod rednim brojem 1. je 50.000,00 kuna, a za pokretninu pod rednim brojem 2. je 120.000,00 kuna, ukupno 170.000,00 kuna. Knjigovodstvena vrijednost pokretnina je  tijekom 2017 godine knjiženjem ispravka vrijednosti svedena na nulu. Primjenjujući propisanu godišnju stopu amortizacije od 25% za automobile za vrijeme nakon utvrđene vrijednosti </w:t>
      </w:r>
      <w:proofErr w:type="spellStart"/>
      <w:r w:rsidRPr="00B873B9">
        <w:rPr>
          <w:rFonts w:cs="Tahoma" w:eastAsia="Times New Roman" w:hAnsi="Tahoma" w:ascii="Tahoma"/>
          <w:sz w:val="20"/>
          <w:szCs w:val="20"/>
          <w:lang w:eastAsia="hr-HR"/>
        </w:rPr>
        <w:t>Pljenidbenim</w:t>
      </w:r>
      <w:proofErr w:type="spellEnd"/>
      <w:r w:rsidRPr="00B873B9">
        <w:rPr>
          <w:rFonts w:cs="Tahoma" w:eastAsia="Times New Roman" w:hAnsi="Tahoma" w:ascii="Tahoma"/>
          <w:sz w:val="20"/>
          <w:szCs w:val="20"/>
          <w:lang w:eastAsia="hr-HR"/>
        </w:rPr>
        <w:t xml:space="preserve"> zapisnikom  mišljenja sam da je realna vrijednosti pokretnine pod rednim brojem 1. na dan otvaranja stečajnog postupka  21.094,00 kuna, pokretnine pod rednim brojem 2. na dan otvaranja stečajnog postupka 50.625,00 kuna, ukupno 71.719,00 kuna.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2"/>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POTRAŽIVANJA</w:t>
      </w:r>
    </w:p>
    <w:p w:rsidRDefault="00B873B9" w:rsidP="00B873B9" w:rsidR="00B873B9" w:rsidRPr="00B873B9">
      <w:pPr>
        <w:overflowPunct w:val="false"/>
        <w:autoSpaceDE w:val="false"/>
        <w:autoSpaceDN w:val="false"/>
        <w:adjustRightInd w:val="false"/>
        <w:spacing w:lineRule="auto" w:line="240" w:after="0"/>
        <w:ind w:left="1224"/>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Potraživanja predstavljaju potencijalnu imovinu dužnika jer postaju imovina u trenutku kada se naplate. Dužnik na dan koji prethodi danu otvaranja stečaja u poslovnim knjigama ima iskazana </w:t>
      </w:r>
      <w:r w:rsidRPr="00B873B9">
        <w:rPr>
          <w:rFonts w:cs="Tahoma" w:eastAsia="Times New Roman" w:hAnsi="Tahoma" w:ascii="Tahoma"/>
          <w:sz w:val="20"/>
          <w:szCs w:val="20"/>
          <w:lang w:eastAsia="hr-HR"/>
        </w:rPr>
        <w:lastRenderedPageBreak/>
        <w:t xml:space="preserve">potraživanja u iznosu od 531.024,00 </w:t>
      </w:r>
      <w:r w:rsidRPr="00B873B9">
        <w:rPr>
          <w:rFonts w:cs="Tahoma" w:eastAsia="Times New Roman" w:hAnsi="Tahoma" w:ascii="Tahoma"/>
          <w:color w:val="FF0000"/>
          <w:sz w:val="20"/>
          <w:szCs w:val="20"/>
          <w:lang w:eastAsia="hr-HR"/>
        </w:rPr>
        <w:t xml:space="preserve"> </w:t>
      </w:r>
      <w:r w:rsidRPr="00B873B9">
        <w:rPr>
          <w:rFonts w:cs="Tahoma" w:eastAsia="Times New Roman" w:hAnsi="Tahoma" w:ascii="Tahoma"/>
          <w:sz w:val="20"/>
          <w:szCs w:val="20"/>
          <w:lang w:eastAsia="hr-HR"/>
        </w:rPr>
        <w:t xml:space="preserve">kuna. Potraživanja su nenaplativa u iznosu od 471.734,66 kuna zbog zastare, a potencijalno je naplativo 59.289,34 kuna.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Ukupna vrijednost imovine stečajnog dužnika iznosi 131.008,34 kuna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Dužnik ne posjeduje drugu imovinu koja bi prema računovodstvenim propisima činila poziciju imovine u bilanci: </w:t>
      </w:r>
    </w:p>
    <w:p w:rsidRDefault="00B873B9" w:rsidP="00B873B9" w:rsidR="00B873B9" w:rsidRPr="00B873B9">
      <w:pPr>
        <w:numPr>
          <w:ilvl w:val="0"/>
          <w:numId w:val="3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Nematerijalnu imovinu (patenti, predujmovi za nematerijalnu imovinu, licencije, robne marke itd.).</w:t>
      </w:r>
    </w:p>
    <w:p w:rsidRDefault="00B873B9" w:rsidP="00B873B9" w:rsidR="00B873B9" w:rsidRPr="00B873B9">
      <w:pPr>
        <w:numPr>
          <w:ilvl w:val="0"/>
          <w:numId w:val="29"/>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Nekretnine</w:t>
      </w:r>
    </w:p>
    <w:p w:rsidRDefault="00B873B9" w:rsidP="00B873B9" w:rsidR="00B873B9" w:rsidRPr="00B873B9">
      <w:pPr>
        <w:numPr>
          <w:ilvl w:val="0"/>
          <w:numId w:val="2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Financijsku imovinu (udjeli, dionice i ostali vrijednosni papiri, dani zajmovi itd.),</w:t>
      </w:r>
    </w:p>
    <w:p w:rsidRDefault="00B873B9" w:rsidP="00B873B9" w:rsidR="00B873B9" w:rsidRPr="00B873B9">
      <w:pPr>
        <w:numPr>
          <w:ilvl w:val="0"/>
          <w:numId w:val="2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Zalihe </w:t>
      </w:r>
    </w:p>
    <w:p w:rsidRDefault="00B873B9" w:rsidP="00B873B9" w:rsidR="00B873B9" w:rsidRPr="00B873B9">
      <w:pPr>
        <w:numPr>
          <w:ilvl w:val="0"/>
          <w:numId w:val="28"/>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Novac u banci i blagajni</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ind w:firstLine="720"/>
        <w:jc w:val="both"/>
        <w:textAlignment w:val="baseline"/>
        <w:rPr>
          <w:rFonts w:cs="Tahoma" w:eastAsia="Times New Roman" w:hAnsi="Tahoma" w:ascii="Tahoma"/>
          <w:sz w:val="20"/>
          <w:szCs w:val="20"/>
          <w:lang w:eastAsia="hr-HR"/>
        </w:rPr>
      </w:pPr>
      <w:r w:rsidRPr="00B873B9">
        <w:rPr>
          <w:rFonts w:cs="Tahoma" w:eastAsia="Times New Roman" w:hAnsi="Tahoma" w:ascii="Tahoma"/>
          <w:b/>
          <w:sz w:val="20"/>
          <w:szCs w:val="20"/>
          <w:lang w:eastAsia="hr-HR"/>
        </w:rPr>
        <w:t>5.1.3. POTENCIJALNA IMOVINA</w:t>
      </w:r>
    </w:p>
    <w:p w:rsidRDefault="00B873B9" w:rsidP="00B873B9" w:rsidR="00B873B9" w:rsidRPr="00B873B9">
      <w:pPr>
        <w:overflowPunct w:val="false"/>
        <w:autoSpaceDE w:val="false"/>
        <w:autoSpaceDN w:val="false"/>
        <w:adjustRightInd w:val="false"/>
        <w:spacing w:lineRule="auto" w:line="240" w:after="0"/>
        <w:ind w:hanging="131" w:left="851"/>
        <w:jc w:val="both"/>
        <w:textAlignment w:val="baseline"/>
        <w:rPr>
          <w:rFonts w:cs="Tahoma" w:eastAsia="Times New Roman" w:hAnsi="Tahoma" w:ascii="Tahoma"/>
          <w:color w:val="FF0000"/>
          <w:sz w:val="20"/>
          <w:szCs w:val="20"/>
          <w:lang w:eastAsia="hr-HR"/>
        </w:rPr>
      </w:pPr>
    </w:p>
    <w:p w:rsidRDefault="00B873B9" w:rsidP="00B873B9" w:rsidR="00B873B9" w:rsidRPr="00B873B9">
      <w:pPr>
        <w:tabs>
          <w:tab w:pos="7655" w:val="left"/>
        </w:tabs>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Dužnik je u vremenu od 01. srpnja 2016 do 08. kolovoza 2016 godine prodao imovinu koju čine osnovna sredstva: strojevi za izradu kožne galanterije, oprema, osobni automobili, zalihe gotove robe prema prodajnoj vrijednosti od 1.374.672,90 kuna društvu SAN PETER TRADE d.o.o.. U tom vremenu zakonski zastupnik i jedini osnivač dužnika kao i kupca  bio je gospodin Alen </w:t>
      </w:r>
      <w:proofErr w:type="spellStart"/>
      <w:r w:rsidRPr="00B873B9">
        <w:rPr>
          <w:rFonts w:cs="Tahoma" w:eastAsia="Times New Roman" w:hAnsi="Tahoma" w:ascii="Tahoma"/>
          <w:sz w:val="20"/>
          <w:szCs w:val="20"/>
          <w:lang w:eastAsia="hr-HR"/>
        </w:rPr>
        <w:t>Ledinko</w:t>
      </w:r>
      <w:proofErr w:type="spellEnd"/>
      <w:r w:rsidRPr="00B873B9">
        <w:rPr>
          <w:rFonts w:cs="Tahoma" w:eastAsia="Times New Roman" w:hAnsi="Tahoma" w:ascii="Tahoma"/>
          <w:sz w:val="20"/>
          <w:szCs w:val="20"/>
          <w:lang w:eastAsia="hr-HR"/>
        </w:rPr>
        <w:t xml:space="preserve">, OIB:02957266693, Sveti Petar, </w:t>
      </w:r>
      <w:proofErr w:type="spellStart"/>
      <w:r w:rsidRPr="00B873B9">
        <w:rPr>
          <w:rFonts w:cs="Tahoma" w:eastAsia="Times New Roman" w:hAnsi="Tahoma" w:ascii="Tahoma"/>
          <w:sz w:val="20"/>
          <w:szCs w:val="20"/>
          <w:lang w:eastAsia="hr-HR"/>
        </w:rPr>
        <w:t>Harambašina</w:t>
      </w:r>
      <w:proofErr w:type="spellEnd"/>
      <w:r w:rsidRPr="00B873B9">
        <w:rPr>
          <w:rFonts w:cs="Tahoma" w:eastAsia="Times New Roman" w:hAnsi="Tahoma" w:ascii="Tahoma"/>
          <w:sz w:val="20"/>
          <w:szCs w:val="20"/>
          <w:lang w:eastAsia="hr-HR"/>
        </w:rPr>
        <w:t xml:space="preserve"> 41. Za dužnika je dana 26.svibnja 2015. godine odobreno sklapanje </w:t>
      </w:r>
      <w:proofErr w:type="spellStart"/>
      <w:r w:rsidRPr="00B873B9">
        <w:rPr>
          <w:rFonts w:cs="Tahoma" w:eastAsia="Times New Roman" w:hAnsi="Tahoma" w:ascii="Tahoma"/>
          <w:sz w:val="20"/>
          <w:szCs w:val="20"/>
          <w:lang w:eastAsia="hr-HR"/>
        </w:rPr>
        <w:t>predstečajne</w:t>
      </w:r>
      <w:proofErr w:type="spellEnd"/>
      <w:r w:rsidRPr="00B873B9">
        <w:rPr>
          <w:rFonts w:cs="Tahoma" w:eastAsia="Times New Roman" w:hAnsi="Tahoma" w:ascii="Tahoma"/>
          <w:sz w:val="20"/>
          <w:szCs w:val="20"/>
          <w:lang w:eastAsia="hr-HR"/>
        </w:rPr>
        <w:t xml:space="preserve"> nagodbe što dokazuje da je dužnik duže vrijeme u gospodarskim poteškoćama. Smatram da je prodajom osnovnih sredstava koji čine tehnološku osnovicu proizvodnje, nakon čega je gospodarska aktivnost dužnika prestala, kao i dijela zaliha gotovih proizvoda društvu kojem je vlasnik ista osoba dovelo do oštećenja vjerovnika. Nakon dobivanja suglasnosti suda potrebno je pokrenuti parnicu za pobijanje spomenute pravne radnje dužnika.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1"/>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OBVEZE STEČAJNOG DUŽNIKA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72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5.2.1. PREDVIDIVE OBVEZE TIJEKOM TRAJANJA STEČAJNOG POSTUPKA</w:t>
      </w:r>
    </w:p>
    <w:tbl>
      <w:tblPr>
        <w:tblW w:type="pct" w:w="5000"/>
        <w:tblLook w:val="04A0" w:noVBand="1" w:noHBand="0" w:lastColumn="0" w:firstColumn="1" w:lastRow="0" w:firstRow="1"/>
      </w:tblPr>
      <w:tblGrid>
        <w:gridCol w:w="6892"/>
        <w:gridCol w:w="2300"/>
      </w:tblGrid>
      <w:tr w:rsidTr="0079039B" w:rsidR="00B873B9" w:rsidRPr="00B873B9">
        <w:trPr>
          <w:trHeight w:val="227"/>
        </w:trPr>
        <w:tc>
          <w:tcPr>
            <w:tcW w:type="dxa" w:w="6730"/>
            <w:tcBorders>
              <w:top w:val="nil"/>
              <w:left w:val="nil"/>
              <w:bottom w:space="0" w:sz="4" w:color="auto" w:val="single"/>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c>
          <w:tcPr>
            <w:tcW w:type="dxa" w:w="2246"/>
            <w:tcBorders>
              <w:top w:val="nil"/>
              <w:left w:val="nil"/>
              <w:bottom w:val="nil"/>
              <w:right w:val="nil"/>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sz w:val="18"/>
                <w:szCs w:val="18"/>
                <w:lang w:eastAsia="hr-HR"/>
              </w:rPr>
            </w:pP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themeFillShade="E6" w:themeFill="background2" w:fill="DDD9C3" w:color="auto" w:val="clear"/>
            <w:noWrap/>
            <w:vAlign w:val="center"/>
            <w:hideMark/>
          </w:tcPr>
          <w:p w:rsidRDefault="00B873B9" w:rsidP="00B873B9" w:rsidR="00B873B9" w:rsidRPr="00B873B9">
            <w:pPr>
              <w:spacing w:lineRule="auto" w:line="240" w:after="0"/>
              <w:jc w:val="center"/>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OPIS</w:t>
            </w:r>
          </w:p>
        </w:tc>
        <w:tc>
          <w:tcPr>
            <w:tcW w:type="dxa" w:w="2246"/>
            <w:tcBorders>
              <w:top w:space="0" w:sz="4" w:color="auto" w:val="single"/>
              <w:left w:val="nil"/>
              <w:bottom w:space="0" w:sz="4" w:color="auto" w:val="single"/>
              <w:right w:space="0" w:sz="4" w:color="auto" w:val="single"/>
            </w:tcBorders>
            <w:shd w:themeFillShade="E6" w:themeFill="background2" w:fill="DDD9C3" w:color="auto" w:val="clear"/>
            <w:vAlign w:val="center"/>
            <w:hideMark/>
          </w:tcPr>
          <w:p w:rsidRDefault="00B873B9" w:rsidP="00B873B9" w:rsidR="00B873B9" w:rsidRPr="00B873B9">
            <w:pPr>
              <w:spacing w:lineRule="auto" w:line="240" w:after="0"/>
              <w:jc w:val="center"/>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IZNOS U KUNAMA</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TROŠKOVI STEČAJNOG POSTUPKA</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14.000,00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nagrada stečajnom upravitelju (bruto)</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12.000,00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izdaci stečajnog upravitelja (bruto)</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OSTALE OBVEZE STEČAJNE MASE</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14.000,00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vAlign w:val="bottom"/>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materijalni troškovi (pečat, poštarina, platni promet, uredski i potrošni materijal i sl.)</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2.000,00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naknada za obavljanje knjigovodstvenih poslova</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9.000,00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troškovi oglašavanja</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1.000,00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ostale obveze stečajne mase (komunalni troškovi, arhiviranje…)</w:t>
            </w:r>
          </w:p>
        </w:tc>
        <w:tc>
          <w:tcPr>
            <w:tcW w:type="dxa" w:w="2246"/>
            <w:tcBorders>
              <w:top w:val="nil"/>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2.000,00</w:t>
            </w:r>
          </w:p>
        </w:tc>
      </w:tr>
      <w:tr w:rsidTr="0079039B" w:rsidR="00B873B9" w:rsidRPr="00B873B9">
        <w:trPr>
          <w:trHeight w:val="227"/>
        </w:trPr>
        <w:tc>
          <w:tcPr>
            <w:tcW w:type="dxa" w:w="673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SVEUKUPNO</w:t>
            </w:r>
          </w:p>
        </w:tc>
        <w:tc>
          <w:tcPr>
            <w:tcW w:type="dxa" w:w="2246"/>
            <w:tcBorders>
              <w:top w:space="0" w:sz="4" w:color="auto" w:val="single"/>
              <w:left w:val="nil"/>
              <w:bottom w:space="0" w:sz="4" w:color="auto" w:val="single"/>
              <w:right w:space="0" w:sz="4" w:color="auto" w:val="single"/>
            </w:tcBorders>
            <w:shd w:fill="auto" w:color="auto" w:val="clear"/>
            <w:noWrap/>
            <w:vAlign w:val="bottom"/>
            <w:hideMark/>
          </w:tcPr>
          <w:p w:rsidRDefault="00B873B9" w:rsidP="00B873B9" w:rsidR="00B873B9" w:rsidRPr="00B873B9">
            <w:pPr>
              <w:spacing w:lineRule="auto" w:line="240" w:after="0"/>
              <w:jc w:val="right"/>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28.000,00</w:t>
            </w:r>
          </w:p>
        </w:tc>
      </w:tr>
    </w:tbl>
    <w:p w:rsidRDefault="00B873B9" w:rsidP="00B873B9" w:rsidR="00B873B9" w:rsidRPr="00B873B9">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b/>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Prikazane obveze temelje se na predviđenom maksimalno zakonskom trajanju stečajnog postupka.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ab/>
        <w:t>5.2.2.</w:t>
      </w:r>
      <w:r w:rsidRPr="00B873B9">
        <w:rPr>
          <w:rFonts w:cs="Tahoma" w:eastAsia="Times New Roman" w:hAnsi="Tahoma" w:ascii="Tahoma"/>
          <w:b/>
          <w:sz w:val="20"/>
          <w:szCs w:val="20"/>
          <w:lang w:eastAsia="hr-HR"/>
        </w:rPr>
        <w:tab/>
        <w:t xml:space="preserve">PREGLED DOSPJELIH NEPODMIRENIH TROŠKOVA </w:t>
      </w:r>
    </w:p>
    <w:p w:rsidRDefault="00B873B9" w:rsidP="00B873B9" w:rsidR="00B873B9" w:rsidRPr="00B873B9">
      <w:pPr>
        <w:spacing w:lineRule="auto" w:line="240" w:after="0"/>
        <w:jc w:val="center"/>
        <w:rPr>
          <w:rFonts w:cs="Tahoma" w:eastAsia="Times New Roman" w:hAnsi="Tahoma" w:ascii="Tahoma"/>
          <w:b/>
          <w:sz w:val="18"/>
          <w:szCs w:val="18"/>
          <w:lang w:eastAsia="hr-HR"/>
        </w:rPr>
      </w:pPr>
      <w:r w:rsidRPr="00B873B9">
        <w:rPr>
          <w:rFonts w:cs="Tahoma" w:eastAsia="Times New Roman" w:hAnsi="Tahoma" w:ascii="Tahoma"/>
          <w:b/>
          <w:bCs/>
          <w:color w:val="000000"/>
          <w:sz w:val="18"/>
          <w:szCs w:val="18"/>
          <w:lang w:eastAsia="hr-HR"/>
        </w:rPr>
        <w:t>(troškovi i ostale obveze stečajnog postupka u vremenu do ispitnog ročišta)</w:t>
      </w:r>
    </w:p>
    <w:tbl>
      <w:tblPr>
        <w:tblW w:type="pct" w:w="5000"/>
        <w:tblLook w:val="04A0" w:noVBand="1" w:noHBand="0" w:lastColumn="0" w:firstColumn="1" w:lastRow="0" w:firstRow="1"/>
      </w:tblPr>
      <w:tblGrid>
        <w:gridCol w:w="7112"/>
        <w:gridCol w:w="2080"/>
      </w:tblGrid>
      <w:tr w:rsidTr="0079039B" w:rsidR="00B873B9" w:rsidRPr="00B873B9">
        <w:trPr>
          <w:trHeight w:val="227"/>
        </w:trPr>
        <w:tc>
          <w:tcPr>
            <w:tcW w:type="dxa" w:w="6910"/>
            <w:tcBorders>
              <w:top w:val="nil"/>
              <w:left w:val="nil"/>
              <w:bottom w:space="0" w:sz="4" w:color="auto" w:val="single"/>
              <w:right w:val="nil"/>
            </w:tcBorders>
            <w:shd w:fill="auto" w:color="auto" w:val="clear"/>
            <w:noWrap/>
            <w:vAlign w:val="center"/>
            <w:hideMark/>
          </w:tcPr>
          <w:p w:rsidRDefault="00B873B9" w:rsidP="00B873B9" w:rsidR="00B873B9" w:rsidRPr="00B873B9">
            <w:pPr>
              <w:spacing w:lineRule="auto" w:line="240" w:after="0"/>
              <w:ind w:left="-105"/>
              <w:rPr>
                <w:rFonts w:cs="Times New Roman" w:eastAsia="Times New Roman" w:hAnsi="Times New Roman" w:ascii="Times New Roman"/>
                <w:sz w:val="18"/>
                <w:szCs w:val="18"/>
                <w:lang w:eastAsia="hr-HR"/>
              </w:rPr>
            </w:pPr>
          </w:p>
        </w:tc>
        <w:tc>
          <w:tcPr>
            <w:tcW w:type="dxa" w:w="2021"/>
            <w:tcBorders>
              <w:top w:val="nil"/>
              <w:left w:val="nil"/>
              <w:bottom w:space="0" w:sz="4" w:color="auto" w:val="single"/>
              <w:right w:val="nil"/>
            </w:tcBorders>
            <w:shd w:fill="auto" w:color="auto" w:val="clear"/>
            <w:noWrap/>
            <w:vAlign w:val="center"/>
            <w:hideMark/>
          </w:tcPr>
          <w:p w:rsidRDefault="00B873B9" w:rsidP="00B873B9" w:rsidR="00B873B9" w:rsidRPr="00B873B9">
            <w:pPr>
              <w:spacing w:lineRule="auto" w:line="240" w:after="0"/>
              <w:rPr>
                <w:rFonts w:cs="Times New Roman" w:eastAsia="Times New Roman" w:hAnsi="Times New Roman" w:ascii="Times New Roman"/>
                <w:sz w:val="18"/>
                <w:szCs w:val="18"/>
                <w:lang w:eastAsia="hr-HR"/>
              </w:rPr>
            </w:pP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themeFillShade="E6" w:themeFill="background2" w:fill="DDD9C3" w:color="auto" w:val="clear"/>
            <w:noWrap/>
            <w:vAlign w:val="center"/>
            <w:hideMark/>
          </w:tcPr>
          <w:p w:rsidRDefault="00B873B9" w:rsidP="00B873B9" w:rsidR="00B873B9" w:rsidRPr="00B873B9">
            <w:pPr>
              <w:spacing w:lineRule="auto" w:line="240" w:after="0"/>
              <w:jc w:val="center"/>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OPIS</w:t>
            </w:r>
          </w:p>
        </w:tc>
        <w:tc>
          <w:tcPr>
            <w:tcW w:type="dxa" w:w="2021"/>
            <w:tcBorders>
              <w:top w:space="0" w:sz="4" w:color="auto" w:val="single"/>
              <w:left w:val="nil"/>
              <w:bottom w:space="0" w:sz="4" w:color="auto" w:val="single"/>
              <w:right w:space="0" w:sz="4" w:color="auto" w:val="single"/>
            </w:tcBorders>
            <w:shd w:themeFillShade="E6" w:themeFill="background2" w:fill="DDD9C3" w:color="auto" w:val="clear"/>
            <w:vAlign w:val="center"/>
            <w:hideMark/>
          </w:tcPr>
          <w:p w:rsidRDefault="00B873B9" w:rsidP="00B873B9" w:rsidR="00B873B9" w:rsidRPr="00B873B9">
            <w:pPr>
              <w:spacing w:lineRule="auto" w:line="240" w:after="0"/>
              <w:jc w:val="center"/>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IZNOS U KUNAMA</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TROŠKOVI STEČAJNOG POSTUPKA</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550,00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izdaci stečajnog upravitelja (bruto)</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5500,00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 xml:space="preserve">drugi troškovi </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OSTALE OBVEZE STEČAJNE MASE</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2.100,00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materijalni troškovi (, pečat, poštarina, platni promet, uredski i potrošni materijal i sl.)</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 600,00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naknada za obavljanje knjigovodstvenih poslova</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sz w:val="18"/>
                <w:szCs w:val="18"/>
                <w:lang w:eastAsia="hr-HR"/>
              </w:rPr>
            </w:pPr>
            <w:r w:rsidRPr="00B873B9">
              <w:rPr>
                <w:rFonts w:cs="Tahoma" w:eastAsia="Times New Roman" w:hAnsi="Tahoma" w:ascii="Tahoma"/>
                <w:sz w:val="18"/>
                <w:szCs w:val="18"/>
                <w:lang w:eastAsia="hr-HR"/>
              </w:rPr>
              <w:t>1.500,00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ostale obveze stečajne mase (komunalni troškovi, arhiviranje…)</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color w:val="000000"/>
                <w:sz w:val="18"/>
                <w:szCs w:val="18"/>
                <w:lang w:eastAsia="hr-HR"/>
              </w:rPr>
            </w:pPr>
            <w:r w:rsidRPr="00B873B9">
              <w:rPr>
                <w:rFonts w:cs="Tahoma" w:eastAsia="Times New Roman" w:hAnsi="Tahoma" w:ascii="Tahoma"/>
                <w:color w:val="000000"/>
                <w:sz w:val="18"/>
                <w:szCs w:val="18"/>
                <w:lang w:eastAsia="hr-HR"/>
              </w:rPr>
              <w:t>0,00</w:t>
            </w:r>
          </w:p>
        </w:tc>
      </w:tr>
      <w:tr w:rsidTr="0079039B" w:rsidR="00B873B9" w:rsidRPr="00B873B9">
        <w:trPr>
          <w:trHeight w:val="227"/>
        </w:trPr>
        <w:tc>
          <w:tcPr>
            <w:tcW w:type="dxa" w:w="691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lastRenderedPageBreak/>
              <w:t>SVEUKUPNO</w:t>
            </w:r>
          </w:p>
        </w:tc>
        <w:tc>
          <w:tcPr>
            <w:tcW w:type="dxa" w:w="2021"/>
            <w:tcBorders>
              <w:top w:space="0" w:sz="4" w:color="auto" w:val="single"/>
              <w:left w:val="nil"/>
              <w:bottom w:space="0" w:sz="4" w:color="auto" w:val="single"/>
              <w:right w:space="0" w:sz="4" w:color="auto" w:val="single"/>
            </w:tcBorders>
            <w:shd w:fill="auto" w:color="auto" w:val="clear"/>
            <w:noWrap/>
            <w:vAlign w:val="center"/>
            <w:hideMark/>
          </w:tcPr>
          <w:p w:rsidRDefault="00B873B9" w:rsidP="00B873B9" w:rsidR="00B873B9" w:rsidRPr="00B873B9">
            <w:pPr>
              <w:spacing w:lineRule="auto" w:line="240" w:after="0"/>
              <w:jc w:val="right"/>
              <w:rPr>
                <w:rFonts w:cs="Tahoma" w:eastAsia="Times New Roman" w:hAnsi="Tahoma" w:ascii="Tahoma"/>
                <w:b/>
                <w:bCs/>
                <w:color w:val="000000"/>
                <w:sz w:val="18"/>
                <w:szCs w:val="18"/>
                <w:lang w:eastAsia="hr-HR"/>
              </w:rPr>
            </w:pPr>
            <w:r w:rsidRPr="00B873B9">
              <w:rPr>
                <w:rFonts w:cs="Tahoma" w:eastAsia="Times New Roman" w:hAnsi="Tahoma" w:ascii="Tahoma"/>
                <w:b/>
                <w:bCs/>
                <w:color w:val="000000"/>
                <w:sz w:val="18"/>
                <w:szCs w:val="18"/>
                <w:lang w:eastAsia="hr-HR"/>
              </w:rPr>
              <w:t>2.650,00</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72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5.2.3.</w:t>
      </w:r>
      <w:r w:rsidRPr="00B873B9">
        <w:rPr>
          <w:rFonts w:cs="Tahoma" w:eastAsia="Times New Roman" w:hAnsi="Tahoma" w:ascii="Tahoma"/>
          <w:b/>
          <w:sz w:val="20"/>
          <w:szCs w:val="20"/>
          <w:lang w:eastAsia="hr-HR"/>
        </w:rPr>
        <w:tab/>
        <w:t>PRIZNATE  TRAŽBINE DUŽNIKOVIH VJEROVNIKA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099"/>
        <w:gridCol w:w="3093"/>
      </w:tblGrid>
      <w:tr w:rsidTr="0079039B" w:rsidR="00B873B9" w:rsidRPr="00B873B9">
        <w:trPr>
          <w:trHeight w:val="227"/>
        </w:trPr>
        <w:tc>
          <w:tcPr>
            <w:tcW w:type="dxa" w:w="5978"/>
            <w:shd w:themeFillShade="E6" w:themeFill="background2" w:fill="DDD9C3" w:color="auto" w:val="clear"/>
          </w:tcPr>
          <w:p w:rsidRDefault="00B873B9" w:rsidP="00B873B9" w:rsidR="00B873B9" w:rsidRPr="00B873B9">
            <w:pPr>
              <w:overflowPunct w:val="false"/>
              <w:autoSpaceDE w:val="false"/>
              <w:autoSpaceDN w:val="false"/>
              <w:adjustRightInd w:val="false"/>
              <w:spacing w:lineRule="auto" w:line="240" w:after="0"/>
              <w:jc w:val="center"/>
              <w:textAlignment w:val="baseline"/>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OPIS</w:t>
            </w:r>
          </w:p>
        </w:tc>
        <w:tc>
          <w:tcPr>
            <w:tcW w:type="dxa" w:w="3032"/>
            <w:shd w:themeFillShade="E6" w:themeFill="background2" w:fill="DDD9C3" w:color="auto" w:val="clear"/>
          </w:tcPr>
          <w:p w:rsidRDefault="00B873B9" w:rsidP="00B873B9" w:rsidR="00B873B9" w:rsidRPr="00B873B9">
            <w:pPr>
              <w:overflowPunct w:val="false"/>
              <w:autoSpaceDE w:val="false"/>
              <w:autoSpaceDN w:val="false"/>
              <w:adjustRightInd w:val="false"/>
              <w:spacing w:lineRule="auto" w:line="240" w:after="0"/>
              <w:jc w:val="center"/>
              <w:textAlignment w:val="baseline"/>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IZNOS U KUNAMA</w:t>
            </w:r>
          </w:p>
        </w:tc>
      </w:tr>
      <w:tr w:rsidTr="0079039B" w:rsidR="00B873B9" w:rsidRPr="00B873B9">
        <w:trPr>
          <w:trHeight w:val="227"/>
        </w:trPr>
        <w:tc>
          <w:tcPr>
            <w:tcW w:type="dxa" w:w="5978"/>
          </w:tcPr>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PRIZNATE TRAŽBINE VJEROVNIKA 1.VIR</w:t>
            </w:r>
          </w:p>
        </w:tc>
        <w:tc>
          <w:tcPr>
            <w:tcW w:type="dxa" w:w="3032"/>
          </w:tcPr>
          <w:p w:rsidRDefault="00B873B9" w:rsidP="00B873B9" w:rsidR="00B873B9" w:rsidRPr="00B873B9">
            <w:pPr>
              <w:overflowPunct w:val="false"/>
              <w:autoSpaceDE w:val="false"/>
              <w:autoSpaceDN w:val="false"/>
              <w:adjustRightInd w:val="false"/>
              <w:spacing w:lineRule="auto" w:line="24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0,00</w:t>
            </w:r>
          </w:p>
        </w:tc>
      </w:tr>
      <w:tr w:rsidTr="0079039B" w:rsidR="00B873B9" w:rsidRPr="00B873B9">
        <w:trPr>
          <w:trHeight w:val="227"/>
        </w:trPr>
        <w:tc>
          <w:tcPr>
            <w:tcW w:type="dxa" w:w="5978"/>
          </w:tcPr>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PRIZNATE TRAŽBINE VJEROVNIKA 2. VIR</w:t>
            </w:r>
          </w:p>
        </w:tc>
        <w:tc>
          <w:tcPr>
            <w:tcW w:type="dxa" w:w="3032"/>
          </w:tcPr>
          <w:p w:rsidRDefault="00B873B9" w:rsidP="00B873B9" w:rsidR="00B873B9" w:rsidRPr="00B873B9">
            <w:pPr>
              <w:overflowPunct w:val="false"/>
              <w:autoSpaceDE w:val="false"/>
              <w:autoSpaceDN w:val="false"/>
              <w:adjustRightInd w:val="false"/>
              <w:spacing w:lineRule="auto" w:line="24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2.291.966,79</w:t>
            </w:r>
          </w:p>
        </w:tc>
      </w:tr>
      <w:tr w:rsidTr="0079039B" w:rsidR="00B873B9" w:rsidRPr="00B873B9">
        <w:trPr>
          <w:trHeight w:val="227"/>
        </w:trPr>
        <w:tc>
          <w:tcPr>
            <w:tcW w:type="dxa" w:w="5978"/>
          </w:tcPr>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RAZLUČNI VJEROVNICI</w:t>
            </w:r>
          </w:p>
        </w:tc>
        <w:tc>
          <w:tcPr>
            <w:tcW w:type="dxa" w:w="3032"/>
          </w:tcPr>
          <w:p w:rsidRDefault="00B873B9" w:rsidP="00B873B9" w:rsidR="00B873B9" w:rsidRPr="00B873B9">
            <w:pPr>
              <w:overflowPunct w:val="false"/>
              <w:autoSpaceDE w:val="false"/>
              <w:autoSpaceDN w:val="false"/>
              <w:adjustRightInd w:val="false"/>
              <w:spacing w:lineRule="auto" w:line="24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179.755,47</w:t>
            </w:r>
          </w:p>
        </w:tc>
      </w:tr>
      <w:tr w:rsidTr="0079039B" w:rsidR="00B873B9" w:rsidRPr="00B873B9">
        <w:trPr>
          <w:trHeight w:val="227"/>
        </w:trPr>
        <w:tc>
          <w:tcPr>
            <w:tcW w:type="dxa" w:w="5978"/>
          </w:tcPr>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i/>
                <w:sz w:val="18"/>
                <w:szCs w:val="18"/>
                <w:lang w:eastAsia="hr-HR"/>
              </w:rPr>
            </w:pPr>
            <w:proofErr w:type="spellStart"/>
            <w:r w:rsidRPr="00B873B9">
              <w:rPr>
                <w:rFonts w:cs="Tahoma" w:eastAsia="Times New Roman" w:hAnsi="Tahoma" w:ascii="Tahoma"/>
                <w:i/>
                <w:sz w:val="18"/>
                <w:szCs w:val="18"/>
                <w:lang w:eastAsia="hr-HR"/>
              </w:rPr>
              <w:t>Razlučni</w:t>
            </w:r>
            <w:proofErr w:type="spellEnd"/>
            <w:r w:rsidRPr="00B873B9">
              <w:rPr>
                <w:rFonts w:cs="Tahoma" w:eastAsia="Times New Roman" w:hAnsi="Tahoma" w:ascii="Tahoma"/>
                <w:i/>
                <w:sz w:val="18"/>
                <w:szCs w:val="18"/>
                <w:lang w:eastAsia="hr-HR"/>
              </w:rPr>
              <w:t xml:space="preserve"> vjerovnici prijavljeni i kao stečajni (ne ulazi u zbroj)</w:t>
            </w:r>
          </w:p>
        </w:tc>
        <w:tc>
          <w:tcPr>
            <w:tcW w:type="dxa" w:w="3032"/>
          </w:tcPr>
          <w:p w:rsidRDefault="00B873B9" w:rsidP="00B873B9" w:rsidR="00B873B9" w:rsidRPr="00B873B9">
            <w:pPr>
              <w:overflowPunct w:val="false"/>
              <w:autoSpaceDE w:val="false"/>
              <w:autoSpaceDN w:val="false"/>
              <w:adjustRightInd w:val="false"/>
              <w:spacing w:lineRule="auto" w:line="24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179.755,47</w:t>
            </w:r>
          </w:p>
        </w:tc>
      </w:tr>
      <w:tr w:rsidTr="0079039B" w:rsidR="00B873B9" w:rsidRPr="00B873B9">
        <w:trPr>
          <w:trHeight w:val="227"/>
        </w:trPr>
        <w:tc>
          <w:tcPr>
            <w:tcW w:type="dxa" w:w="5978"/>
          </w:tcPr>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UKUPNE OBVEZE PREMA VJEROVNICIMA</w:t>
            </w:r>
          </w:p>
        </w:tc>
        <w:tc>
          <w:tcPr>
            <w:tcW w:type="dxa" w:w="3032"/>
          </w:tcPr>
          <w:p w:rsidRDefault="00B873B9" w:rsidP="00B873B9" w:rsidR="00B873B9" w:rsidRPr="00B873B9">
            <w:pPr>
              <w:overflowPunct w:val="false"/>
              <w:autoSpaceDE w:val="false"/>
              <w:autoSpaceDN w:val="false"/>
              <w:adjustRightInd w:val="false"/>
              <w:spacing w:lineRule="auto" w:line="240" w:after="0"/>
              <w:jc w:val="right"/>
              <w:textAlignment w:val="baseline"/>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2.291.966,79</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ind w:firstLine="72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ind w:firstLine="720"/>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ab/>
      </w:r>
      <w:r w:rsidRPr="00B873B9">
        <w:rPr>
          <w:rFonts w:cs="Tahoma" w:eastAsia="Times New Roman" w:hAnsi="Tahoma" w:ascii="Tahoma"/>
          <w:b/>
          <w:sz w:val="20"/>
          <w:szCs w:val="20"/>
          <w:lang w:eastAsia="hr-HR"/>
        </w:rPr>
        <w:tab/>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Ukupne predvidive tražbine stečajnih vjerovnika iznose 2.291.966,79 kuna, a  vjerovnika stečajne mase  28.000,00 kuna. Ukupne obveze koje treba podmiriti iz stečajne mase tijekom stečajnog postupka iznose 2.319.966,79 kuna.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sz w:val="20"/>
          <w:szCs w:val="20"/>
          <w:lang w:eastAsia="hr-HR"/>
        </w:rPr>
        <w:t>5.3.   REKAPITULACIJA STANJA STEČAJNE MASE I OBVEZA</w:t>
      </w:r>
    </w:p>
    <w:p w:rsidRDefault="00B873B9" w:rsidP="00B873B9" w:rsidR="00B873B9" w:rsidRPr="00B873B9">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b/>
          <w:lang w:eastAsia="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89"/>
        <w:gridCol w:w="2803"/>
      </w:tblGrid>
      <w:tr w:rsidTr="0079039B" w:rsidR="00B873B9" w:rsidRPr="00B873B9">
        <w:trPr>
          <w:trHeight w:hRule="exact" w:val="227"/>
        </w:trPr>
        <w:tc>
          <w:tcPr>
            <w:tcW w:type="dxa" w:w="6252"/>
            <w:shd w:themeFillShade="E6" w:themeFill="background2" w:fill="DDD9C3" w:color="auto" w:val="clear"/>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OPIS</w:t>
            </w:r>
          </w:p>
        </w:tc>
        <w:tc>
          <w:tcPr>
            <w:tcW w:type="dxa" w:w="2743"/>
            <w:shd w:themeFillShade="E6" w:themeFill="background2" w:fill="DDD9C3" w:color="auto" w:val="clear"/>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b/>
                <w:sz w:val="18"/>
                <w:szCs w:val="18"/>
                <w:lang w:eastAsia="hr-HR"/>
              </w:rPr>
            </w:pPr>
            <w:r w:rsidRPr="00B873B9">
              <w:rPr>
                <w:rFonts w:cs="Tahoma" w:eastAsia="Times New Roman" w:hAnsi="Tahoma" w:ascii="Tahoma"/>
                <w:b/>
                <w:sz w:val="18"/>
                <w:szCs w:val="18"/>
                <w:lang w:eastAsia="hr-HR"/>
              </w:rPr>
              <w:t>IZNOS U KUNAMA</w:t>
            </w:r>
          </w:p>
        </w:tc>
      </w:tr>
      <w:tr w:rsidTr="0079039B" w:rsidR="00B873B9" w:rsidRPr="00B873B9">
        <w:trPr>
          <w:trHeight w:hRule="exact" w:val="227"/>
        </w:trPr>
        <w:tc>
          <w:tcPr>
            <w:tcW w:type="dxa" w:w="6252"/>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VRIJEDNOST IMOVINE  (STEČAJNE MASE)</w:t>
            </w:r>
          </w:p>
        </w:tc>
        <w:tc>
          <w:tcPr>
            <w:tcW w:type="dxa" w:w="2743"/>
          </w:tcPr>
          <w:p w:rsidRDefault="00B873B9" w:rsidP="00B873B9" w:rsidR="00B873B9" w:rsidRPr="00B873B9">
            <w:pPr>
              <w:overflowPunct w:val="false"/>
              <w:autoSpaceDE w:val="false"/>
              <w:autoSpaceDN w:val="false"/>
              <w:adjustRightInd w:val="false"/>
              <w:spacing w:lineRule="auto" w:line="72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131.008,34</w:t>
            </w:r>
          </w:p>
        </w:tc>
      </w:tr>
      <w:tr w:rsidTr="0079039B" w:rsidR="00B873B9" w:rsidRPr="00B873B9">
        <w:trPr>
          <w:trHeight w:hRule="exact" w:val="227"/>
        </w:trPr>
        <w:tc>
          <w:tcPr>
            <w:tcW w:type="dxa" w:w="6252"/>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VRIJEDNOST UNOVČENE STEČAJNE MASE – predvidivo 50%</w:t>
            </w:r>
          </w:p>
        </w:tc>
        <w:tc>
          <w:tcPr>
            <w:tcW w:type="dxa" w:w="2743"/>
          </w:tcPr>
          <w:p w:rsidRDefault="00B873B9" w:rsidP="00B873B9" w:rsidR="00B873B9" w:rsidRPr="00B873B9">
            <w:pPr>
              <w:overflowPunct w:val="false"/>
              <w:autoSpaceDE w:val="false"/>
              <w:autoSpaceDN w:val="false"/>
              <w:adjustRightInd w:val="false"/>
              <w:spacing w:lineRule="auto" w:line="72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65.504,17</w:t>
            </w:r>
          </w:p>
        </w:tc>
      </w:tr>
      <w:tr w:rsidTr="0079039B" w:rsidR="00B873B9" w:rsidRPr="00B873B9">
        <w:trPr>
          <w:trHeight w:hRule="exact" w:val="227"/>
        </w:trPr>
        <w:tc>
          <w:tcPr>
            <w:tcW w:type="dxa" w:w="6252"/>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MASA PO OSNOVI UTVRĐIVANJA I UNOVČENJA PREDMETA RAZLUČNOG PRAVA</w:t>
            </w:r>
          </w:p>
        </w:tc>
        <w:tc>
          <w:tcPr>
            <w:tcW w:type="dxa" w:w="2743"/>
          </w:tcPr>
          <w:p w:rsidRDefault="00B873B9" w:rsidP="00B873B9" w:rsidR="00B873B9" w:rsidRPr="00B873B9">
            <w:pPr>
              <w:overflowPunct w:val="false"/>
              <w:autoSpaceDE w:val="false"/>
              <w:autoSpaceDN w:val="false"/>
              <w:adjustRightInd w:val="false"/>
              <w:spacing w:lineRule="auto" w:line="72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3.585,95</w:t>
            </w:r>
          </w:p>
        </w:tc>
      </w:tr>
      <w:tr w:rsidTr="0079039B" w:rsidR="00B873B9" w:rsidRPr="00B873B9">
        <w:trPr>
          <w:trHeight w:hRule="exact" w:val="227"/>
        </w:trPr>
        <w:tc>
          <w:tcPr>
            <w:tcW w:type="dxa" w:w="6252"/>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PREDVIDIVA VRIJEDNOST STEČAJNE MASE</w:t>
            </w:r>
          </w:p>
        </w:tc>
        <w:tc>
          <w:tcPr>
            <w:tcW w:type="dxa" w:w="2743"/>
          </w:tcPr>
          <w:p w:rsidRDefault="00B873B9" w:rsidP="00B873B9" w:rsidR="00B873B9" w:rsidRPr="00B873B9">
            <w:pPr>
              <w:overflowPunct w:val="false"/>
              <w:autoSpaceDE w:val="false"/>
              <w:autoSpaceDN w:val="false"/>
              <w:adjustRightInd w:val="false"/>
              <w:spacing w:lineRule="auto" w:line="72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69.090,12</w:t>
            </w:r>
          </w:p>
        </w:tc>
      </w:tr>
      <w:tr w:rsidTr="0079039B" w:rsidR="00B873B9" w:rsidRPr="00B873B9">
        <w:trPr>
          <w:trHeight w:hRule="exact" w:val="227"/>
        </w:trPr>
        <w:tc>
          <w:tcPr>
            <w:tcW w:type="dxa" w:w="6252"/>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PRIZNATE TRAŽBINE PLUS OSTALE OBVEZE STEČAJNE MASE</w:t>
            </w:r>
          </w:p>
        </w:tc>
        <w:tc>
          <w:tcPr>
            <w:tcW w:type="dxa" w:w="2743"/>
          </w:tcPr>
          <w:p w:rsidRDefault="00B873B9" w:rsidP="00B873B9" w:rsidR="00B873B9" w:rsidRPr="00B873B9">
            <w:pPr>
              <w:overflowPunct w:val="false"/>
              <w:autoSpaceDE w:val="false"/>
              <w:autoSpaceDN w:val="false"/>
              <w:adjustRightInd w:val="false"/>
              <w:spacing w:lineRule="auto" w:line="72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2.319.966,79</w:t>
            </w:r>
          </w:p>
        </w:tc>
      </w:tr>
      <w:tr w:rsidTr="0079039B" w:rsidR="00B873B9" w:rsidRPr="00B873B9">
        <w:trPr>
          <w:trHeight w:hRule="exact" w:val="227"/>
        </w:trPr>
        <w:tc>
          <w:tcPr>
            <w:tcW w:type="dxa" w:w="6252"/>
          </w:tcPr>
          <w:p w:rsidRDefault="00B873B9" w:rsidP="00B873B9" w:rsidR="00B873B9" w:rsidRPr="00B873B9">
            <w:pPr>
              <w:overflowPunct w:val="false"/>
              <w:autoSpaceDE w:val="false"/>
              <w:autoSpaceDN w:val="false"/>
              <w:adjustRightInd w:val="false"/>
              <w:spacing w:lineRule="auto" w:line="720" w:after="0"/>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PREDVIDIVI POSTOTAK NAPLATE STEČAJNIH VJEROVNIKA</w:t>
            </w:r>
          </w:p>
        </w:tc>
        <w:tc>
          <w:tcPr>
            <w:tcW w:type="dxa" w:w="2743"/>
          </w:tcPr>
          <w:p w:rsidRDefault="00B873B9" w:rsidP="00B873B9" w:rsidR="00B873B9" w:rsidRPr="00B873B9">
            <w:pPr>
              <w:overflowPunct w:val="false"/>
              <w:autoSpaceDE w:val="false"/>
              <w:autoSpaceDN w:val="false"/>
              <w:adjustRightInd w:val="false"/>
              <w:spacing w:lineRule="auto" w:line="720" w:after="0"/>
              <w:jc w:val="right"/>
              <w:textAlignment w:val="baseline"/>
              <w:rPr>
                <w:rFonts w:cs="Tahoma" w:eastAsia="Times New Roman" w:hAnsi="Tahoma" w:ascii="Tahoma"/>
                <w:sz w:val="18"/>
                <w:szCs w:val="18"/>
                <w:lang w:eastAsia="hr-HR"/>
              </w:rPr>
            </w:pPr>
            <w:r w:rsidRPr="00B873B9">
              <w:rPr>
                <w:rFonts w:cs="Tahoma" w:eastAsia="Times New Roman" w:hAnsi="Tahoma" w:ascii="Tahoma"/>
                <w:sz w:val="18"/>
                <w:szCs w:val="18"/>
                <w:lang w:eastAsia="hr-HR"/>
              </w:rPr>
              <w:t>1,8</w:t>
            </w:r>
          </w:p>
        </w:tc>
      </w:tr>
    </w:tbl>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lang w:eastAsia="hr-HR"/>
        </w:rPr>
      </w:pPr>
    </w:p>
    <w:p w:rsidRDefault="00B873B9" w:rsidP="00B873B9" w:rsidR="00B873B9" w:rsidRPr="00B873B9">
      <w:pPr>
        <w:overflowPunct w:val="false"/>
        <w:autoSpaceDE w:val="false"/>
        <w:autoSpaceDN w:val="false"/>
        <w:adjustRightInd w:val="false"/>
        <w:spacing w:lineRule="auto" w:line="240" w:after="0"/>
        <w:ind w:left="360"/>
        <w:contextualSpacing/>
        <w:jc w:val="both"/>
        <w:textAlignment w:val="baseline"/>
        <w:rPr>
          <w:rFonts w:cs="Tahoma" w:eastAsia="Times New Roman" w:hAnsi="Tahoma" w:ascii="Tahoma"/>
          <w:b/>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lang w:eastAsia="hr-HR"/>
        </w:rPr>
      </w:pPr>
      <w:r w:rsidRPr="00B873B9">
        <w:rPr>
          <w:rFonts w:cs="Tahoma" w:eastAsia="Times New Roman" w:hAnsi="Tahoma" w:ascii="Tahoma"/>
          <w:b/>
          <w:lang w:eastAsia="hr-HR"/>
        </w:rPr>
        <w:t xml:space="preserve">PLANIRANE RADNJE STEČAJNOG UPRAVITELJA U NAREDNOM TROMJESEČNOM RAZDOBLJU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ind w:left="720"/>
        <w:contextualSpacing/>
        <w:jc w:val="both"/>
        <w:textAlignment w:val="baseline"/>
        <w:rPr>
          <w:rFonts w:cs="Tahoma" w:eastAsia="Times New Roman" w:hAnsi="Tahoma" w:ascii="Tahoma"/>
          <w:b/>
          <w:sz w:val="20"/>
          <w:szCs w:val="20"/>
          <w:lang w:eastAsia="hr-HR"/>
        </w:rPr>
      </w:pPr>
      <w:r w:rsidRPr="00B873B9">
        <w:rPr>
          <w:rFonts w:cs="Tahoma" w:eastAsia="Times New Roman" w:hAnsi="Tahoma" w:ascii="Tahoma"/>
          <w:b/>
          <w:i/>
          <w:sz w:val="20"/>
          <w:szCs w:val="20"/>
          <w:lang w:eastAsia="hr-HR"/>
        </w:rPr>
        <w:tab/>
      </w:r>
      <w:r w:rsidRPr="00B873B9">
        <w:rPr>
          <w:rFonts w:cs="Tahoma" w:eastAsia="Times New Roman" w:hAnsi="Tahoma" w:ascii="Tahoma"/>
          <w:b/>
          <w:i/>
          <w:sz w:val="20"/>
          <w:szCs w:val="20"/>
          <w:lang w:eastAsia="hr-HR"/>
        </w:rPr>
        <w:tab/>
      </w:r>
      <w:r w:rsidRPr="00B873B9">
        <w:rPr>
          <w:rFonts w:cs="Tahoma" w:eastAsia="Times New Roman" w:hAnsi="Tahoma" w:ascii="Tahoma"/>
          <w:b/>
          <w:i/>
          <w:sz w:val="20"/>
          <w:szCs w:val="20"/>
          <w:lang w:eastAsia="hr-HR"/>
        </w:rPr>
        <w:tab/>
      </w:r>
      <w:r w:rsidRPr="00B873B9">
        <w:rPr>
          <w:rFonts w:cs="Tahoma" w:eastAsia="Times New Roman" w:hAnsi="Tahoma" w:ascii="Tahoma"/>
          <w:b/>
          <w:i/>
          <w:sz w:val="20"/>
          <w:szCs w:val="20"/>
          <w:lang w:eastAsia="hr-HR"/>
        </w:rPr>
        <w:tab/>
      </w:r>
      <w:r w:rsidRPr="00B873B9">
        <w:rPr>
          <w:rFonts w:cs="Tahoma" w:eastAsia="Times New Roman" w:hAnsi="Tahoma" w:ascii="Tahoma"/>
          <w:b/>
          <w:i/>
          <w:sz w:val="20"/>
          <w:szCs w:val="20"/>
          <w:lang w:eastAsia="hr-HR"/>
        </w:rPr>
        <w:tab/>
      </w:r>
      <w:r w:rsidRPr="00B873B9">
        <w:rPr>
          <w:rFonts w:cs="Tahoma" w:eastAsia="Times New Roman" w:hAnsi="Tahoma" w:ascii="Tahoma"/>
          <w:b/>
          <w:i/>
          <w:sz w:val="20"/>
          <w:szCs w:val="20"/>
          <w:lang w:eastAsia="hr-HR"/>
        </w:rPr>
        <w:tab/>
      </w:r>
      <w:r w:rsidRPr="00B873B9">
        <w:rPr>
          <w:rFonts w:cs="Tahoma" w:eastAsia="Times New Roman" w:hAnsi="Tahoma" w:ascii="Tahoma"/>
          <w:b/>
          <w:i/>
          <w:sz w:val="20"/>
          <w:szCs w:val="20"/>
          <w:lang w:eastAsia="hr-HR"/>
        </w:rPr>
        <w:tab/>
      </w:r>
    </w:p>
    <w:p w:rsidRDefault="00B873B9" w:rsidP="00B873B9" w:rsidR="00B873B9" w:rsidRPr="00B873B9">
      <w:pPr>
        <w:numPr>
          <w:ilvl w:val="0"/>
          <w:numId w:val="3"/>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Prodaja pokretnina na kojima postoji </w:t>
      </w:r>
      <w:proofErr w:type="spellStart"/>
      <w:r w:rsidRPr="00B873B9">
        <w:rPr>
          <w:rFonts w:cs="Tahoma" w:eastAsia="Times New Roman" w:hAnsi="Tahoma" w:ascii="Tahoma"/>
          <w:sz w:val="20"/>
          <w:szCs w:val="20"/>
          <w:lang w:eastAsia="hr-HR"/>
        </w:rPr>
        <w:t>razlučno</w:t>
      </w:r>
      <w:proofErr w:type="spellEnd"/>
      <w:r w:rsidRPr="00B873B9">
        <w:rPr>
          <w:rFonts w:cs="Tahoma" w:eastAsia="Times New Roman" w:hAnsi="Tahoma" w:ascii="Tahoma"/>
          <w:sz w:val="20"/>
          <w:szCs w:val="20"/>
          <w:lang w:eastAsia="hr-HR"/>
        </w:rPr>
        <w:t xml:space="preserve"> pravo vršiti će se sukladno članku 249 SZ (NN 71/15, 104/17) </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lang w:eastAsia="hr-HR"/>
        </w:rPr>
      </w:pPr>
      <w:r w:rsidRPr="00B873B9">
        <w:rPr>
          <w:rFonts w:cs="Tahoma" w:eastAsia="Times New Roman" w:hAnsi="Tahoma" w:ascii="Tahoma"/>
          <w:b/>
          <w:lang w:eastAsia="hr-HR"/>
        </w:rPr>
        <w:t>ODBOR VJEROVNIKA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color w:val="FF0000"/>
          <w:sz w:val="20"/>
          <w:szCs w:val="20"/>
          <w:lang w:eastAsia="hr-HR"/>
        </w:rPr>
      </w:pPr>
      <w:r w:rsidRPr="00B873B9">
        <w:rPr>
          <w:rFonts w:cs="Tahoma" w:eastAsia="Times New Roman" w:hAnsi="Tahoma" w:ascii="Tahoma"/>
          <w:sz w:val="20"/>
          <w:szCs w:val="20"/>
          <w:lang w:eastAsia="hr-HR"/>
        </w:rPr>
        <w:t>S obzirom da se radi o stečaju male vrijednosti smatram da Odbor vjerovnika nije potreban.</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b/>
          <w:lang w:eastAsia="hr-HR"/>
        </w:rPr>
      </w:pPr>
      <w:r w:rsidRPr="00B873B9">
        <w:rPr>
          <w:rFonts w:cs="Tahoma" w:eastAsia="Times New Roman" w:hAnsi="Tahoma" w:ascii="Tahoma"/>
          <w:b/>
          <w:lang w:eastAsia="hr-HR"/>
        </w:rPr>
        <w:t>PRIJEDLOZI ODLUKA</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b/>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Predlažem da na izvještajnom ročištu 16. ožujka 2018. godine Skupština vjerovnika donese slijedeće odluke:</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numPr>
          <w:ilvl w:val="0"/>
          <w:numId w:val="1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Prihvaća se izvješće stečajnog upravitelja o gospodarskom položaju stečajnog dužnika i njegovim   uzrocima. </w:t>
      </w:r>
    </w:p>
    <w:p w:rsidRDefault="00B873B9" w:rsidP="00B873B9" w:rsidR="00B873B9" w:rsidRPr="00B873B9">
      <w:pPr>
        <w:numPr>
          <w:ilvl w:val="0"/>
          <w:numId w:val="1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Utvrđuje se da nema mogućnosti za nastavak poslovanja stečajnog dužnika.</w:t>
      </w:r>
    </w:p>
    <w:p w:rsidRDefault="00B873B9" w:rsidP="00B873B9" w:rsidR="00B873B9" w:rsidRPr="00B873B9">
      <w:pPr>
        <w:numPr>
          <w:ilvl w:val="0"/>
          <w:numId w:val="1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Prihvaćaju se do sada poduzete radnje stečajnog upravitelja.</w:t>
      </w:r>
    </w:p>
    <w:p w:rsidRDefault="00B873B9" w:rsidP="00B873B9" w:rsidR="00B873B9" w:rsidRPr="00B873B9">
      <w:pPr>
        <w:numPr>
          <w:ilvl w:val="0"/>
          <w:numId w:val="1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Odobrava se sklapanje ugovora za obavljanje knjigovodstvenih poslova s računovodstvenim servisom „KNJIGA“, Lipa 121, Slatina uz mjesečnu naknadu od  500,00 mjesečno s uključenim PDV.</w:t>
      </w:r>
    </w:p>
    <w:p w:rsidRDefault="00B873B9" w:rsidP="00B873B9" w:rsidR="00B873B9" w:rsidRPr="00B873B9">
      <w:pPr>
        <w:numPr>
          <w:ilvl w:val="0"/>
          <w:numId w:val="1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 xml:space="preserve">Daje se suglasnost da se pokrenu samo one parnice o imovini koja ulazi u stečajnu masu, poglavito za sporne pokretnine: strojeve za izradu kožne galanterije, zalihe sirovina i </w:t>
      </w:r>
      <w:r w:rsidRPr="00B873B9">
        <w:rPr>
          <w:rFonts w:cs="Tahoma" w:eastAsia="Times New Roman" w:hAnsi="Tahoma" w:ascii="Tahoma"/>
          <w:sz w:val="20"/>
          <w:szCs w:val="20"/>
          <w:lang w:eastAsia="hr-HR"/>
        </w:rPr>
        <w:lastRenderedPageBreak/>
        <w:t>materijala, opreme i osobnih automobila za koje stečajni upravitelj procijeni da ima izgleda da se iz istih ostvari korist za stečajnu masu, a parnice temeljene na pobijanju pravnih radnji stečajnog dužnika po odobrenju suda.</w:t>
      </w:r>
    </w:p>
    <w:p w:rsidRDefault="00B873B9" w:rsidP="00B873B9" w:rsidR="00B873B9" w:rsidRPr="00B873B9">
      <w:pPr>
        <w:numPr>
          <w:ilvl w:val="0"/>
          <w:numId w:val="10"/>
        </w:numPr>
        <w:overflowPunct w:val="false"/>
        <w:autoSpaceDE w:val="false"/>
        <w:autoSpaceDN w:val="false"/>
        <w:adjustRightInd w:val="false"/>
        <w:spacing w:lineRule="auto" w:line="240" w:after="0"/>
        <w:contextualSpacing/>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Stečaj će se voditi prema pravilima postupka male vrijednosti čl. 127 SZ (NN 71/15, 104/17).</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Slatina, 28. veljače 2018.</w:t>
      </w:r>
    </w:p>
    <w:p w:rsidRDefault="00B873B9" w:rsidP="00B873B9" w:rsidR="00B873B9" w:rsidRPr="00B873B9">
      <w:pPr>
        <w:overflowPunct w:val="false"/>
        <w:autoSpaceDE w:val="false"/>
        <w:autoSpaceDN w:val="false"/>
        <w:adjustRightInd w:val="false"/>
        <w:spacing w:lineRule="auto" w:line="240" w:after="0"/>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p>
    <w:p w:rsidRDefault="00B873B9" w:rsidP="00B873B9" w:rsidR="00B873B9" w:rsidRPr="00B873B9">
      <w:pPr>
        <w:overflowPunct w:val="false"/>
        <w:autoSpaceDE w:val="false"/>
        <w:autoSpaceDN w:val="false"/>
        <w:adjustRightInd w:val="false"/>
        <w:spacing w:lineRule="auto" w:line="240" w:after="0"/>
        <w:jc w:val="both"/>
        <w:textAlignment w:val="baseline"/>
        <w:rPr>
          <w:rFonts w:cs="Tahoma" w:eastAsia="Times New Roman" w:hAnsi="Tahoma" w:ascii="Tahoma"/>
          <w:sz w:val="20"/>
          <w:szCs w:val="20"/>
          <w:lang w:eastAsia="hr-HR"/>
        </w:rPr>
      </w:pPr>
      <w:r w:rsidRPr="00B873B9">
        <w:rPr>
          <w:rFonts w:cs="Tahoma" w:eastAsia="Times New Roman" w:hAnsi="Tahoma" w:ascii="Tahoma"/>
          <w:sz w:val="20"/>
          <w:szCs w:val="20"/>
          <w:lang w:eastAsia="hr-HR"/>
        </w:rPr>
        <w:t>Stečajni upravitelj:</w:t>
      </w:r>
    </w:p>
    <w:p w:rsidRDefault="00B873B9" w:rsidP="00B873B9" w:rsidR="00B873B9" w:rsidRPr="00B873B9">
      <w:pPr>
        <w:overflowPunct w:val="false"/>
        <w:autoSpaceDE w:val="false"/>
        <w:autoSpaceDN w:val="false"/>
        <w:adjustRightInd w:val="false"/>
        <w:spacing w:lineRule="auto" w:line="240" w:after="0"/>
        <w:jc w:val="both"/>
        <w:textAlignment w:val="baseline"/>
        <w:rPr>
          <w:rFonts w:cs="Calibri" w:eastAsia="Times New Roman" w:hAnsi="Calibri" w:ascii="Calibri"/>
          <w:lang w:eastAsia="hr-HR"/>
        </w:rPr>
      </w:pPr>
      <w:r w:rsidRPr="00B873B9">
        <w:rPr>
          <w:rFonts w:cs="Tahoma" w:eastAsia="Times New Roman" w:hAnsi="Tahoma" w:ascii="Tahoma"/>
          <w:sz w:val="20"/>
          <w:szCs w:val="20"/>
          <w:lang w:eastAsia="hr-HR"/>
        </w:rPr>
        <w:t xml:space="preserve">Krešimir Fučkar </w:t>
      </w:r>
      <w:proofErr w:type="spellStart"/>
      <w:r w:rsidRPr="00B873B9">
        <w:rPr>
          <w:rFonts w:cs="Tahoma" w:eastAsia="Times New Roman" w:hAnsi="Tahoma" w:ascii="Tahoma"/>
          <w:sz w:val="20"/>
          <w:szCs w:val="20"/>
          <w:lang w:eastAsia="hr-HR"/>
        </w:rPr>
        <w:t>mag.oec</w:t>
      </w:r>
      <w:proofErr w:type="spellEnd"/>
      <w:r w:rsidRPr="00B873B9">
        <w:rPr>
          <w:rFonts w:cs="Tahoma" w:eastAsia="Times New Roman" w:hAnsi="Tahoma" w:ascii="Tahoma"/>
          <w:b/>
          <w:sz w:val="20"/>
          <w:szCs w:val="20"/>
          <w:lang w:eastAsia="hr-HR"/>
        </w:rPr>
        <w:t>.</w:t>
      </w:r>
    </w:p>
    <w:p w:rsidRDefault="00B873B9" w:rsidR="00E529BF">
      <w:bookmarkStart w:name="_GoBack" w:id="3"/>
      <w:bookmarkEnd w:id="3"/>
    </w:p>
    <w:sectPr w:rsidSect="00BA3A8A" w:rsidR="00E529BF">
      <w:pgSz w:code="9" w:h="16840" w:w="11907"/>
      <w:pgMar w:gutter="0" w:footer="720" w:header="720" w:left="1797" w:bottom="1418" w:right="1134" w:top="1418"/>
      <w:pgNumType w:start="2"/>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Black">
    <w:panose1 w:val="020B0A04020102020204"/>
    <w:charset w:val="EE"/>
    <w:family w:val="swiss"/>
    <w:pitch w:val="variable"/>
    <w:sig w:csb1="00000000" w:csb0="0000009F" w:usb3="00000000" w:usb2="00000000" w:usb1="00000000" w:usb0="00000287"/>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0" w:usb1="00000000" w:usb0="20002A87"/>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819"/>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
    <w:nsid w:val="028A1916"/>
    <w:multiLevelType w:val="hybridMultilevel"/>
    <w:tmpl w:val="49E8A36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F6FD6"/>
    <w:multiLevelType w:val="hybridMultilevel"/>
    <w:tmpl w:val="4DEA8A0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8E1253"/>
    <w:multiLevelType w:val="hybridMultilevel"/>
    <w:tmpl w:val="B84A8432"/>
    <w:lvl w:tplc="236EA1B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BE80273"/>
    <w:multiLevelType w:val="hybridMultilevel"/>
    <w:tmpl w:val="59F21582"/>
    <w:lvl w:tplc="041A0001" w:ilvl="0">
      <w:start w:val="1"/>
      <w:numFmt w:val="bullet"/>
      <w:lvlText w:val=""/>
      <w:lvlJc w:val="left"/>
      <w:pPr>
        <w:ind w:hanging="360" w:left="2925"/>
      </w:pPr>
      <w:rPr>
        <w:rFonts w:hAnsi="Symbol" w:ascii="Symbol" w:hint="default"/>
      </w:rPr>
    </w:lvl>
    <w:lvl w:tentative="true" w:tplc="041A0003" w:ilvl="1">
      <w:start w:val="1"/>
      <w:numFmt w:val="bullet"/>
      <w:lvlText w:val="o"/>
      <w:lvlJc w:val="left"/>
      <w:pPr>
        <w:ind w:hanging="360" w:left="3645"/>
      </w:pPr>
      <w:rPr>
        <w:rFonts w:cs="Courier New" w:hAnsi="Courier New" w:ascii="Courier New" w:hint="default"/>
      </w:rPr>
    </w:lvl>
    <w:lvl w:tentative="true" w:tplc="041A0005" w:ilvl="2">
      <w:start w:val="1"/>
      <w:numFmt w:val="bullet"/>
      <w:lvlText w:val=""/>
      <w:lvlJc w:val="left"/>
      <w:pPr>
        <w:ind w:hanging="360" w:left="4365"/>
      </w:pPr>
      <w:rPr>
        <w:rFonts w:hAnsi="Wingdings" w:ascii="Wingdings" w:hint="default"/>
      </w:rPr>
    </w:lvl>
    <w:lvl w:tentative="true" w:tplc="041A0001" w:ilvl="3">
      <w:start w:val="1"/>
      <w:numFmt w:val="bullet"/>
      <w:lvlText w:val=""/>
      <w:lvlJc w:val="left"/>
      <w:pPr>
        <w:ind w:hanging="360" w:left="5085"/>
      </w:pPr>
      <w:rPr>
        <w:rFonts w:hAnsi="Symbol" w:ascii="Symbol" w:hint="default"/>
      </w:rPr>
    </w:lvl>
    <w:lvl w:tentative="true" w:tplc="041A0003" w:ilvl="4">
      <w:start w:val="1"/>
      <w:numFmt w:val="bullet"/>
      <w:lvlText w:val="o"/>
      <w:lvlJc w:val="left"/>
      <w:pPr>
        <w:ind w:hanging="360" w:left="5805"/>
      </w:pPr>
      <w:rPr>
        <w:rFonts w:cs="Courier New" w:hAnsi="Courier New" w:ascii="Courier New" w:hint="default"/>
      </w:rPr>
    </w:lvl>
    <w:lvl w:tentative="true" w:tplc="041A0005" w:ilvl="5">
      <w:start w:val="1"/>
      <w:numFmt w:val="bullet"/>
      <w:lvlText w:val=""/>
      <w:lvlJc w:val="left"/>
      <w:pPr>
        <w:ind w:hanging="360" w:left="6525"/>
      </w:pPr>
      <w:rPr>
        <w:rFonts w:hAnsi="Wingdings" w:ascii="Wingdings" w:hint="default"/>
      </w:rPr>
    </w:lvl>
    <w:lvl w:tentative="true" w:tplc="041A0001" w:ilvl="6">
      <w:start w:val="1"/>
      <w:numFmt w:val="bullet"/>
      <w:lvlText w:val=""/>
      <w:lvlJc w:val="left"/>
      <w:pPr>
        <w:ind w:hanging="360" w:left="7245"/>
      </w:pPr>
      <w:rPr>
        <w:rFonts w:hAnsi="Symbol" w:ascii="Symbol" w:hint="default"/>
      </w:rPr>
    </w:lvl>
    <w:lvl w:tentative="true" w:tplc="041A0003" w:ilvl="7">
      <w:start w:val="1"/>
      <w:numFmt w:val="bullet"/>
      <w:lvlText w:val="o"/>
      <w:lvlJc w:val="left"/>
      <w:pPr>
        <w:ind w:hanging="360" w:left="7965"/>
      </w:pPr>
      <w:rPr>
        <w:rFonts w:cs="Courier New" w:hAnsi="Courier New" w:ascii="Courier New" w:hint="default"/>
      </w:rPr>
    </w:lvl>
    <w:lvl w:tentative="true" w:tplc="041A0005" w:ilvl="8">
      <w:start w:val="1"/>
      <w:numFmt w:val="bullet"/>
      <w:lvlText w:val=""/>
      <w:lvlJc w:val="left"/>
      <w:pPr>
        <w:ind w:hanging="360" w:left="8685"/>
      </w:pPr>
      <w:rPr>
        <w:rFonts w:hAnsi="Wingdings" w:ascii="Wingdings" w:hint="default"/>
      </w:rPr>
    </w:lvl>
  </w:abstractNum>
  <w:abstractNum w:abstractNumId="5">
    <w:nsid w:val="0D603F72"/>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6">
    <w:nsid w:val="0DFB0595"/>
    <w:multiLevelType w:val="hybridMultilevel"/>
    <w:tmpl w:val="B8CCE3F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D0E65"/>
    <w:multiLevelType w:val="hybridMultilevel"/>
    <w:tmpl w:val="DBA02904"/>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18B8061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9">
    <w:nsid w:val="1CF170B1"/>
    <w:multiLevelType w:val="hybridMultilevel"/>
    <w:tmpl w:val="E0A4AC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DC53780"/>
    <w:multiLevelType w:val="hybridMultilevel"/>
    <w:tmpl w:val="D500D7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F472DB4"/>
    <w:multiLevelType w:val="hybridMultilevel"/>
    <w:tmpl w:val="1E786D6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D6F270D"/>
    <w:multiLevelType w:val="hybridMultilevel"/>
    <w:tmpl w:val="E58482D0"/>
    <w:lvl w:tplc="041A0017"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4305BAA"/>
    <w:multiLevelType w:val="hybridMultilevel"/>
    <w:tmpl w:val="A95EE9D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5D5424E"/>
    <w:multiLevelType w:val="hybridMultilevel"/>
    <w:tmpl w:val="29760E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B7046B6"/>
    <w:multiLevelType w:val="multilevel"/>
    <w:tmpl w:val="041A001F"/>
    <w:lvl w:ilvl="0">
      <w:start w:val="1"/>
      <w:numFmt w:val="decimal"/>
      <w:lvlText w:val="%1."/>
      <w:lvlJc w:val="left"/>
      <w:pPr>
        <w:ind w:hanging="360" w:left="360"/>
      </w:pPr>
      <w:rPr>
        <w:rFonts w:hint="default"/>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6">
    <w:nsid w:val="502A16BC"/>
    <w:multiLevelType w:val="hybridMultilevel"/>
    <w:tmpl w:val="0A40887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75A6EB1"/>
    <w:multiLevelType w:val="hybridMultilevel"/>
    <w:tmpl w:val="4628C05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9206612"/>
    <w:multiLevelType w:val="hybridMultilevel"/>
    <w:tmpl w:val="FCF26A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A0D5CAB"/>
    <w:multiLevelType w:val="hybridMultilevel"/>
    <w:tmpl w:val="AE625F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B215329"/>
    <w:multiLevelType w:val="hybridMultilevel"/>
    <w:tmpl w:val="E8A46594"/>
    <w:lvl w:tplc="236EA1B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D5434F5"/>
    <w:multiLevelType w:val="hybridMultilevel"/>
    <w:tmpl w:val="9CC239E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E413387"/>
    <w:multiLevelType w:val="hybridMultilevel"/>
    <w:tmpl w:val="167E5F4A"/>
    <w:lvl w:tplc="011E26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63DE106D"/>
    <w:multiLevelType w:val="hybridMultilevel"/>
    <w:tmpl w:val="083ADD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99B364E"/>
    <w:multiLevelType w:val="hybridMultilevel"/>
    <w:tmpl w:val="862E08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1DE33D8"/>
    <w:multiLevelType w:val="hybridMultilevel"/>
    <w:tmpl w:val="3BE0648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7205EB9"/>
    <w:multiLevelType w:val="hybridMultilevel"/>
    <w:tmpl w:val="5680D6B8"/>
    <w:lvl w:tplc="041A0001" w:ilvl="0">
      <w:start w:val="1"/>
      <w:numFmt w:val="bullet"/>
      <w:lvlText w:val=""/>
      <w:lvlJc w:val="left"/>
      <w:pPr>
        <w:ind w:hanging="360" w:left="2880"/>
      </w:pPr>
      <w:rPr>
        <w:rFonts w:hAnsi="Symbol" w:ascii="Symbol" w:hint="default"/>
      </w:rPr>
    </w:lvl>
    <w:lvl w:tentative="true" w:tplc="041A0003" w:ilvl="1">
      <w:start w:val="1"/>
      <w:numFmt w:val="bullet"/>
      <w:lvlText w:val="o"/>
      <w:lvlJc w:val="left"/>
      <w:pPr>
        <w:ind w:hanging="360" w:left="3600"/>
      </w:pPr>
      <w:rPr>
        <w:rFonts w:cs="Courier New" w:hAnsi="Courier New" w:ascii="Courier New" w:hint="default"/>
      </w:rPr>
    </w:lvl>
    <w:lvl w:tentative="true" w:tplc="041A0005" w:ilvl="2">
      <w:start w:val="1"/>
      <w:numFmt w:val="bullet"/>
      <w:lvlText w:val=""/>
      <w:lvlJc w:val="left"/>
      <w:pPr>
        <w:ind w:hanging="360" w:left="4320"/>
      </w:pPr>
      <w:rPr>
        <w:rFonts w:hAnsi="Wingdings" w:ascii="Wingdings" w:hint="default"/>
      </w:rPr>
    </w:lvl>
    <w:lvl w:tentative="true" w:tplc="041A0001" w:ilvl="3">
      <w:start w:val="1"/>
      <w:numFmt w:val="bullet"/>
      <w:lvlText w:val=""/>
      <w:lvlJc w:val="left"/>
      <w:pPr>
        <w:ind w:hanging="360" w:left="5040"/>
      </w:pPr>
      <w:rPr>
        <w:rFonts w:hAnsi="Symbol" w:ascii="Symbol" w:hint="default"/>
      </w:rPr>
    </w:lvl>
    <w:lvl w:tentative="true" w:tplc="041A0003" w:ilvl="4">
      <w:start w:val="1"/>
      <w:numFmt w:val="bullet"/>
      <w:lvlText w:val="o"/>
      <w:lvlJc w:val="left"/>
      <w:pPr>
        <w:ind w:hanging="360" w:left="5760"/>
      </w:pPr>
      <w:rPr>
        <w:rFonts w:cs="Courier New" w:hAnsi="Courier New" w:ascii="Courier New" w:hint="default"/>
      </w:rPr>
    </w:lvl>
    <w:lvl w:tentative="true" w:tplc="041A0005" w:ilvl="5">
      <w:start w:val="1"/>
      <w:numFmt w:val="bullet"/>
      <w:lvlText w:val=""/>
      <w:lvlJc w:val="left"/>
      <w:pPr>
        <w:ind w:hanging="360" w:left="6480"/>
      </w:pPr>
      <w:rPr>
        <w:rFonts w:hAnsi="Wingdings" w:ascii="Wingdings" w:hint="default"/>
      </w:rPr>
    </w:lvl>
    <w:lvl w:tentative="true" w:tplc="041A0001" w:ilvl="6">
      <w:start w:val="1"/>
      <w:numFmt w:val="bullet"/>
      <w:lvlText w:val=""/>
      <w:lvlJc w:val="left"/>
      <w:pPr>
        <w:ind w:hanging="360" w:left="7200"/>
      </w:pPr>
      <w:rPr>
        <w:rFonts w:hAnsi="Symbol" w:ascii="Symbol" w:hint="default"/>
      </w:rPr>
    </w:lvl>
    <w:lvl w:tentative="true" w:tplc="041A0003" w:ilvl="7">
      <w:start w:val="1"/>
      <w:numFmt w:val="bullet"/>
      <w:lvlText w:val="o"/>
      <w:lvlJc w:val="left"/>
      <w:pPr>
        <w:ind w:hanging="360" w:left="7920"/>
      </w:pPr>
      <w:rPr>
        <w:rFonts w:cs="Courier New" w:hAnsi="Courier New" w:ascii="Courier New" w:hint="default"/>
      </w:rPr>
    </w:lvl>
    <w:lvl w:tentative="true" w:tplc="041A0005" w:ilvl="8">
      <w:start w:val="1"/>
      <w:numFmt w:val="bullet"/>
      <w:lvlText w:val=""/>
      <w:lvlJc w:val="left"/>
      <w:pPr>
        <w:ind w:hanging="360" w:left="8640"/>
      </w:pPr>
      <w:rPr>
        <w:rFonts w:hAnsi="Wingdings" w:ascii="Wingdings" w:hint="default"/>
      </w:rPr>
    </w:lvl>
  </w:abstractNum>
  <w:abstractNum w:abstractNumId="28">
    <w:nsid w:val="79C554B9"/>
    <w:multiLevelType w:val="hybridMultilevel"/>
    <w:tmpl w:val="0E36A77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BA06FA9"/>
    <w:multiLevelType w:val="hybridMultilevel"/>
    <w:tmpl w:val="C65A227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F1B76D7"/>
    <w:multiLevelType w:val="hybridMultilevel"/>
    <w:tmpl w:val="C92C26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1"/>
  </w:num>
  <w:num w:numId="3">
    <w:abstractNumId w:val="17"/>
  </w:num>
  <w:num w:numId="4">
    <w:abstractNumId w:val="1"/>
  </w:num>
  <w:num w:numId="5">
    <w:abstractNumId w:val="4"/>
  </w:num>
  <w:num w:numId="6">
    <w:abstractNumId w:val="27"/>
  </w:num>
  <w:num w:numId="7">
    <w:abstractNumId w:val="29"/>
  </w:num>
  <w:num w:numId="8">
    <w:abstractNumId w:val="22"/>
  </w:num>
  <w:num w:numId="9">
    <w:abstractNumId w:val="6"/>
  </w:num>
  <w:num w:numId="10">
    <w:abstractNumId w:val="24"/>
  </w:num>
  <w:num w:numId="11">
    <w:abstractNumId w:val="3"/>
  </w:num>
  <w:num w:numId="12">
    <w:abstractNumId w:val="12"/>
  </w:num>
  <w:num w:numId="13">
    <w:abstractNumId w:val="20"/>
  </w:num>
  <w:num w:numId="14">
    <w:abstractNumId w:val="19"/>
  </w:num>
  <w:num w:numId="15">
    <w:abstractNumId w:val="21"/>
  </w:num>
  <w:num w:numId="16">
    <w:abstractNumId w:val="16"/>
  </w:num>
  <w:num w:numId="17">
    <w:abstractNumId w:val="23"/>
  </w:num>
  <w:num w:numId="18">
    <w:abstractNumId w:val="25"/>
  </w:num>
  <w:num w:numId="19">
    <w:abstractNumId w:val="28"/>
  </w:num>
  <w:num w:numId="20">
    <w:abstractNumId w:val="14"/>
  </w:num>
  <w:num w:numId="21">
    <w:abstractNumId w:val="9"/>
  </w:num>
  <w:num w:numId="22">
    <w:abstractNumId w:val="26"/>
  </w:num>
  <w:num w:numId="23">
    <w:abstractNumId w:val="7"/>
  </w:num>
  <w:num w:numId="24">
    <w:abstractNumId w:val="13"/>
  </w:num>
  <w:num w:numId="25">
    <w:abstractNumId w:val="5"/>
  </w:num>
  <w:num w:numId="26">
    <w:abstractNumId w:val="15"/>
  </w:num>
  <w:num w:numId="27">
    <w:abstractNumId w:val="8"/>
  </w:num>
  <w:num w:numId="28">
    <w:abstractNumId w:val="18"/>
  </w:num>
  <w:num w:numId="29">
    <w:abstractNumId w:val="2"/>
  </w:num>
  <w:num w:numId="30">
    <w:abstractNumId w:val="10"/>
  </w:num>
  <w:num w:numId="31">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73B9"/>
    <w:rsid w:val="00750F21"/>
    <w:rsid w:val="00B873B9"/>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uiPriority="0" w:name="header"/>
    <w:lsdException w:uiPriority="0" w:name="footer"/>
    <w:lsdException w:qFormat="true" w:uiPriority="0" w:name="caption"/>
    <w:lsdException w:uiPriority="0" w:name="annotation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annotation subject"/>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opisa1" w:type="numbering">
    <w:name w:val="Bez popisa1"/>
    <w:next w:val="Bezpopisa"/>
    <w:uiPriority w:val="99"/>
    <w:semiHidden/>
    <w:unhideWhenUsed/>
    <w:rsid w:val="00B873B9"/>
  </w:style>
  <w:style w:styleId="Opisslike" w:type="paragraph">
    <w:name w:val="caption"/>
    <w:basedOn w:val="Normal"/>
    <w:next w:val="Normal"/>
    <w:qFormat/>
    <w:rsid w:val="00B873B9"/>
    <w:pPr>
      <w:overflowPunct w:val="false"/>
      <w:autoSpaceDE w:val="false"/>
      <w:autoSpaceDN w:val="false"/>
      <w:adjustRightInd w:val="false"/>
      <w:spacing w:lineRule="auto" w:line="240" w:after="0"/>
      <w:textAlignment w:val="baseline"/>
    </w:pPr>
    <w:rPr>
      <w:rFonts w:cs="Times New Roman" w:eastAsia="Times New Roman" w:hAnsi="Arial Black" w:ascii="Arial Black"/>
      <w:sz w:val="56"/>
      <w:szCs w:val="56"/>
      <w:lang w:eastAsia="hr-HR" w:val="de-DE"/>
    </w:rPr>
  </w:style>
  <w:style w:styleId="Odlomakpopisa" w:type="paragraph">
    <w:name w:val="List Paragraph"/>
    <w:basedOn w:val="Normal"/>
    <w:uiPriority w:val="34"/>
    <w:qFormat/>
    <w:rsid w:val="00B873B9"/>
    <w:pPr>
      <w:overflowPunct w:val="false"/>
      <w:autoSpaceDE w:val="false"/>
      <w:autoSpaceDN w:val="false"/>
      <w:adjustRightInd w:val="false"/>
      <w:spacing w:lineRule="auto" w:line="240" w:after="0"/>
      <w:ind w:left="720"/>
      <w:contextualSpacing/>
      <w:textAlignment w:val="baseline"/>
    </w:pPr>
    <w:rPr>
      <w:rFonts w:cs="Times New Roman" w:eastAsia="Times New Roman" w:hAnsi="Times New Roman" w:ascii="Times New Roman"/>
      <w:lang w:eastAsia="hr-HR" w:val="en-GB"/>
    </w:rPr>
  </w:style>
  <w:style w:customStyle="true" w:styleId="Hiperveza1" w:type="character">
    <w:name w:val="Hiperveza1"/>
    <w:basedOn w:val="Zadanifontodlomka"/>
    <w:unhideWhenUsed/>
    <w:rsid w:val="00B873B9"/>
    <w:rPr>
      <w:color w:val="0000FF"/>
      <w:u w:val="single"/>
    </w:rPr>
  </w:style>
  <w:style w:styleId="Referencakomentara" w:type="character">
    <w:name w:val="annotation reference"/>
    <w:basedOn w:val="Zadanifontodlomka"/>
    <w:semiHidden/>
    <w:unhideWhenUsed/>
    <w:rsid w:val="00B873B9"/>
    <w:rPr>
      <w:sz w:val="16"/>
      <w:szCs w:val="16"/>
    </w:rPr>
  </w:style>
  <w:style w:styleId="Tekstkomentara" w:type="paragraph">
    <w:name w:val="annotation text"/>
    <w:basedOn w:val="Normal"/>
    <w:link w:val="TekstkomentaraChar"/>
    <w:semiHidden/>
    <w:unhideWhenUsed/>
    <w:rsid w:val="00B873B9"/>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val="en-GB"/>
    </w:rPr>
  </w:style>
  <w:style w:customStyle="true" w:styleId="TekstkomentaraChar" w:type="character">
    <w:name w:val="Tekst komentara Char"/>
    <w:basedOn w:val="Zadanifontodlomka"/>
    <w:link w:val="Tekstkomentara"/>
    <w:semiHidden/>
    <w:rsid w:val="00B873B9"/>
    <w:rPr>
      <w:rFonts w:cs="Times New Roman" w:eastAsia="Times New Roman" w:hAnsi="Times New Roman" w:ascii="Times New Roman"/>
      <w:sz w:val="20"/>
      <w:szCs w:val="20"/>
      <w:lang w:eastAsia="hr-HR" w:val="en-GB"/>
    </w:rPr>
  </w:style>
  <w:style w:styleId="Predmetkomentara" w:type="paragraph">
    <w:name w:val="annotation subject"/>
    <w:basedOn w:val="Tekstkomentara"/>
    <w:next w:val="Tekstkomentara"/>
    <w:link w:val="PredmetkomentaraChar"/>
    <w:semiHidden/>
    <w:unhideWhenUsed/>
    <w:rsid w:val="00B873B9"/>
    <w:rPr>
      <w:b/>
      <w:bCs/>
    </w:rPr>
  </w:style>
  <w:style w:customStyle="true" w:styleId="PredmetkomentaraChar" w:type="character">
    <w:name w:val="Predmet komentara Char"/>
    <w:basedOn w:val="TekstkomentaraChar"/>
    <w:link w:val="Predmetkomentara"/>
    <w:semiHidden/>
    <w:rsid w:val="00B873B9"/>
    <w:rPr>
      <w:rFonts w:cs="Times New Roman" w:eastAsia="Times New Roman" w:hAnsi="Times New Roman" w:ascii="Times New Roman"/>
      <w:b/>
      <w:bCs/>
      <w:sz w:val="20"/>
      <w:szCs w:val="20"/>
      <w:lang w:eastAsia="hr-HR" w:val="en-GB"/>
    </w:rPr>
  </w:style>
  <w:style w:styleId="Tekstbalonia" w:type="paragraph">
    <w:name w:val="Balloon Text"/>
    <w:basedOn w:val="Normal"/>
    <w:link w:val="TekstbaloniaChar"/>
    <w:semiHidden/>
    <w:unhideWhenUsed/>
    <w:rsid w:val="00B873B9"/>
    <w:pPr>
      <w:overflowPunct w:val="false"/>
      <w:autoSpaceDE w:val="false"/>
      <w:autoSpaceDN w:val="false"/>
      <w:adjustRightInd w:val="false"/>
      <w:spacing w:lineRule="auto" w:line="240" w:after="0"/>
      <w:textAlignment w:val="baseline"/>
    </w:pPr>
    <w:rPr>
      <w:rFonts w:cs="Segoe UI" w:eastAsia="Times New Roman" w:hAnsi="Segoe UI" w:ascii="Segoe UI"/>
      <w:sz w:val="18"/>
      <w:szCs w:val="18"/>
      <w:lang w:eastAsia="hr-HR" w:val="en-GB"/>
    </w:rPr>
  </w:style>
  <w:style w:customStyle="true" w:styleId="TekstbaloniaChar" w:type="character">
    <w:name w:val="Tekst balončića Char"/>
    <w:basedOn w:val="Zadanifontodlomka"/>
    <w:link w:val="Tekstbalonia"/>
    <w:semiHidden/>
    <w:rsid w:val="00B873B9"/>
    <w:rPr>
      <w:rFonts w:cs="Segoe UI" w:eastAsia="Times New Roman" w:hAnsi="Segoe UI" w:ascii="Segoe UI"/>
      <w:sz w:val="18"/>
      <w:szCs w:val="18"/>
      <w:lang w:eastAsia="hr-HR" w:val="en-GB"/>
    </w:rPr>
  </w:style>
  <w:style w:styleId="StandardWeb" w:type="paragraph">
    <w:name w:val="Normal (Web)"/>
    <w:basedOn w:val="Normal"/>
    <w:uiPriority w:val="99"/>
    <w:semiHidden/>
    <w:unhideWhenUsed/>
    <w:rsid w:val="00B873B9"/>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Reetkatablice" w:type="table">
    <w:name w:val="Table Grid"/>
    <w:basedOn w:val="Obinatablica"/>
    <w:rsid w:val="00B873B9"/>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nhideWhenUsed/>
    <w:rsid w:val="00B873B9"/>
    <w:pPr>
      <w:tabs>
        <w:tab w:pos="4536" w:val="center"/>
        <w:tab w:pos="9072" w:val="right"/>
      </w:tabs>
      <w:overflowPunct w:val="false"/>
      <w:autoSpaceDE w:val="false"/>
      <w:autoSpaceDN w:val="false"/>
      <w:adjustRightInd w:val="false"/>
      <w:spacing w:lineRule="auto" w:line="240" w:after="0"/>
      <w:textAlignment w:val="baseline"/>
    </w:pPr>
    <w:rPr>
      <w:rFonts w:cs="Times New Roman" w:eastAsia="Times New Roman" w:hAnsi="Times New Roman" w:ascii="Times New Roman"/>
      <w:lang w:eastAsia="hr-HR" w:val="en-GB"/>
    </w:rPr>
  </w:style>
  <w:style w:customStyle="true" w:styleId="ZaglavljeChar" w:type="character">
    <w:name w:val="Zaglavlje Char"/>
    <w:basedOn w:val="Zadanifontodlomka"/>
    <w:link w:val="Zaglavlje"/>
    <w:rsid w:val="00B873B9"/>
    <w:rPr>
      <w:rFonts w:cs="Times New Roman" w:eastAsia="Times New Roman" w:hAnsi="Times New Roman" w:ascii="Times New Roman"/>
      <w:lang w:eastAsia="hr-HR" w:val="en-GB"/>
    </w:rPr>
  </w:style>
  <w:style w:styleId="Podnoje" w:type="paragraph">
    <w:name w:val="footer"/>
    <w:basedOn w:val="Normal"/>
    <w:link w:val="PodnojeChar"/>
    <w:unhideWhenUsed/>
    <w:rsid w:val="00B873B9"/>
    <w:pPr>
      <w:tabs>
        <w:tab w:pos="4536" w:val="center"/>
        <w:tab w:pos="9072" w:val="right"/>
      </w:tabs>
      <w:overflowPunct w:val="false"/>
      <w:autoSpaceDE w:val="false"/>
      <w:autoSpaceDN w:val="false"/>
      <w:adjustRightInd w:val="false"/>
      <w:spacing w:lineRule="auto" w:line="240" w:after="0"/>
      <w:textAlignment w:val="baseline"/>
    </w:pPr>
    <w:rPr>
      <w:rFonts w:cs="Times New Roman" w:eastAsia="Times New Roman" w:hAnsi="Times New Roman" w:ascii="Times New Roman"/>
      <w:lang w:eastAsia="hr-HR" w:val="en-GB"/>
    </w:rPr>
  </w:style>
  <w:style w:customStyle="true" w:styleId="PodnojeChar" w:type="character">
    <w:name w:val="Podnožje Char"/>
    <w:basedOn w:val="Zadanifontodlomka"/>
    <w:link w:val="Podnoje"/>
    <w:rsid w:val="00B873B9"/>
    <w:rPr>
      <w:rFonts w:cs="Times New Roman" w:eastAsia="Times New Roman" w:hAnsi="Times New Roman" w:ascii="Times New Roman"/>
      <w:lang w:eastAsia="hr-HR" w:val="en-GB"/>
    </w:rPr>
  </w:style>
  <w:style w:customStyle="true" w:styleId="Podnaslov1" w:type="paragraph">
    <w:name w:val="Podnaslov1"/>
    <w:basedOn w:val="Normal"/>
    <w:next w:val="Normal"/>
    <w:qFormat/>
    <w:rsid w:val="00B873B9"/>
    <w:pPr>
      <w:numPr>
        <w:ilvl w:val="1"/>
      </w:numPr>
      <w:overflowPunct w:val="false"/>
      <w:autoSpaceDE w:val="false"/>
      <w:autoSpaceDN w:val="false"/>
      <w:adjustRightInd w:val="false"/>
      <w:spacing w:lineRule="auto" w:line="240" w:after="160"/>
      <w:textAlignment w:val="baseline"/>
    </w:pPr>
    <w:rPr>
      <w:rFonts w:eastAsia="Times New Roman"/>
      <w:color w:val="5A5A5A"/>
      <w:spacing w:val="15"/>
      <w:lang w:eastAsia="hr-HR" w:val="en-GB"/>
    </w:rPr>
  </w:style>
  <w:style w:customStyle="true" w:styleId="PodnaslovChar" w:type="character">
    <w:name w:val="Podnaslov Char"/>
    <w:basedOn w:val="Zadanifontodlomka"/>
    <w:link w:val="Podnaslov"/>
    <w:rsid w:val="00B873B9"/>
    <w:rPr>
      <w:rFonts w:cs="Times New Roman" w:eastAsia="Times New Roman" w:hAnsi="Calibri" w:ascii="Calibri"/>
      <w:color w:val="5A5A5A"/>
      <w:spacing w:val="15"/>
      <w:sz w:val="22"/>
      <w:szCs w:val="22"/>
      <w:lang w:val="en-GB"/>
    </w:rPr>
  </w:style>
  <w:style w:styleId="Hiperveza" w:type="character">
    <w:name w:val="Hyperlink"/>
    <w:basedOn w:val="Zadanifontodlomka"/>
    <w:uiPriority w:val="99"/>
    <w:semiHidden/>
    <w:unhideWhenUsed/>
    <w:rsid w:val="00B873B9"/>
    <w:rPr>
      <w:color w:themeColor="hyperlink" w:val="0000FF"/>
      <w:u w:val="single"/>
    </w:rPr>
  </w:style>
  <w:style w:styleId="Podnaslov" w:type="paragraph">
    <w:name w:val="Subtitle"/>
    <w:basedOn w:val="Normal"/>
    <w:next w:val="Normal"/>
    <w:link w:val="PodnaslovChar"/>
    <w:qFormat/>
    <w:rsid w:val="00B873B9"/>
    <w:pPr>
      <w:numPr>
        <w:ilvl w:val="1"/>
      </w:numPr>
    </w:pPr>
    <w:rPr>
      <w:rFonts w:cs="Times New Roman" w:eastAsia="Times New Roman" w:hAnsi="Calibri" w:ascii="Calibri"/>
      <w:color w:val="5A5A5A"/>
      <w:spacing w:val="15"/>
      <w:lang w:val="en-GB"/>
    </w:rPr>
  </w:style>
  <w:style w:customStyle="true" w:styleId="PodnaslovChar1" w:type="character">
    <w:name w:val="Podnaslov Char1"/>
    <w:basedOn w:val="Zadanifontodlomka"/>
    <w:link w:val="Podnaslov"/>
    <w:uiPriority w:val="11"/>
    <w:rsid w:val="00B873B9"/>
    <w:rPr>
      <w:rFonts w:cstheme="majorBidi" w:eastAsiaTheme="majorEastAsia" w:hAnsiTheme="majorHAnsi" w:asciiTheme="majorHAnsi"/>
      <w:i/>
      <w:iCs/>
      <w:color w:themeColor="accent1" w:val="4F81BD"/>
      <w:spacing w:val="15"/>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qFormat="1" w:uiPriority="0"/>
    <w:lsdException w:name="annotation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annotation subject"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opisa1" w:type="numbering">
    <w:name w:val="Bez popisa1"/>
    <w:next w:val="Bezpopisa"/>
    <w:uiPriority w:val="99"/>
    <w:semiHidden/>
    <w:unhideWhenUsed/>
    <w:rsid w:val="00B873B9"/>
  </w:style>
  <w:style w:styleId="Opisslike" w:type="paragraph">
    <w:name w:val="caption"/>
    <w:basedOn w:val="Normal"/>
    <w:next w:val="Normal"/>
    <w:qFormat/>
    <w:rsid w:val="00B873B9"/>
    <w:pPr>
      <w:overflowPunct w:val="0"/>
      <w:autoSpaceDE w:val="0"/>
      <w:autoSpaceDN w:val="0"/>
      <w:adjustRightInd w:val="0"/>
      <w:spacing w:after="0" w:line="240" w:lineRule="auto"/>
      <w:textAlignment w:val="baseline"/>
    </w:pPr>
    <w:rPr>
      <w:rFonts w:ascii="Arial Black" w:cs="Times New Roman" w:eastAsia="Times New Roman" w:hAnsi="Arial Black"/>
      <w:sz w:val="56"/>
      <w:szCs w:val="56"/>
      <w:lang w:eastAsia="hr-HR" w:val="de-DE"/>
    </w:rPr>
  </w:style>
  <w:style w:styleId="Odlomakpopisa" w:type="paragraph">
    <w:name w:val="List Paragraph"/>
    <w:basedOn w:val="Normal"/>
    <w:uiPriority w:val="34"/>
    <w:qFormat/>
    <w:rsid w:val="00B873B9"/>
    <w:pPr>
      <w:overflowPunct w:val="0"/>
      <w:autoSpaceDE w:val="0"/>
      <w:autoSpaceDN w:val="0"/>
      <w:adjustRightInd w:val="0"/>
      <w:spacing w:after="0" w:line="240" w:lineRule="auto"/>
      <w:ind w:left="720"/>
      <w:contextualSpacing/>
      <w:textAlignment w:val="baseline"/>
    </w:pPr>
    <w:rPr>
      <w:rFonts w:ascii="Times New Roman" w:cs="Times New Roman" w:eastAsia="Times New Roman" w:hAnsi="Times New Roman"/>
      <w:lang w:eastAsia="hr-HR" w:val="en-GB"/>
    </w:rPr>
  </w:style>
  <w:style w:customStyle="1" w:styleId="Hiperveza1" w:type="character">
    <w:name w:val="Hiperveza1"/>
    <w:basedOn w:val="Zadanifontodlomka"/>
    <w:unhideWhenUsed/>
    <w:rsid w:val="00B873B9"/>
    <w:rPr>
      <w:color w:val="0000FF"/>
      <w:u w:val="single"/>
    </w:rPr>
  </w:style>
  <w:style w:styleId="Referencakomentara" w:type="character">
    <w:name w:val="annotation reference"/>
    <w:basedOn w:val="Zadanifontodlomka"/>
    <w:semiHidden/>
    <w:unhideWhenUsed/>
    <w:rsid w:val="00B873B9"/>
    <w:rPr>
      <w:sz w:val="16"/>
      <w:szCs w:val="16"/>
    </w:rPr>
  </w:style>
  <w:style w:styleId="Tekstkomentara" w:type="paragraph">
    <w:name w:val="annotation text"/>
    <w:basedOn w:val="Normal"/>
    <w:link w:val="TekstkomentaraChar"/>
    <w:semiHidden/>
    <w:unhideWhenUsed/>
    <w:rsid w:val="00B873B9"/>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val="en-GB"/>
    </w:rPr>
  </w:style>
  <w:style w:customStyle="1" w:styleId="TekstkomentaraChar" w:type="character">
    <w:name w:val="Tekst komentara Char"/>
    <w:basedOn w:val="Zadanifontodlomka"/>
    <w:link w:val="Tekstkomentara"/>
    <w:semiHidden/>
    <w:rsid w:val="00B873B9"/>
    <w:rPr>
      <w:rFonts w:ascii="Times New Roman" w:cs="Times New Roman" w:eastAsia="Times New Roman" w:hAnsi="Times New Roman"/>
      <w:sz w:val="20"/>
      <w:szCs w:val="20"/>
      <w:lang w:eastAsia="hr-HR" w:val="en-GB"/>
    </w:rPr>
  </w:style>
  <w:style w:styleId="Predmetkomentara" w:type="paragraph">
    <w:name w:val="annotation subject"/>
    <w:basedOn w:val="Tekstkomentara"/>
    <w:next w:val="Tekstkomentara"/>
    <w:link w:val="PredmetkomentaraChar"/>
    <w:semiHidden/>
    <w:unhideWhenUsed/>
    <w:rsid w:val="00B873B9"/>
    <w:rPr>
      <w:b/>
      <w:bCs/>
    </w:rPr>
  </w:style>
  <w:style w:customStyle="1" w:styleId="PredmetkomentaraChar" w:type="character">
    <w:name w:val="Predmet komentara Char"/>
    <w:basedOn w:val="TekstkomentaraChar"/>
    <w:link w:val="Predmetkomentara"/>
    <w:semiHidden/>
    <w:rsid w:val="00B873B9"/>
    <w:rPr>
      <w:rFonts w:ascii="Times New Roman" w:cs="Times New Roman" w:eastAsia="Times New Roman" w:hAnsi="Times New Roman"/>
      <w:b/>
      <w:bCs/>
      <w:sz w:val="20"/>
      <w:szCs w:val="20"/>
      <w:lang w:eastAsia="hr-HR" w:val="en-GB"/>
    </w:rPr>
  </w:style>
  <w:style w:styleId="Tekstbalonia" w:type="paragraph">
    <w:name w:val="Balloon Text"/>
    <w:basedOn w:val="Normal"/>
    <w:link w:val="TekstbaloniaChar"/>
    <w:semiHidden/>
    <w:unhideWhenUsed/>
    <w:rsid w:val="00B873B9"/>
    <w:pPr>
      <w:overflowPunct w:val="0"/>
      <w:autoSpaceDE w:val="0"/>
      <w:autoSpaceDN w:val="0"/>
      <w:adjustRightInd w:val="0"/>
      <w:spacing w:after="0" w:line="240" w:lineRule="auto"/>
      <w:textAlignment w:val="baseline"/>
    </w:pPr>
    <w:rPr>
      <w:rFonts w:ascii="Segoe UI" w:cs="Segoe UI" w:eastAsia="Times New Roman" w:hAnsi="Segoe UI"/>
      <w:sz w:val="18"/>
      <w:szCs w:val="18"/>
      <w:lang w:eastAsia="hr-HR" w:val="en-GB"/>
    </w:rPr>
  </w:style>
  <w:style w:customStyle="1" w:styleId="TekstbaloniaChar" w:type="character">
    <w:name w:val="Tekst balončića Char"/>
    <w:basedOn w:val="Zadanifontodlomka"/>
    <w:link w:val="Tekstbalonia"/>
    <w:semiHidden/>
    <w:rsid w:val="00B873B9"/>
    <w:rPr>
      <w:rFonts w:ascii="Segoe UI" w:cs="Segoe UI" w:eastAsia="Times New Roman" w:hAnsi="Segoe UI"/>
      <w:sz w:val="18"/>
      <w:szCs w:val="18"/>
      <w:lang w:eastAsia="hr-HR" w:val="en-GB"/>
    </w:rPr>
  </w:style>
  <w:style w:styleId="StandardWeb" w:type="paragraph">
    <w:name w:val="Normal (Web)"/>
    <w:basedOn w:val="Normal"/>
    <w:uiPriority w:val="99"/>
    <w:semiHidden/>
    <w:unhideWhenUsed/>
    <w:rsid w:val="00B873B9"/>
    <w:pPr>
      <w:spacing w:after="100" w:afterAutospacing="1" w:before="100" w:beforeAutospacing="1" w:line="240" w:lineRule="auto"/>
    </w:pPr>
    <w:rPr>
      <w:rFonts w:ascii="Times New Roman" w:cs="Times New Roman" w:eastAsia="Times New Roman" w:hAnsi="Times New Roman"/>
      <w:sz w:val="24"/>
      <w:szCs w:val="24"/>
      <w:lang w:eastAsia="hr-HR"/>
    </w:rPr>
  </w:style>
  <w:style w:styleId="Reetkatablice" w:type="table">
    <w:name w:val="Table Grid"/>
    <w:basedOn w:val="Obinatablica"/>
    <w:rsid w:val="00B873B9"/>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nhideWhenUsed/>
    <w:rsid w:val="00B873B9"/>
    <w:pPr>
      <w:tabs>
        <w:tab w:pos="4536" w:val="center"/>
        <w:tab w:pos="9072" w:val="right"/>
      </w:tabs>
      <w:overflowPunct w:val="0"/>
      <w:autoSpaceDE w:val="0"/>
      <w:autoSpaceDN w:val="0"/>
      <w:adjustRightInd w:val="0"/>
      <w:spacing w:after="0" w:line="240" w:lineRule="auto"/>
      <w:textAlignment w:val="baseline"/>
    </w:pPr>
    <w:rPr>
      <w:rFonts w:ascii="Times New Roman" w:cs="Times New Roman" w:eastAsia="Times New Roman" w:hAnsi="Times New Roman"/>
      <w:lang w:eastAsia="hr-HR" w:val="en-GB"/>
    </w:rPr>
  </w:style>
  <w:style w:customStyle="1" w:styleId="ZaglavljeChar" w:type="character">
    <w:name w:val="Zaglavlje Char"/>
    <w:basedOn w:val="Zadanifontodlomka"/>
    <w:link w:val="Zaglavlje"/>
    <w:rsid w:val="00B873B9"/>
    <w:rPr>
      <w:rFonts w:ascii="Times New Roman" w:cs="Times New Roman" w:eastAsia="Times New Roman" w:hAnsi="Times New Roman"/>
      <w:lang w:eastAsia="hr-HR" w:val="en-GB"/>
    </w:rPr>
  </w:style>
  <w:style w:styleId="Podnoje" w:type="paragraph">
    <w:name w:val="footer"/>
    <w:basedOn w:val="Normal"/>
    <w:link w:val="PodnojeChar"/>
    <w:unhideWhenUsed/>
    <w:rsid w:val="00B873B9"/>
    <w:pPr>
      <w:tabs>
        <w:tab w:pos="4536" w:val="center"/>
        <w:tab w:pos="9072" w:val="right"/>
      </w:tabs>
      <w:overflowPunct w:val="0"/>
      <w:autoSpaceDE w:val="0"/>
      <w:autoSpaceDN w:val="0"/>
      <w:adjustRightInd w:val="0"/>
      <w:spacing w:after="0" w:line="240" w:lineRule="auto"/>
      <w:textAlignment w:val="baseline"/>
    </w:pPr>
    <w:rPr>
      <w:rFonts w:ascii="Times New Roman" w:cs="Times New Roman" w:eastAsia="Times New Roman" w:hAnsi="Times New Roman"/>
      <w:lang w:eastAsia="hr-HR" w:val="en-GB"/>
    </w:rPr>
  </w:style>
  <w:style w:customStyle="1" w:styleId="PodnojeChar" w:type="character">
    <w:name w:val="Podnožje Char"/>
    <w:basedOn w:val="Zadanifontodlomka"/>
    <w:link w:val="Podnoje"/>
    <w:rsid w:val="00B873B9"/>
    <w:rPr>
      <w:rFonts w:ascii="Times New Roman" w:cs="Times New Roman" w:eastAsia="Times New Roman" w:hAnsi="Times New Roman"/>
      <w:lang w:eastAsia="hr-HR" w:val="en-GB"/>
    </w:rPr>
  </w:style>
  <w:style w:customStyle="1" w:styleId="Podnaslov1" w:type="paragraph">
    <w:name w:val="Podnaslov1"/>
    <w:basedOn w:val="Normal"/>
    <w:next w:val="Normal"/>
    <w:qFormat/>
    <w:rsid w:val="00B873B9"/>
    <w:pPr>
      <w:numPr>
        <w:ilvl w:val="1"/>
      </w:numPr>
      <w:overflowPunct w:val="0"/>
      <w:autoSpaceDE w:val="0"/>
      <w:autoSpaceDN w:val="0"/>
      <w:adjustRightInd w:val="0"/>
      <w:spacing w:after="160" w:line="240" w:lineRule="auto"/>
      <w:textAlignment w:val="baseline"/>
    </w:pPr>
    <w:rPr>
      <w:rFonts w:eastAsia="Times New Roman"/>
      <w:color w:val="5A5A5A"/>
      <w:spacing w:val="15"/>
      <w:lang w:eastAsia="hr-HR" w:val="en-GB"/>
    </w:rPr>
  </w:style>
  <w:style w:customStyle="1" w:styleId="PodnaslovChar" w:type="character">
    <w:name w:val="Podnaslov Char"/>
    <w:basedOn w:val="Zadanifontodlomka"/>
    <w:link w:val="Podnaslov"/>
    <w:rsid w:val="00B873B9"/>
    <w:rPr>
      <w:rFonts w:ascii="Calibri" w:cs="Times New Roman" w:eastAsia="Times New Roman" w:hAnsi="Calibri"/>
      <w:color w:val="5A5A5A"/>
      <w:spacing w:val="15"/>
      <w:sz w:val="22"/>
      <w:szCs w:val="22"/>
      <w:lang w:val="en-GB"/>
    </w:rPr>
  </w:style>
  <w:style w:styleId="Hiperveza" w:type="character">
    <w:name w:val="Hyperlink"/>
    <w:basedOn w:val="Zadanifontodlomka"/>
    <w:uiPriority w:val="99"/>
    <w:semiHidden/>
    <w:unhideWhenUsed/>
    <w:rsid w:val="00B873B9"/>
    <w:rPr>
      <w:color w:themeColor="hyperlink" w:val="0000FF"/>
      <w:u w:val="single"/>
    </w:rPr>
  </w:style>
  <w:style w:styleId="Podnaslov" w:type="paragraph">
    <w:name w:val="Subtitle"/>
    <w:basedOn w:val="Normal"/>
    <w:next w:val="Normal"/>
    <w:link w:val="PodnaslovChar"/>
    <w:qFormat/>
    <w:rsid w:val="00B873B9"/>
    <w:pPr>
      <w:numPr>
        <w:ilvl w:val="1"/>
      </w:numPr>
    </w:pPr>
    <w:rPr>
      <w:rFonts w:ascii="Calibri" w:cs="Times New Roman" w:eastAsia="Times New Roman" w:hAnsi="Calibri"/>
      <w:color w:val="5A5A5A"/>
      <w:spacing w:val="15"/>
      <w:lang w:val="en-GB"/>
    </w:rPr>
  </w:style>
  <w:style w:customStyle="1" w:styleId="PodnaslovChar1" w:type="character">
    <w:name w:val="Podnaslov Char1"/>
    <w:basedOn w:val="Zadanifontodlomka"/>
    <w:link w:val="Podnaslov"/>
    <w:uiPriority w:val="11"/>
    <w:rsid w:val="00B873B9"/>
    <w:rPr>
      <w:rFonts w:asciiTheme="majorHAnsi" w:cstheme="majorBidi" w:eastAsiaTheme="majorEastAsia" w:hAnsiTheme="majorHAnsi"/>
      <w:i/>
      <w:iCs/>
      <w:color w:themeColor="accent1" w:val="4F81BD"/>
      <w:spacing w:val="15"/>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ESO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properties:Pages>
  <properties:Words>2629</properties:Words>
  <properties:Characters>14986</properties:Characters>
  <properties:Lines>124</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2018-03-05T11:14:00Z</dcterms:created>
  <dc:creator>Željka Vitez</dc:creator>
  <cp:lastModifiedBy>Željka Vitez</cp:lastModifiedBy>
  <dcterms:modified xmlns:xsi="http://www.w3.org/2001/XMLSchema-instance" xsi:type="dcterms:W3CDTF">2018-03-05T11:15:00Z</dcterms:modified>
  <cp:revision>1</cp:revision>
</cp:coreProperties>
</file>