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b74e" w14:paraId="0ebb74e" w:rsidRDefault="006E1B10" w:rsidP="00C621FE" w:rsidR="00C621FE" w:rsidRPr="007B0A8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621FE" w:rsidP="00C621FE" w:rsidR="00C621F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C621FE" w:rsidRPr="007B0A8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7B0A8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Stalna služba u Karlovcu</w:t>
      </w: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Trg hrvatskih branitelja 1/II</w:t>
      </w: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621FE" w:rsidP="00C621FE" w:rsidR="00C621FE" w:rsidRPr="007B0A8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 u Karlovcu</w:t>
      </w:r>
      <w:r w:rsidRPr="007B0A8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nad stečajnim dužnikom </w:t>
      </w:r>
      <w:r w:rsidR="007B0A8F" w:rsidRPr="007B0A8F">
        <w:rPr>
          <w:rFonts w:cs="Times New Roman" w:hAnsi="Times New Roman" w:ascii="Times New Roman"/>
          <w:sz w:val="24"/>
          <w:szCs w:val="24"/>
        </w:rPr>
        <w:t xml:space="preserve">Stečajna masa iza LINIGRA d.o.o. u stečaju, Zagreb, Rebrovac 24, OIB: 28055525764, </w:t>
      </w:r>
      <w:r w:rsidR="007B0A8F">
        <w:rPr>
          <w:rFonts w:cs="Times New Roman" w:hAnsi="Times New Roman" w:ascii="Times New Roman"/>
          <w:sz w:val="24"/>
          <w:szCs w:val="24"/>
        </w:rPr>
        <w:t>11. siječnja 2019.</w:t>
      </w:r>
    </w:p>
    <w:p w:rsidRDefault="00C621FE" w:rsidP="00C621FE" w:rsidR="00C621FE" w:rsidRPr="007B0A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na dostavu mišljenja u roku od 15 dana od dana objave ovog rješenja na mrežnoj stranici e-oglasna ploča suda vjerovnici stečajne mase</w:t>
      </w:r>
      <w:r w:rsid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</w:t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o prijedlogu za obustavom postupka zbog nedostatnosti mase za namirenje troškova stečajnog postupka nad stečajnim dužnikom </w:t>
      </w:r>
      <w:r w:rsidR="007B0A8F" w:rsidRPr="007B0A8F">
        <w:rPr>
          <w:rFonts w:cs="Times New Roman" w:hAnsi="Times New Roman" w:ascii="Times New Roman"/>
          <w:sz w:val="24"/>
          <w:szCs w:val="24"/>
        </w:rPr>
        <w:t>Stečajna masa iza LINIGRA d.o.o. u stečaju, Zagreb, Rebrovac 24, OIB: 28055525764</w:t>
      </w:r>
      <w:r w:rsidR="009466E4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7B0A8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621FE" w:rsidP="00C621FE" w:rsidR="00C621FE" w:rsidRPr="007B0A8F">
      <w:pPr>
        <w:numPr>
          <w:ilvl w:val="0"/>
          <w:numId w:val="1"/>
        </w:numPr>
        <w:tabs>
          <w:tab w:pos="1833" w:val="num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Ukoliko se u ostavljenom roku sudu ne dostavi mišljenje o prijedlogu za obustavom zbog nedostatnosti mase za namirenje troškova stečajnog postupka, smatrat će se da je prijedlog prihvaćen.</w:t>
      </w:r>
    </w:p>
    <w:p w:rsidRDefault="00C621FE" w:rsidP="00C621FE" w:rsidR="00C621FE" w:rsidRPr="007B0A8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621FE" w:rsidP="00C621FE" w:rsidR="00C621FE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upravitelj je nakon otvaranja stečajnog postupka  </w:t>
      </w:r>
      <w:r w:rsidR="00843D22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i ispitnog  ročišta na</w:t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veo da stečajna masa nije dostatna ni za namirenje troškova postupka</w:t>
      </w:r>
      <w:r w:rsidR="00843D22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kao </w:t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izvješću od 8. siječnja 2019</w:t>
      </w:r>
      <w:r w:rsidR="00843D22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koj</w:t>
      </w:r>
      <w:r w:rsidR="009466E4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i podnesak je</w:t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objavljen na e-oglasnoj ploči ovog suda </w:t>
      </w:r>
      <w:r w:rsid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11. siječnja 2019</w:t>
      </w:r>
      <w:r w:rsidR="00843D22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7B0A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2</w:t>
      </w:r>
      <w:r w:rsidR="008A7EA1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st. 2. Stečajnog zakona (Narodne novine broj </w:t>
      </w:r>
      <w:r w:rsidR="008A7EA1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71/15, 104/17</w:t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, dalje:SZ) odlučeno je kao u točki I. i II. izreke rješenja</w:t>
      </w:r>
      <w:r w:rsidR="008A7EA1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621FE" w:rsidP="00C621FE" w:rsidR="00C621FE" w:rsidRPr="007B0A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7B0A8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11. siječnja 2019.</w:t>
      </w:r>
    </w:p>
    <w:p w:rsidRDefault="00C621FE" w:rsidP="00C621FE" w:rsidR="00C621FE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Stečajni sudac:</w:t>
      </w:r>
    </w:p>
    <w:p w:rsidRDefault="00C621FE" w:rsidP="00C621FE" w:rsidR="00C621F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6E1B10" w:rsidP="00C621FE" w:rsidR="006E1B10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 točnost otpravka-</w:t>
      </w:r>
    </w:p>
    <w:p w:rsidRDefault="00C621FE" w:rsidP="00C621FE" w:rsidR="00C621FE" w:rsidRPr="007B0A8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C621FE" w:rsidP="00C621FE" w:rsidR="00C621FE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</w:t>
      </w:r>
      <w:r w:rsidR="00A402AA"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Draženka Prpić </w:t>
      </w:r>
    </w:p>
    <w:p w:rsidRDefault="00C621FE" w:rsidP="00C621FE" w:rsidR="00C621FE" w:rsidRPr="007B0A8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621FE" w:rsidP="00C621FE" w:rsidR="00C621FE" w:rsidRPr="007B0A8F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621FE" w:rsidP="00C621FE" w:rsidR="00C621FE" w:rsidRPr="007B0A8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B0A8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621FE" w:rsidP="00C621FE" w:rsidR="00C621FE" w:rsidRPr="007B0A8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C621FE" w:rsidP="00C621FE" w:rsidR="00C621FE" w:rsidRPr="007B0A8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415BC5" w:rsidR="00415BC5" w:rsidRPr="007B0A8F">
      <w:pPr>
        <w:rPr>
          <w:rFonts w:cs="Times New Roman" w:hAnsi="Times New Roman" w:ascii="Times New Roman"/>
          <w:sz w:val="24"/>
          <w:szCs w:val="24"/>
        </w:rPr>
      </w:pPr>
    </w:p>
    <w:p w:rsidRDefault="008A7EA1" w:rsidR="008A7EA1" w:rsidRPr="007B0A8F">
      <w:pPr>
        <w:rPr>
          <w:rFonts w:cs="Times New Roman" w:hAnsi="Times New Roman" w:ascii="Times New Roman"/>
          <w:sz w:val="24"/>
          <w:szCs w:val="24"/>
        </w:rPr>
      </w:pPr>
    </w:p>
    <w:sectPr w:rsidR="008A7EA1" w:rsidRPr="007B0A8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0FA" w:rsidP="00C621FE" w:rsidR="00C750FA">
      <w:pPr>
        <w:spacing w:lineRule="auto" w:line="240" w:after="0"/>
      </w:pPr>
      <w:r>
        <w:separator/>
      </w:r>
    </w:p>
  </w:endnote>
  <w:endnote w:id="0" w:type="continuationSeparator">
    <w:p w:rsidRDefault="00C750FA" w:rsidP="00C621FE" w:rsidR="00C750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0FA" w:rsidP="00C621FE" w:rsidR="00C750FA">
      <w:pPr>
        <w:spacing w:lineRule="auto" w:line="240" w:after="0"/>
      </w:pPr>
      <w:r>
        <w:separator/>
      </w:r>
    </w:p>
  </w:footnote>
  <w:footnote w:id="0" w:type="continuationSeparator">
    <w:p w:rsidRDefault="00C750FA" w:rsidP="00C621FE" w:rsidR="00C750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9977746"/>
      <w:docPartObj>
        <w:docPartGallery w:val="Page Numbers (Top of Page)"/>
        <w:docPartUnique/>
      </w:docPartObj>
    </w:sdtPr>
    <w:sdtEndPr/>
    <w:sdtContent>
      <w:p w:rsidRDefault="00C621FE" w:rsidR="00C621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B10">
          <w:rPr>
            <w:noProof/>
          </w:rPr>
          <w:t>1</w:t>
        </w:r>
        <w:r>
          <w:fldChar w:fldCharType="end"/>
        </w:r>
      </w:p>
    </w:sdtContent>
  </w:sdt>
  <w:p w:rsidRDefault="00C621FE" w:rsidP="00C621FE" w:rsidR="00C621FE">
    <w:pPr>
      <w:pStyle w:val="Zaglavlje"/>
      <w:jc w:val="right"/>
    </w:pPr>
    <w:r>
      <w:t>1 St-</w:t>
    </w:r>
    <w:r w:rsidR="007B0A8F">
      <w:t>6215/201</w:t>
    </w:r>
    <w:r w:rsidR="00843D2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9D0C3D70"/>
    <w:lvl w:tplc="553E935A" w:ilvl="0">
      <w:start w:val="1"/>
      <w:numFmt w:val="upperRoman"/>
      <w:lvlText w:val="%1."/>
      <w:lvlJc w:val="left"/>
      <w:pPr>
        <w:tabs>
          <w:tab w:pos="1976" w:val="num"/>
        </w:tabs>
        <w:ind w:hanging="1125" w:left="1976"/>
      </w:pPr>
      <w:rPr>
        <w:b w:val="false"/>
        <w:i w:val="false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1FE"/>
    <w:rsid w:val="00344D6B"/>
    <w:rsid w:val="00415BC5"/>
    <w:rsid w:val="006E1B10"/>
    <w:rsid w:val="007B0A8F"/>
    <w:rsid w:val="00843D22"/>
    <w:rsid w:val="008A7EA1"/>
    <w:rsid w:val="009466E4"/>
    <w:rsid w:val="00A402AA"/>
    <w:rsid w:val="00A42A3A"/>
    <w:rsid w:val="00A92F30"/>
    <w:rsid w:val="00C621FE"/>
    <w:rsid w:val="00C750FA"/>
    <w:rsid w:val="00DD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C621FE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6E1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B1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1B1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1B1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1B1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C621FE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2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21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621FE"/>
  </w:style>
  <w:style w:styleId="Podnoje" w:type="paragraph">
    <w:name w:val="footer"/>
    <w:basedOn w:val="Normal"/>
    <w:link w:val="PodnojeChar"/>
    <w:uiPriority w:val="99"/>
    <w:unhideWhenUsed/>
    <w:rsid w:val="00C62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621FE"/>
  </w:style>
  <w:style w:styleId="Tekstrezerviranogmjesta" w:type="character">
    <w:name w:val="Placeholder Text"/>
    <w:basedOn w:val="Zadanifontodlomka"/>
    <w:uiPriority w:val="99"/>
    <w:semiHidden/>
    <w:rsid w:val="006E1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B1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1B1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1B1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1B1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58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St-6215/2016</izvorni_sadrzaj>
    <derivirana_varijabla naziv="DomainObject.Predmet.OznakaBroj_1">St-6215/2016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LINIGRA d.o.o. u stečaju</izvorni_sadrzaj>
    <derivirana_varijabla naziv="DomainObject.Predmet.ProtustrankaFormated_1">  Stečajna masa iza LINIGRA d.o.o. u stečaju</derivirana_varijabla>
  </DomainObject.Predmet.ProtustrankaFormated>
  <DomainObject.Predmet.ProtustrankaFormatedOIB>
    <izvorni_sadrzaj>  Stečajna masa iza LINIGRA d.o.o. u stečaju, OIB 28055525764</izvorni_sadrzaj>
    <derivirana_varijabla naziv="DomainObject.Predmet.ProtustrankaFormatedOIB_1">  Stečajna masa iza LINIGRA d.o.o. u stečaju, OIB 28055525764</derivirana_varijabla>
  </DomainObject.Predmet.ProtustrankaFormatedOIB>
  <DomainObject.Predmet.ProtustrankaFormatedWithAdress>
    <izvorni_sadrzaj> Stečajna masa iza LINIGRA d.o.o. u stečaju, Rebrovac 24, 10000 Zagreb</izvorni_sadrzaj>
    <derivirana_varijabla naziv="DomainObject.Predmet.ProtustrankaFormatedWithAdress_1"> Stečajna masa iza LINIGRA d.o.o. u stečaju, Rebrovac 24, 10000 Zagreb</derivirana_varijabla>
  </DomainObject.Predmet.ProtustrankaFormatedWithAdress>
  <DomainObject.Predmet.ProtustrankaFormatedWithAdressOIB>
    <izvorni_sadrzaj> Stečajna masa iza LINIGRA d.o.o. u stečaju, OIB 28055525764, Rebrovac 24, 10000 Zagreb</izvorni_sadrzaj>
    <derivirana_varijabla naziv="DomainObject.Predmet.ProtustrankaFormatedWithAdressOIB_1"> Stečajna masa iza LINIGRA d.o.o. u stečaju, OIB 28055525764, Rebrovac 24, 10000 Zagreb</derivirana_varijabla>
  </DomainObject.Predmet.ProtustrankaFormatedWithAdressOIB>
  <DomainObject.Predmet.ProtustrankaWithAdress>
    <izvorni_sadrzaj>Stečajna masa iza LINIGRA d.o.o. u stečaju Rebrovac 24, 10000 Zagreb</izvorni_sadrzaj>
    <derivirana_varijabla naziv="DomainObject.Predmet.ProtustrankaWithAdress_1">Stečajna masa iza LINIGRA d.o.o. u stečaju Rebrovac 24, 10000 Zagreb</derivirana_varijabla>
  </DomainObject.Predmet.ProtustrankaWithAdress>
  <DomainObject.Predmet.ProtustrankaWithAdressOIB>
    <izvorni_sadrzaj>Stečajna masa iza LINIGRA d.o.o. u stečaju, OIB 28055525764, Rebrovac 24, 10000 Zagreb</izvorni_sadrzaj>
    <derivirana_varijabla naziv="DomainObject.Predmet.ProtustrankaWithAdressOIB_1">Stečajna masa iza LINIGRA d.o.o. u stečaju, OIB 28055525764, Rebrovac 24, 10000 Zagreb</derivirana_varijabla>
  </DomainObject.Predmet.ProtustrankaWithAdressOIB>
  <DomainObject.Predmet.ProtustrankaNazivFormated>
    <izvorni_sadrzaj>Stečajna masa iza LINIGRA d.o.o. u stečaju</izvorni_sadrzaj>
    <derivirana_varijabla naziv="DomainObject.Predmet.ProtustrankaNazivFormated_1">Stečajna masa iza LINIGRA d.o.o. u stečaju</derivirana_varijabla>
  </DomainObject.Predmet.ProtustrankaNazivFormated>
  <DomainObject.Predmet.ProtustrankaNazivFormatedOIB>
    <izvorni_sadrzaj>Stečajna masa iza LINIGRA d.o.o. u stečaju, OIB 28055525764</izvorni_sadrzaj>
    <derivirana_varijabla naziv="DomainObject.Predmet.ProtustrankaNazivFormatedOIB_1">Stečajna masa iza LINIGRA d.o.o. u stečaju, OIB 28055525764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LINIGRA d.o.o. u stečaju</item>
    </izvorni_sadrzaj>
    <derivirana_varijabla naziv="DomainObject.Predmet.ProtuStrankaListFormated_1">
      <item>Stečajna masa iza LINIGRA d.o.o. u stečaju</item>
    </derivirana_varijabla>
  </DomainObject.Predmet.ProtuStrankaListFormated>
  <DomainObject.Predmet.ProtuStrankaListFormatedOIB>
    <izvorni_sadrzaj>
      <item>Stečajna masa iza LINIGRA d.o.o. u stečaju, OIB 28055525764</item>
    </izvorni_sadrzaj>
    <derivirana_varijabla naziv="DomainObject.Predmet.ProtuStrankaListFormatedOIB_1">
      <item>Stečajna masa iza LINIGRA d.o.o. u stečaju, OIB 28055525764</item>
    </derivirana_varijabla>
  </DomainObject.Predmet.ProtuStrankaListFormatedOIB>
  <DomainObject.Predmet.ProtuStrankaListFormatedWithAdress>
    <izvorni_sadrzaj>
      <item>Stečajna masa iza LINIGRA d.o.o. u stečaju, Rebrovac 24, 10000 Zagreb</item>
    </izvorni_sadrzaj>
    <derivirana_varijabla naziv="DomainObject.Predmet.ProtuStrankaListFormatedWithAdress_1">
      <item>Stečajna masa iza LINIGRA d.o.o. u stečaju, Rebrovac 24, 10000 Zagreb</item>
    </derivirana_varijabla>
  </DomainObject.Predmet.ProtuStrankaListFormatedWithAdress>
  <DomainObject.Predmet.ProtuStrankaListFormatedWithAdressOIB>
    <izvorni_sadrzaj>
      <item>Stečajna masa iza LINIGRA d.o.o. u stečaju, OIB 28055525764, Rebrovac 24, 10000 Zagreb</item>
    </izvorni_sadrzaj>
    <derivirana_varijabla naziv="DomainObject.Predmet.ProtuStrankaListFormatedWithAdressOIB_1">
      <item>Stečajna masa iza LINIGRA d.o.o. u stečaju, OIB 28055525764, Rebrovac 24, 10000 Zagreb</item>
    </derivirana_varijabla>
  </DomainObject.Predmet.ProtuStrankaListFormatedWithAdressOIB>
  <DomainObject.Predmet.ProtuStrankaListNazivFormated>
    <izvorni_sadrzaj>
      <item>Stečajna masa iza LINIGRA d.o.o. u stečaju</item>
    </izvorni_sadrzaj>
    <derivirana_varijabla naziv="DomainObject.Predmet.ProtuStrankaListNazivFormated_1">
      <item>Stečajna masa iza LINIGRA d.o.o. u stečaju</item>
    </derivirana_varijabla>
  </DomainObject.Predmet.ProtuStrankaListNazivFormated>
  <DomainObject.Predmet.ProtuStrankaListNazivFormatedOIB>
    <izvorni_sadrzaj>
      <item>Stečajna masa iza LINIGRA d.o.o. u stečaju, OIB 28055525764</item>
    </izvorni_sadrzaj>
    <derivirana_varijabla naziv="DomainObject.Predmet.ProtuStrankaListNazivFormatedOIB_1">
      <item>Stečajna masa iza LINIGRA d.o.o. u stečaju, OIB 28055525764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LINIGRA d.o.o. u stečaju</izvorni_sadrzaj>
    <derivirana_varijabla naziv="DomainObject.Predmet.ProtustrankaIDrugi_1">Stečajna masa iza LINIGRA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LINIGRA d.o.o. u stečaju, OIB 28055525764, Rebrovac 24, 10000 Zagreb</izvorni_sadrzaj>
    <derivirana_varijabla naziv="DomainObject.Predmet.ProtustrankaIDrugiAdressOIB_1">Stečajna masa iza LINIGRA d.o.o. u stečaju, OIB 28055525764,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Karmela Marin</item>
      <item>Stečajna masa iza LINIGRA d.o.o. u stečaju</item>
    </izvorni_sadrzaj>
    <derivirana_varijabla naziv="DomainObject.Predmet.SudioniciListNaziv_1">
      <item>FINA Regionalni centar Zagreb</item>
      <item>Karmela Marin</item>
      <item>Stečajna masa iza LINIGRA d.o.o.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Karmela Marin, OIB 60381149124, Voćnjak 12,10000 Zagreb</item>
      <item>Stečajna masa iza LINIGRA d.o.o. u stečaju, OIB 28055525764, Rebrovac 24,10000 Zagreb</item>
    </izvorni_sadrzaj>
    <derivirana_varijabla naziv="DomainObject.Predmet.SudioniciListAdressOIB_1">
      <item>FINA Regionalni centar Zagreb, OIB 85821130368, Trg svibanjskih žrtava 1995. 1,10000 Zagreb</item>
      <item>Karmela Marin, OIB 60381149124, Voćnjak 12,10000 Zagreb</item>
      <item>Stečajna masa iza LINIGRA d.o.o. u stečaju, OIB 28055525764,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60381149124</item>
      <item>, OIB 28055525764</item>
    </izvorni_sadrzaj>
    <derivirana_varijabla naziv="DomainObject.Predmet.SudioniciListNazivOIB_1">
      <item>, OIB 85821130368</item>
      <item>, OIB 60381149124</item>
      <item>, OIB 28055525764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siječnja 2017.</izvorni_sadrzaj>
    <derivirana_varijabla naziv="DomainObject.Predmet.DatumZadnjeOdrzaneSudskeRadnje_1">26. siječnja 2017.</derivirana_varijabla>
  </DomainObject.Predmet.DatumZadnjeOdrzaneSudskeRadnje>
  <DomainObject.PredzadnjaOdlukaIzPredmeta.DatumDonosenjaOdluke>
    <izvorni_sadrzaj>19. prosinca 2017.</izvorni_sadrzaj>
    <derivirana_varijabla naziv="DomainObject.PredzadnjaOdlukaIzPredmeta.DatumDonosenjaOdluke_1">19. prosinca 2017.</derivirana_varijabla>
  </DomainObject.PredzadnjaOdlukaIzPredmeta.DatumDonosenjaOdluke>
  <DomainObject.PredzadnjaOdlukaIzPredmeta.Oznaka>
    <izvorni_sadrzaj>St-6215/2016-28</izvorni_sadrzaj>
    <derivirana_varijabla naziv="DomainObject.PredzadnjaOdlukaIzPredmeta.Oznaka_1">St-6215/2016-28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1460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2019-01-11T08:20:00Z</dcterms:created>
  <dc:creator>Draženka Prpić</dc:creator>
  <cp:lastModifiedBy>Draženka Prpić</cp:lastModifiedBy>
  <cp:lastPrinted>2019-01-11T08:22:00Z</cp:lastPrinted>
  <dcterms:modified xmlns:xsi="http://www.w3.org/2001/XMLSchema-instance" xsi:type="dcterms:W3CDTF">2019-01-11T08:22:00Z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 NA OČITOVANJE O PRIJEDLOGU ZA OBUSTAVU STEČAJNOG POSTUPKA-čl.293.SZ-a-St-6215-16-Novi zakon.docx)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