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dbae" w14:paraId="002dbae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E262BC">
        <w:rPr>
          <w:rFonts w:hAnsi="Times New Roman" w:ascii="Times New Roman"/>
          <w:sz w:val="24"/>
          <w:szCs w:val="24"/>
        </w:rPr>
        <w:t>95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E262BC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276F6" w:rsidP="007276F6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276F6">
        <w:rPr>
          <w:rFonts w:hAnsi="Times New Roman" w:ascii="Times New Roman"/>
          <w:sz w:val="24"/>
          <w:szCs w:val="24"/>
        </w:rPr>
        <w:t>kat. čest</w:t>
      </w:r>
      <w:r>
        <w:rPr>
          <w:rFonts w:hAnsi="Times New Roman" w:ascii="Times New Roman"/>
          <w:sz w:val="24"/>
          <w:szCs w:val="24"/>
        </w:rPr>
        <w:t>. 776/1 k.o. Tribunj, zk. ul. 52</w:t>
      </w:r>
      <w:r w:rsidRPr="007276F6">
        <w:rPr>
          <w:rFonts w:hAnsi="Times New Roman" w:ascii="Times New Roman"/>
          <w:sz w:val="24"/>
          <w:szCs w:val="24"/>
        </w:rPr>
        <w:t>2, suvlasnički dio 2059/10000, etažno vlasništvo E-1, etažna jedinica s1 u nacrtu označena zelenom bojom, stan u prizemlju, površine 43,19 m2, u naravi stan u prizemlju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7276F6">
        <w:rPr>
          <w:rFonts w:hAnsi="Times New Roman" w:ascii="Times New Roman"/>
          <w:sz w:val="24"/>
          <w:szCs w:val="24"/>
          <w:lang w:eastAsia="hr-HR"/>
        </w:rPr>
        <w:t>366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7276F6">
        <w:rPr>
          <w:rFonts w:hAnsi="Times New Roman" w:ascii="Times New Roman"/>
          <w:sz w:val="24"/>
          <w:szCs w:val="24"/>
          <w:lang w:eastAsia="hr-HR"/>
        </w:rPr>
        <w:t>274.500,00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274.500,00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276F6">
        <w:rPr>
          <w:rFonts w:hAnsi="Times New Roman" w:ascii="Times New Roman"/>
          <w:sz w:val="24"/>
          <w:szCs w:val="24"/>
          <w:lang w:eastAsia="hr-HR"/>
        </w:rPr>
        <w:t>183.000,00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276F6">
        <w:rPr>
          <w:rFonts w:hAnsi="Times New Roman" w:ascii="Times New Roman"/>
          <w:sz w:val="24"/>
          <w:szCs w:val="24"/>
          <w:lang w:eastAsia="hr-HR"/>
        </w:rPr>
        <w:t>91.500,00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E262BC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69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 xml:space="preserve">i ispravku rješenja 1 St-834/16-84 od 20. ožujka 2018. </w:t>
      </w:r>
      <w:r w:rsidRPr="003E0F2B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36</w:t>
      </w:r>
      <w:r w:rsidRPr="00B93BBC">
        <w:rPr>
          <w:rFonts w:hAnsi="Times New Roman" w:ascii="Times New Roman"/>
          <w:sz w:val="24"/>
          <w:szCs w:val="24"/>
          <w:lang w:eastAsia="hr-HR"/>
        </w:rPr>
        <w:t>6.000,00 kuna, a kako je to procijenio ovlašteni sudski vještak.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262BC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1476D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1476D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702-703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492DA6">
        <w:rPr>
          <w:rFonts w:hAnsi="Times New Roman" w:ascii="Times New Roman"/>
          <w:sz w:val="24"/>
          <w:szCs w:val="24"/>
          <w:lang w:eastAsia="hr-HR"/>
        </w:rPr>
        <w:t>, ispravak rješenja o prodaji (list spisa 784)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684-685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E262BC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476D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E262BC">
          <w:rPr>
            <w:rFonts w:hAnsi="Times New Roman" w:ascii="Times New Roman"/>
            <w:sz w:val="24"/>
            <w:szCs w:val="24"/>
          </w:rPr>
          <w:t>95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476D1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3BF8"/>
    <w:rsid w:val="003B196E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B1F04"/>
    <w:rsid w:val="009C236A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76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7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7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76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7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7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 e1</izvorni_sadrzaj>
    <derivirana_varijabla naziv="DomainObject.Primjedba_1">776/1 e1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1223</properties:Words>
  <properties:Characters>6514</properties:Characters>
  <properties:Lines>153</properties:Lines>
  <properties:Paragraphs>57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2018-04-17T08:52:00Z</dcterms:created>
  <dc:creator>Srđan Gavranić</dc:creator>
  <cp:lastModifiedBy>Ante Rubelj</cp:lastModifiedBy>
  <cp:lastPrinted>2018-04-24T13:14:00Z</cp:lastPrinted>
  <dcterms:modified xmlns:xsi="http://www.w3.org/2001/XMLSchema-instance" xsi:type="dcterms:W3CDTF">2018-04-24T13:14:00Z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