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customUI/customUI.xml" Type="http://schemas.microsoft.com/office/2006/relationships/ui/extensibility" Id="cuID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70492" w:rsidP="00E67D40" w:rsidRDefault="00170492" w14:paraId="d84dd87" w14:textId="d84dd87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x="523411" cy="698960"/>
            <wp:effectExtent l="0" t="0" r="0" b="635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411" cy="69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60ED" w:rsidP="00E67D40" w:rsidRDefault="004C60ED">
      <w:pPr>
        <w:pStyle w:val="SudNaziv"/>
        <w:rPr>
          <w:rStyle w:val="PozadinaSvijetloZelena"/>
          <w:b w:val="false"/>
        </w:rPr>
      </w:pPr>
    </w:p>
    <w:p w:rsidR="004C60ED" w:rsidP="00E67D40" w:rsidRDefault="004C60ED">
      <w:pPr>
        <w:pStyle w:val="SudNaziv"/>
        <w:rPr>
          <w:rStyle w:val="PozadinaSvijetloZelena"/>
          <w:b w:val="false"/>
        </w:rPr>
      </w:pPr>
    </w:p>
    <w:p w:rsidRPr="00AD32DA" w:rsidR="004C60ED" w:rsidP="00E67D40" w:rsidRDefault="004C60ED">
      <w:pPr>
        <w:pStyle w:val="SudNaziv"/>
        <w:rPr>
          <w:rStyle w:val="PozadinaSvijetloZelena"/>
          <w:b w:val="false"/>
        </w:rPr>
      </w:pPr>
    </w:p>
    <w:p w:rsidR="00170492" w:rsidP="00AD32DA" w:rsidRDefault="008A24B9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Pr="008A24B9" w:rsidR="0017049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AD32DA" w:rsidR="00AE649C" w:rsidP="00E67D40" w:rsidRDefault="008A24B9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8A24B9" w:rsidR="00BF1812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="00170492" w:rsidP="005E2148" w:rsidRDefault="008A24B9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A24B9" w:rsidR="00BF1812">
            <w:rPr>
              <w:rStyle w:val="eSPISCCParagraphDefaultFont"/>
            </w:rPr>
            <w:t>Berislavićeva 11</w:t>
          </w:r>
        </w:sdtContent>
      </w:sdt>
      <w:r w:rsidRPr="005E2148" w:rsidR="0022360E">
        <w:rPr>
          <w:rStyle w:val="PozadinaSvijetloZelena"/>
          <w:shd w:val="clear" w:color="auto" w:fill="FFFFFF" w:themeFill="background1"/>
        </w:rPr>
        <w:t>,</w:t>
      </w:r>
      <w:r w:rsidRPr="006C43C5" w:rsidR="00170492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A24B9" w:rsidR="00BF1812">
            <w:rPr>
              <w:rStyle w:val="eSPISCCParagraphDefaultFont"/>
            </w:rPr>
            <w:t>Zagreb</w:t>
          </w:r>
        </w:sdtContent>
      </w:sdt>
    </w:p>
    <w:p w:rsidR="0020453E" w:rsidP="004C60ED" w:rsidRDefault="00AD32DA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</w:t>
      </w:r>
      <w:r w:rsidR="006805A7"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A24B9" w:rsidR="00BF1812">
            <w:rPr>
              <w:rStyle w:val="eSPISCCParagraphDefaultFont"/>
            </w:rPr>
            <w:t>75</w:t>
          </w:r>
        </w:sdtContent>
      </w:sdt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A24B9" w:rsidR="00BF1812">
            <w:rPr>
              <w:rStyle w:val="eSPISCCParagraphDefaultFont"/>
            </w:rPr>
            <w:t>Pž-4286/2019-2</w:t>
          </w:r>
        </w:sdtContent>
      </w:sdt>
    </w:p>
    <w:p w:rsidR="004C60ED" w:rsidP="0020453E" w:rsidRDefault="004C60ED"/>
    <w:p w:rsidR="00BF1812" w:rsidP="00BF1812" w:rsidRDefault="00BF1812">
      <w:pPr>
        <w:pStyle w:val="Bezproreda"/>
        <w:spacing w:after="0"/>
      </w:pPr>
    </w:p>
    <w:p w:rsidR="00BF1812" w:rsidP="00BF1812" w:rsidRDefault="00BF1812">
      <w:pPr>
        <w:pStyle w:val="Bezproreda"/>
        <w:spacing w:after="0"/>
      </w:pPr>
    </w:p>
    <w:p w:rsidR="00BF1812" w:rsidP="00BF1812" w:rsidRDefault="00BF1812">
      <w:pPr>
        <w:pStyle w:val="Bezproreda"/>
        <w:spacing w:after="0"/>
        <w:jc w:val="center"/>
      </w:pPr>
      <w:r w:rsidRPr="00BF1812">
        <w:t xml:space="preserve">R E P U B L I K A </w:t>
      </w:r>
      <w:r>
        <w:t xml:space="preserve"> </w:t>
      </w:r>
      <w:r w:rsidRPr="00BF1812">
        <w:t xml:space="preserve"> H R V A T S K A</w:t>
      </w:r>
    </w:p>
    <w:p w:rsidRPr="00BF1812" w:rsidR="00BF1812" w:rsidP="00BF1812" w:rsidRDefault="00BF1812">
      <w:pPr>
        <w:pStyle w:val="Bezproreda"/>
        <w:spacing w:after="0"/>
        <w:jc w:val="center"/>
      </w:pPr>
    </w:p>
    <w:p w:rsidR="00BF1812" w:rsidP="00BF1812" w:rsidRDefault="00BF1812">
      <w:pPr>
        <w:pStyle w:val="Bezproreda"/>
        <w:spacing w:after="0"/>
        <w:jc w:val="center"/>
      </w:pPr>
      <w:r>
        <w:t>R J E Š E N</w:t>
      </w:r>
      <w:r w:rsidRPr="00BF1812">
        <w:t>J E</w:t>
      </w:r>
    </w:p>
    <w:p w:rsidR="00BF1812" w:rsidP="00BF1812" w:rsidRDefault="00BF1812">
      <w:pPr>
        <w:pStyle w:val="Bezproreda"/>
        <w:spacing w:after="0"/>
      </w:pPr>
    </w:p>
    <w:p w:rsidRPr="00BF1812" w:rsidR="00BF1812" w:rsidP="00BF1812" w:rsidRDefault="00BF1812">
      <w:pPr>
        <w:pStyle w:val="Bezproreda"/>
        <w:spacing w:after="0"/>
      </w:pPr>
    </w:p>
    <w:p w:rsidRPr="00BF1812" w:rsidR="00BF1812" w:rsidP="00BF1812" w:rsidRDefault="00BF1812">
      <w:pPr>
        <w:pStyle w:val="Bezproreda"/>
        <w:spacing w:after="0"/>
        <w:ind w:firstLine="709"/>
        <w:jc w:val="both"/>
        <w:rPr>
          <w:color w:val="000000"/>
        </w:rPr>
      </w:pPr>
      <w:r w:rsidRPr="00BF1812">
        <w:rPr>
          <w:color w:val="000000"/>
        </w:rPr>
        <w:t>Visoki trgovački sud Republike Hrvatske, u vijeću sastavljenom od sudaca dr. sc. Srđana Šimca, predsjednika vijeća, Nevenke Marković, sutkinje izvjestiteljice i Draženke Deladio, članice vijeća, u stečajnom postupku nad dužnikom POTPORANJ d.o.o., OIB 96958321366, Split, Ćiril-Metodova 6, odlučujući o dužnikovoj žalbi i žalbi osobe ovlaštene za zastupanje dužnika DRAŽENA LUKŠIĆA, O</w:t>
      </w:r>
      <w:r w:rsidR="008A3823">
        <w:rPr>
          <w:color w:val="000000"/>
        </w:rPr>
        <w:t>IB 73473462994, Split, Kvaternik</w:t>
      </w:r>
      <w:r w:rsidRPr="00BF1812">
        <w:rPr>
          <w:color w:val="000000"/>
        </w:rPr>
        <w:t>ova 31, protiv rje</w:t>
      </w:r>
      <w:r>
        <w:rPr>
          <w:color w:val="000000"/>
        </w:rPr>
        <w:t xml:space="preserve">šenja Trgovačkog suda u Splitu </w:t>
      </w:r>
      <w:r w:rsidRPr="00BF1812">
        <w:rPr>
          <w:color w:val="000000"/>
        </w:rPr>
        <w:t>poslovni broj St-1834/2016</w:t>
      </w:r>
      <w:r>
        <w:rPr>
          <w:color w:val="000000"/>
        </w:rPr>
        <w:t>-24</w:t>
      </w:r>
      <w:r w:rsidRPr="00BF1812">
        <w:rPr>
          <w:color w:val="000000"/>
        </w:rPr>
        <w:t xml:space="preserve"> od 22. svibnja 2019. u sjednici vijeća održanoj  9. srpnja 2019.</w:t>
      </w:r>
    </w:p>
    <w:p w:rsidRPr="00BF1812" w:rsidR="00BF1812" w:rsidP="00BF1812" w:rsidRDefault="00BF1812">
      <w:pPr>
        <w:pStyle w:val="Bezproreda"/>
        <w:spacing w:after="0"/>
        <w:jc w:val="both"/>
        <w:rPr>
          <w:color w:val="000000"/>
        </w:rPr>
      </w:pPr>
    </w:p>
    <w:p w:rsidRPr="00BF1812" w:rsidR="00BF1812" w:rsidP="00BF1812" w:rsidRDefault="00BF1812">
      <w:pPr>
        <w:pStyle w:val="Bezproreda"/>
        <w:spacing w:after="0"/>
        <w:jc w:val="center"/>
        <w:rPr>
          <w:color w:val="000000"/>
        </w:rPr>
      </w:pPr>
      <w:r w:rsidRPr="00BF1812">
        <w:rPr>
          <w:color w:val="000000"/>
        </w:rPr>
        <w:t xml:space="preserve">r i j e š i o  </w:t>
      </w:r>
      <w:r>
        <w:rPr>
          <w:color w:val="000000"/>
        </w:rPr>
        <w:t xml:space="preserve"> </w:t>
      </w:r>
      <w:r w:rsidRPr="00BF1812">
        <w:rPr>
          <w:color w:val="000000"/>
        </w:rPr>
        <w:t>j e</w:t>
      </w:r>
    </w:p>
    <w:p w:rsidRPr="00BF1812" w:rsidR="00BF1812" w:rsidP="00BF1812" w:rsidRDefault="00BF1812">
      <w:pPr>
        <w:pStyle w:val="Bezproreda"/>
        <w:spacing w:after="0"/>
        <w:jc w:val="both"/>
        <w:rPr>
          <w:color w:val="000000"/>
        </w:rPr>
      </w:pPr>
    </w:p>
    <w:p w:rsidRPr="00BF1812" w:rsidR="00BF1812" w:rsidP="00BF1812" w:rsidRDefault="00BF1812">
      <w:pPr>
        <w:pStyle w:val="Bezproreda"/>
        <w:spacing w:after="0"/>
        <w:ind w:firstLine="709"/>
        <w:jc w:val="both"/>
        <w:rPr>
          <w:color w:val="000000"/>
        </w:rPr>
      </w:pPr>
      <w:r>
        <w:rPr>
          <w:color w:val="000000"/>
        </w:rPr>
        <w:t xml:space="preserve">I. </w:t>
      </w:r>
      <w:r w:rsidRPr="00BF1812">
        <w:rPr>
          <w:color w:val="000000"/>
        </w:rPr>
        <w:t>Odbija se žalba Dražena Lukšića iz Splita kao neosnovana i potvrđuje</w:t>
      </w:r>
      <w:r>
        <w:rPr>
          <w:color w:val="000000"/>
        </w:rPr>
        <w:t xml:space="preserve"> </w:t>
      </w:r>
      <w:r w:rsidRPr="00BF1812">
        <w:rPr>
          <w:color w:val="000000"/>
        </w:rPr>
        <w:t>rj</w:t>
      </w:r>
      <w:r>
        <w:rPr>
          <w:color w:val="000000"/>
        </w:rPr>
        <w:t>ešenje Trgovačkog suda u Splitu</w:t>
      </w:r>
      <w:r w:rsidRPr="00BF1812">
        <w:rPr>
          <w:color w:val="000000"/>
        </w:rPr>
        <w:t xml:space="preserve"> poslovni broj St-1834/2016</w:t>
      </w:r>
      <w:r>
        <w:rPr>
          <w:color w:val="000000"/>
        </w:rPr>
        <w:t>-24</w:t>
      </w:r>
      <w:r w:rsidRPr="00BF1812">
        <w:rPr>
          <w:color w:val="000000"/>
        </w:rPr>
        <w:t xml:space="preserve"> od 22. svibnja 2019.</w:t>
      </w:r>
    </w:p>
    <w:p w:rsidRPr="00BF1812" w:rsidR="00BF1812" w:rsidP="00BF1812" w:rsidRDefault="00BF1812">
      <w:pPr>
        <w:pStyle w:val="Bezproreda"/>
        <w:spacing w:after="0"/>
        <w:jc w:val="both"/>
        <w:rPr>
          <w:color w:val="000000"/>
        </w:rPr>
      </w:pPr>
    </w:p>
    <w:p w:rsidRPr="00BF1812" w:rsidR="00BF1812" w:rsidP="008A3823" w:rsidRDefault="00BF1812">
      <w:pPr>
        <w:pStyle w:val="Bezproreda"/>
        <w:spacing w:after="0"/>
        <w:ind w:firstLine="709"/>
        <w:jc w:val="both"/>
        <w:rPr>
          <w:color w:val="000000"/>
        </w:rPr>
      </w:pPr>
      <w:r>
        <w:rPr>
          <w:color w:val="000000"/>
        </w:rPr>
        <w:t xml:space="preserve">II. </w:t>
      </w:r>
      <w:r w:rsidRPr="00BF1812">
        <w:rPr>
          <w:color w:val="000000"/>
        </w:rPr>
        <w:t>Odbacuje se kao nedopuštena dužnikova</w:t>
      </w:r>
      <w:r w:rsidR="005D5D09">
        <w:rPr>
          <w:color w:val="000000"/>
        </w:rPr>
        <w:t xml:space="preserve"> žalba podnesena protiv rješenj</w:t>
      </w:r>
      <w:r w:rsidR="008A3823">
        <w:rPr>
          <w:color w:val="000000"/>
        </w:rPr>
        <w:t xml:space="preserve">e </w:t>
      </w:r>
      <w:r>
        <w:rPr>
          <w:color w:val="000000"/>
        </w:rPr>
        <w:t>Trgovačkog suda u Splitu</w:t>
      </w:r>
      <w:r w:rsidRPr="00BF1812">
        <w:rPr>
          <w:color w:val="000000"/>
        </w:rPr>
        <w:t xml:space="preserve"> poslovni broj St-1834/2016</w:t>
      </w:r>
      <w:r>
        <w:rPr>
          <w:color w:val="000000"/>
        </w:rPr>
        <w:t>-24</w:t>
      </w:r>
      <w:r w:rsidRPr="00BF1812">
        <w:rPr>
          <w:color w:val="000000"/>
        </w:rPr>
        <w:t xml:space="preserve"> od 22. svibnja 2019.</w:t>
      </w:r>
    </w:p>
    <w:p w:rsidRPr="00BF1812" w:rsidR="00BF1812" w:rsidP="00BF1812" w:rsidRDefault="00BF1812">
      <w:pPr>
        <w:pStyle w:val="Bezproreda"/>
        <w:spacing w:after="0"/>
        <w:jc w:val="both"/>
        <w:rPr>
          <w:color w:val="000000"/>
        </w:rPr>
      </w:pPr>
    </w:p>
    <w:p w:rsidRPr="00BF1812" w:rsidR="00BF1812" w:rsidP="00BF1812" w:rsidRDefault="00BF1812">
      <w:pPr>
        <w:pStyle w:val="Bezproreda"/>
        <w:spacing w:after="0"/>
        <w:jc w:val="center"/>
        <w:rPr>
          <w:color w:val="000000"/>
        </w:rPr>
      </w:pPr>
      <w:r w:rsidRPr="00BF1812">
        <w:rPr>
          <w:color w:val="000000"/>
        </w:rPr>
        <w:t>Obrazloženje</w:t>
      </w:r>
    </w:p>
    <w:p w:rsidRPr="00BF1812" w:rsidR="00BF1812" w:rsidP="00BF1812" w:rsidRDefault="00BF1812">
      <w:pPr>
        <w:pStyle w:val="Bezproreda"/>
        <w:spacing w:after="0"/>
        <w:jc w:val="both"/>
        <w:rPr>
          <w:color w:val="000000"/>
        </w:rPr>
      </w:pPr>
    </w:p>
    <w:p w:rsidRPr="00BF1812" w:rsidR="00BF1812" w:rsidP="00BF1812" w:rsidRDefault="00BF1812">
      <w:pPr>
        <w:pStyle w:val="Bezproreda"/>
        <w:spacing w:after="0"/>
        <w:ind w:firstLine="709"/>
        <w:jc w:val="both"/>
        <w:rPr>
          <w:color w:val="000000"/>
        </w:rPr>
      </w:pPr>
      <w:r w:rsidRPr="00BF1812">
        <w:rPr>
          <w:color w:val="000000"/>
        </w:rPr>
        <w:t>Rješ</w:t>
      </w:r>
      <w:r>
        <w:rPr>
          <w:color w:val="000000"/>
        </w:rPr>
        <w:t xml:space="preserve">enjem Trgovačkog suda u Splitu </w:t>
      </w:r>
      <w:r w:rsidRPr="00BF1812">
        <w:rPr>
          <w:color w:val="000000"/>
        </w:rPr>
        <w:t>poslovni broj St-1834/2016</w:t>
      </w:r>
      <w:r>
        <w:rPr>
          <w:color w:val="000000"/>
        </w:rPr>
        <w:t>-24</w:t>
      </w:r>
      <w:r w:rsidRPr="00BF1812">
        <w:rPr>
          <w:color w:val="000000"/>
        </w:rPr>
        <w:t xml:space="preserve"> od 22. svibnja 2019.</w:t>
      </w:r>
      <w:r>
        <w:rPr>
          <w:color w:val="000000"/>
        </w:rPr>
        <w:t xml:space="preserve"> </w:t>
      </w:r>
      <w:r w:rsidRPr="00BF1812">
        <w:rPr>
          <w:color w:val="000000"/>
        </w:rPr>
        <w:t>otvoren je stečajni postupak nad dužnikom Potporanj d.o.o., Split, Ćiril-Metodova 6 (točka I. izreke); imenovan je Mateo Puljić iz Splita, stečajnim upraviteljem (točka II. izreke); utvrđeno je da je stečajni postupak otvoren 22. svibnja 2019. u 10,00 sati (točka III. izreke); pozvani su vjerovnici viših isplatnih redova da u roku od 60 dana od isteka osmog dana od dana objave rješenja na e-oglasna ploča sudova, prijave svoje tražbine stečajnom upravitelju u skladu članka 257. Ste</w:t>
      </w:r>
      <w:r>
        <w:rPr>
          <w:color w:val="000000"/>
        </w:rPr>
        <w:t>čajnog zakona („Narodne novine“</w:t>
      </w:r>
      <w:r w:rsidRPr="00BF1812">
        <w:rPr>
          <w:color w:val="000000"/>
        </w:rPr>
        <w:t xml:space="preserve"> broj 71/1</w:t>
      </w:r>
      <w:r>
        <w:rPr>
          <w:color w:val="000000"/>
        </w:rPr>
        <w:t>5;</w:t>
      </w:r>
      <w:r w:rsidRPr="00BF1812">
        <w:rPr>
          <w:color w:val="000000"/>
        </w:rPr>
        <w:t xml:space="preserve"> dalje</w:t>
      </w:r>
      <w:r>
        <w:rPr>
          <w:color w:val="000000"/>
        </w:rPr>
        <w:t>:</w:t>
      </w:r>
      <w:r w:rsidRPr="00BF1812">
        <w:rPr>
          <w:color w:val="000000"/>
        </w:rPr>
        <w:t xml:space="preserve"> SZ, točka IV. izreke); pozvani su razlučni i izlučni vjerovnici u istom roku obavijesti</w:t>
      </w:r>
      <w:r>
        <w:rPr>
          <w:color w:val="000000"/>
        </w:rPr>
        <w:t>ti stečajnog upravitelja o svo</w:t>
      </w:r>
      <w:r w:rsidRPr="00BF1812">
        <w:rPr>
          <w:color w:val="000000"/>
        </w:rPr>
        <w:t>m pravu (točke V. i VI. izreke); pozvani su dužnikovi dužnici svoje obveze bez odgode ispunjavati stečajnom upravitelju (točka VII.  izreke); zakazano je ispitno i izvještajno ročište za 3. rujna 2019. (točke VIII. i IX. izreke); pozvani su vje</w:t>
      </w:r>
      <w:r w:rsidR="008A3823">
        <w:rPr>
          <w:color w:val="000000"/>
        </w:rPr>
        <w:t>rovnici pristupiti na ročište (</w:t>
      </w:r>
      <w:r w:rsidRPr="00BF1812">
        <w:rPr>
          <w:color w:val="000000"/>
        </w:rPr>
        <w:t>točka X. izreke); određeno je da se rješenje dostavi sudskom registru te Općinskom građanskom sudu u Zagrebu (točke XI., XII. i XIII. izreke).</w:t>
      </w:r>
    </w:p>
    <w:p w:rsidR="00BF1812" w:rsidP="00BF1812" w:rsidRDefault="00BF1812">
      <w:pPr>
        <w:pStyle w:val="Bezproreda"/>
        <w:spacing w:after="0"/>
        <w:jc w:val="both"/>
        <w:rPr>
          <w:color w:val="000000"/>
        </w:rPr>
      </w:pPr>
    </w:p>
    <w:p w:rsidRPr="00BF1812" w:rsidR="00BF1812" w:rsidP="00BF1812" w:rsidRDefault="00BF1812">
      <w:pPr>
        <w:pStyle w:val="Bezproreda"/>
        <w:spacing w:after="0"/>
        <w:ind w:firstLine="708"/>
        <w:jc w:val="both"/>
        <w:rPr>
          <w:color w:val="000000"/>
        </w:rPr>
      </w:pPr>
      <w:r w:rsidRPr="00BF1812">
        <w:rPr>
          <w:color w:val="000000"/>
        </w:rPr>
        <w:t>Iz obrazloženja pobijanog rješenja proizlazi kako je sud utvrdio postojanje stečajnog razloga nesposobnosti za plaćanje kod dužnika u</w:t>
      </w:r>
      <w:r>
        <w:rPr>
          <w:color w:val="000000"/>
        </w:rPr>
        <w:t xml:space="preserve"> smislu odredbe članka 6. stavka 2. SZ-a („Narodne novine“ broj 71/15</w:t>
      </w:r>
      <w:r w:rsidRPr="00BF1812">
        <w:rPr>
          <w:color w:val="000000"/>
        </w:rPr>
        <w:t xml:space="preserve">) pa </w:t>
      </w:r>
      <w:r w:rsidR="008A3823">
        <w:rPr>
          <w:color w:val="000000"/>
        </w:rPr>
        <w:t xml:space="preserve">je </w:t>
      </w:r>
      <w:r w:rsidRPr="00BF1812">
        <w:rPr>
          <w:color w:val="000000"/>
        </w:rPr>
        <w:t>donio pobijano rješenje.</w:t>
      </w:r>
    </w:p>
    <w:p w:rsidRPr="00BF1812" w:rsidR="00BF1812" w:rsidP="00BF1812" w:rsidRDefault="00BF1812">
      <w:pPr>
        <w:spacing w:after="200"/>
        <w:ind w:firstLine="708"/>
        <w:jc w:val="both"/>
        <w:rPr>
          <w:rFonts w:eastAsia="Times New Roman" w:cs="Times New Roman"/>
          <w:color w:val="000000"/>
          <w:lang w:eastAsia="hr-HR"/>
        </w:rPr>
      </w:pPr>
      <w:r w:rsidRPr="00BF1812">
        <w:rPr>
          <w:rFonts w:eastAsia="Times New Roman" w:cs="Times New Roman"/>
          <w:color w:val="000000"/>
          <w:lang w:eastAsia="hr-HR"/>
        </w:rPr>
        <w:lastRenderedPageBreak/>
        <w:t xml:space="preserve">Protiv označenog rješenja žalbu su podnijeli dužnik i Dražen Lukšić iz Splita. U žalbi navode da dužnik nema dugotrajne imovine za podmirenje troškova postupka pa je sud trebao primijeniti odredbu članka 431. SZ-a. Predlažu da su prihvati žalba.  </w:t>
      </w:r>
    </w:p>
    <w:p w:rsidRPr="00BF1812" w:rsidR="00BF1812" w:rsidP="00BF1812" w:rsidRDefault="00BF1812">
      <w:pPr>
        <w:spacing w:after="200"/>
        <w:ind w:firstLine="708"/>
        <w:jc w:val="both"/>
        <w:rPr>
          <w:rFonts w:eastAsia="Times New Roman" w:cs="Times New Roman"/>
          <w:color w:val="000000"/>
          <w:lang w:eastAsia="hr-HR"/>
        </w:rPr>
      </w:pPr>
      <w:r w:rsidRPr="00BF1812">
        <w:rPr>
          <w:rFonts w:eastAsia="Times New Roman" w:cs="Times New Roman"/>
          <w:color w:val="000000"/>
          <w:lang w:eastAsia="hr-HR"/>
        </w:rPr>
        <w:t>Dužnikova žalba nije dopuštena.</w:t>
      </w:r>
    </w:p>
    <w:p w:rsidRPr="00BF1812" w:rsidR="00BF1812" w:rsidP="00BF1812" w:rsidRDefault="00BF1812">
      <w:pPr>
        <w:spacing w:after="200"/>
        <w:ind w:firstLine="708"/>
        <w:jc w:val="both"/>
        <w:rPr>
          <w:rFonts w:eastAsia="Times New Roman" w:cs="Times New Roman"/>
          <w:color w:val="000000"/>
          <w:lang w:eastAsia="hr-HR"/>
        </w:rPr>
      </w:pPr>
      <w:r w:rsidRPr="00BF1812">
        <w:rPr>
          <w:rFonts w:eastAsia="Times New Roman" w:cs="Times New Roman"/>
          <w:color w:val="000000"/>
          <w:lang w:eastAsia="hr-HR"/>
        </w:rPr>
        <w:t>Žalba Dražena Lukšića nije osnovana.</w:t>
      </w:r>
    </w:p>
    <w:p w:rsidRPr="00BF1812" w:rsidR="00BF1812" w:rsidP="00BF1812" w:rsidRDefault="00BF1812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BF1812">
        <w:rPr>
          <w:rFonts w:eastAsia="Times New Roman" w:cs="Times New Roman"/>
          <w:lang w:eastAsia="hr-HR"/>
        </w:rPr>
        <w:t xml:space="preserve">Ispitavši pobijano rješenje u smislu odredbe članka </w:t>
      </w:r>
      <w:r>
        <w:rPr>
          <w:rFonts w:eastAsia="Times New Roman" w:cs="Times New Roman"/>
          <w:lang w:eastAsia="hr-HR"/>
        </w:rPr>
        <w:t>365. stavka</w:t>
      </w:r>
      <w:r w:rsidRPr="00BF1812">
        <w:rPr>
          <w:rFonts w:eastAsia="Times New Roman" w:cs="Times New Roman"/>
          <w:lang w:eastAsia="hr-HR"/>
        </w:rPr>
        <w:t xml:space="preserve"> 2.</w:t>
      </w:r>
      <w:r w:rsidRPr="00BF1812">
        <w:rPr>
          <w:rFonts w:eastAsia="Calibri" w:cs="Times New Roman"/>
          <w:sz w:val="22"/>
        </w:rPr>
        <w:t xml:space="preserve"> </w:t>
      </w:r>
      <w:r w:rsidR="008A3823">
        <w:rPr>
          <w:rFonts w:eastAsia="Calibri" w:cs="Times New Roman"/>
        </w:rPr>
        <w:t>Zakona o parničnom postupku („</w:t>
      </w:r>
      <w:r w:rsidRPr="00BF1812">
        <w:rPr>
          <w:rFonts w:eastAsia="Calibri" w:cs="Times New Roman"/>
        </w:rPr>
        <w:t>Narodne novine“ broj</w:t>
      </w:r>
      <w:r>
        <w:rPr>
          <w:rFonts w:eastAsia="Calibri" w:cs="Times New Roman"/>
        </w:rPr>
        <w:t>:</w:t>
      </w:r>
      <w:r w:rsidRPr="00BF1812">
        <w:rPr>
          <w:rFonts w:eastAsia="Calibri" w:cs="Times New Roman"/>
        </w:rPr>
        <w:t xml:space="preserve"> 53/91, 91/92, 58/93, 112/99, 129/00, 88/01, 117/03, 88/05, 2/</w:t>
      </w:r>
      <w:r w:rsidR="008A3823">
        <w:rPr>
          <w:rFonts w:eastAsia="Calibri" w:cs="Times New Roman"/>
        </w:rPr>
        <w:t>07, 84/08, 123/08, 57/11, 25/13 i 89/14;</w:t>
      </w:r>
      <w:r w:rsidRPr="00BF1812">
        <w:rPr>
          <w:rFonts w:eastAsia="Calibri" w:cs="Times New Roman"/>
        </w:rPr>
        <w:t xml:space="preserve"> dalje ZPP),</w:t>
      </w:r>
      <w:r w:rsidRPr="00BF1812">
        <w:rPr>
          <w:rFonts w:eastAsia="Calibri" w:cs="Times New Roman"/>
          <w:sz w:val="22"/>
        </w:rPr>
        <w:t xml:space="preserve"> </w:t>
      </w:r>
      <w:r>
        <w:rPr>
          <w:rFonts w:eastAsia="Times New Roman" w:cs="Times New Roman"/>
          <w:lang w:eastAsia="hr-HR"/>
        </w:rPr>
        <w:t xml:space="preserve">u </w:t>
      </w:r>
      <w:r w:rsidRPr="00BF1812">
        <w:rPr>
          <w:rFonts w:eastAsia="Times New Roman" w:cs="Times New Roman"/>
          <w:lang w:eastAsia="hr-HR"/>
        </w:rPr>
        <w:t xml:space="preserve">vezi s odredbom članka 10. </w:t>
      </w:r>
      <w:r w:rsidRPr="00BF1812">
        <w:rPr>
          <w:rFonts w:eastAsia="Calibri" w:cs="Times New Roman"/>
        </w:rPr>
        <w:t xml:space="preserve">SZ-a </w:t>
      </w:r>
      <w:r w:rsidRPr="00BF1812">
        <w:rPr>
          <w:rFonts w:eastAsia="Times New Roman" w:cs="Times New Roman"/>
          <w:lang w:eastAsia="hr-HR"/>
        </w:rPr>
        <w:t xml:space="preserve">u granicama razloga navedenih u žalbi pazeći po službenoj dužnosti na bitne povrede odredaba parničnog postupka iz članka </w:t>
      </w:r>
      <w:smartTag w:uri="urn:schemas-microsoft-com:office:smarttags" w:element="metricconverter">
        <w:smartTagPr>
          <w:attr w:name="ProductID" w:val="354. st"/>
        </w:smartTagPr>
        <w:r w:rsidRPr="00BF1812">
          <w:rPr>
            <w:rFonts w:eastAsia="Times New Roman" w:cs="Times New Roman"/>
            <w:lang w:eastAsia="hr-HR"/>
          </w:rPr>
          <w:t>354. st</w:t>
        </w:r>
        <w:r>
          <w:rPr>
            <w:rFonts w:eastAsia="Times New Roman" w:cs="Times New Roman"/>
            <w:lang w:eastAsia="hr-HR"/>
          </w:rPr>
          <w:t>avka</w:t>
        </w:r>
      </w:smartTag>
      <w:r>
        <w:rPr>
          <w:rFonts w:eastAsia="Times New Roman" w:cs="Times New Roman"/>
          <w:lang w:eastAsia="hr-HR"/>
        </w:rPr>
        <w:t xml:space="preserve"> 2. točaka </w:t>
      </w:r>
      <w:r w:rsidR="008A3823">
        <w:rPr>
          <w:rFonts w:eastAsia="Times New Roman" w:cs="Times New Roman"/>
          <w:lang w:eastAsia="hr-HR"/>
        </w:rPr>
        <w:t xml:space="preserve">2., 4., 8., 9., 11., 13. i 14. </w:t>
      </w:r>
      <w:r w:rsidRPr="00BF1812">
        <w:rPr>
          <w:rFonts w:eastAsia="Times New Roman" w:cs="Times New Roman"/>
          <w:lang w:eastAsia="hr-HR"/>
        </w:rPr>
        <w:t>ZPP-a i na pravilnu primjenu materijalnog prava</w:t>
      </w:r>
      <w:r w:rsidRPr="00BF1812">
        <w:rPr>
          <w:rFonts w:eastAsia="Times New Roman" w:cs="Times New Roman"/>
          <w:i/>
          <w:lang w:eastAsia="hr-HR"/>
        </w:rPr>
        <w:t xml:space="preserve">, </w:t>
      </w:r>
      <w:r w:rsidRPr="00BF1812">
        <w:rPr>
          <w:rFonts w:eastAsia="Times New Roman" w:cs="Times New Roman"/>
          <w:lang w:eastAsia="hr-HR"/>
        </w:rPr>
        <w:t xml:space="preserve">ovaj sud nalazi da je prvostupanjsko rješenje pravilno i osnovano na zakonu. </w:t>
      </w:r>
    </w:p>
    <w:p w:rsidRPr="00BF1812" w:rsidR="00BF1812" w:rsidP="00BF1812" w:rsidRDefault="00BF1812">
      <w:pPr>
        <w:spacing w:before="100" w:beforeAutospacing="true" w:after="100" w:afterAutospacing="true"/>
        <w:ind w:firstLine="708"/>
        <w:jc w:val="both"/>
        <w:rPr>
          <w:rFonts w:eastAsia="Times New Roman" w:cs="Times New Roman"/>
          <w:color w:val="000000"/>
          <w:lang w:eastAsia="hr-HR"/>
        </w:rPr>
      </w:pPr>
      <w:r>
        <w:rPr>
          <w:rFonts w:eastAsia="Times New Roman" w:cs="Times New Roman"/>
          <w:lang w:eastAsia="hr-HR"/>
        </w:rPr>
        <w:t>Prema odredbi članka 128. stavka</w:t>
      </w:r>
      <w:r w:rsidRPr="00BF1812">
        <w:rPr>
          <w:rFonts w:eastAsia="Times New Roman" w:cs="Times New Roman"/>
          <w:lang w:eastAsia="hr-HR"/>
        </w:rPr>
        <w:t xml:space="preserve"> 8. SZ-a </w:t>
      </w:r>
      <w:r w:rsidRPr="00BF1812">
        <w:rPr>
          <w:rFonts w:eastAsia="Times New Roman" w:cs="Times New Roman"/>
          <w:color w:val="000000"/>
          <w:lang w:eastAsia="hr-HR"/>
        </w:rPr>
        <w:t>protiv rješenja o otvaranju stečajnoga postupka pravo na žalbu ima osoba ovlaštena za zastupanje dužnika po zakonu do dana nastupanja pravnih posljedica otvaranja stečajnoga postupka i dužnik pojedinac, a protiv rješenja o odbijanju prijedloga za otvaranje stečajnoga postupka pravo na žalbu ima podnositelj prijedloga.</w:t>
      </w:r>
    </w:p>
    <w:p w:rsidRPr="00BF1812" w:rsidR="00BF1812" w:rsidP="00BF1812" w:rsidRDefault="00BF1812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BF1812">
        <w:rPr>
          <w:rFonts w:eastAsia="Times New Roman" w:cs="Times New Roman"/>
          <w:lang w:eastAsia="hr-HR"/>
        </w:rPr>
        <w:t>Kako dužnik Potporanj d.o.o., kao pravna osoba nije ovlašten podnijeti žalbu protiv rješenja o otvaranju stečajnog postupka u s</w:t>
      </w:r>
      <w:r>
        <w:rPr>
          <w:rFonts w:eastAsia="Times New Roman" w:cs="Times New Roman"/>
          <w:lang w:eastAsia="hr-HR"/>
        </w:rPr>
        <w:t>mislu odredbe članka 128. stavka</w:t>
      </w:r>
      <w:r w:rsidRPr="00BF1812">
        <w:rPr>
          <w:rFonts w:eastAsia="Times New Roman" w:cs="Times New Roman"/>
          <w:lang w:eastAsia="hr-HR"/>
        </w:rPr>
        <w:t xml:space="preserve"> 8. SZ-a, valjalo je riješiti kao u točki II. izreke ovog rješenja prema odredbi članka 380</w:t>
      </w:r>
      <w:r>
        <w:rPr>
          <w:rFonts w:eastAsia="Times New Roman" w:cs="Times New Roman"/>
          <w:lang w:eastAsia="hr-HR"/>
        </w:rPr>
        <w:t xml:space="preserve">. točke </w:t>
      </w:r>
      <w:r w:rsidRPr="00BF1812">
        <w:rPr>
          <w:rFonts w:eastAsia="Times New Roman" w:cs="Times New Roman"/>
          <w:lang w:eastAsia="hr-HR"/>
        </w:rPr>
        <w:t>1. ZPP-a u vezi s odredbom članka 10. SZ-a.</w:t>
      </w:r>
    </w:p>
    <w:p w:rsidRPr="00BF1812" w:rsidR="00BF1812" w:rsidP="00BF1812" w:rsidRDefault="00BF1812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BF1812" w:rsidR="00BF1812" w:rsidP="00BF1812" w:rsidRDefault="00BF1812">
      <w:pPr>
        <w:spacing w:after="200"/>
        <w:jc w:val="both"/>
        <w:rPr>
          <w:rFonts w:eastAsia="Times New Roman" w:cs="Times New Roman"/>
          <w:color w:val="000000"/>
          <w:lang w:eastAsia="hr-HR"/>
        </w:rPr>
      </w:pPr>
      <w:r w:rsidRPr="00BF1812">
        <w:rPr>
          <w:rFonts w:eastAsia="Times New Roman" w:cs="Times New Roman"/>
          <w:color w:val="000000"/>
          <w:lang w:eastAsia="hr-HR"/>
        </w:rPr>
        <w:tab/>
        <w:t xml:space="preserve">Iz stanja spisa proizlazi da je sud nakon što je Financijska agencija podnijela zahtjev za provedbu skraćenog stečajnog postupka nad dužnikom, rješenjem poslovni broj </w:t>
      </w:r>
      <w:r>
        <w:rPr>
          <w:rFonts w:eastAsia="Times New Roman" w:cs="Times New Roman"/>
          <w:color w:val="000000"/>
          <w:lang w:eastAsia="hr-HR"/>
        </w:rPr>
        <w:br/>
      </w:r>
      <w:r w:rsidRPr="00BF1812">
        <w:rPr>
          <w:rFonts w:eastAsia="Times New Roman" w:cs="Times New Roman"/>
          <w:color w:val="000000"/>
          <w:lang w:eastAsia="hr-HR"/>
        </w:rPr>
        <w:t>St-1566/2015 od 19. rujna 2016. obustavio skraćeni stečajni postupak, da je rješenjem poslovni broj St-1834/2016 od 15. travnja 2019. pokrenuo prethodni postupak te da je nakon provedenog prethodnog postupka, donio pobijano rješenje.</w:t>
      </w:r>
    </w:p>
    <w:p w:rsidRPr="00BF1812" w:rsidR="00BF1812" w:rsidP="00BF1812" w:rsidRDefault="00BF1812">
      <w:pPr>
        <w:spacing w:after="200"/>
        <w:jc w:val="both"/>
        <w:rPr>
          <w:rFonts w:eastAsia="Times New Roman" w:cs="Times New Roman"/>
          <w:color w:val="000000"/>
          <w:lang w:eastAsia="hr-HR"/>
        </w:rPr>
      </w:pPr>
      <w:r w:rsidRPr="00BF1812">
        <w:rPr>
          <w:rFonts w:eastAsia="Times New Roman" w:cs="Times New Roman"/>
          <w:color w:val="000000"/>
          <w:lang w:eastAsia="hr-HR"/>
        </w:rPr>
        <w:tab/>
        <w:t>Osnovno je pravilo da se stečajni postupak može otvoriti ako sud utvrdi postojanje stečajnog razloga (članak 5. stavak 1. SZ-a). U konkretnom slučaju sud je utvrdio postojanje stečajnog razloga nesposobnosti za plaćanje, što u žalbi ne osporava niti žalitelj Dražen Lukšić pa su ispunjene pretpostavke za otvaranje stečajnog postupka.</w:t>
      </w:r>
    </w:p>
    <w:p w:rsidRPr="00BF1812" w:rsidR="00BF1812" w:rsidP="00BF1812" w:rsidRDefault="00BF1812">
      <w:pPr>
        <w:spacing w:after="200"/>
        <w:jc w:val="both"/>
        <w:rPr>
          <w:rFonts w:eastAsia="Calibri" w:cs="Times New Roman"/>
          <w:color w:val="000000"/>
        </w:rPr>
      </w:pPr>
      <w:r w:rsidRPr="00BF1812">
        <w:rPr>
          <w:rFonts w:eastAsia="Times New Roman" w:cs="Times New Roman"/>
          <w:color w:val="000000"/>
          <w:lang w:eastAsia="hr-HR"/>
        </w:rPr>
        <w:tab/>
        <w:t>Odluka suda o tome hoće li se nakon otvaranja stečajnog postupka taj postupak i provoditi, zavisi od utvrđenja suda u postupku koji prethodi donošenju odluke o otvaranju stečajnog postupka</w:t>
      </w:r>
      <w:r w:rsidRPr="00BF1812">
        <w:rPr>
          <w:rFonts w:eastAsia="Calibri" w:cs="Times New Roman"/>
          <w:color w:val="000000"/>
        </w:rPr>
        <w:t xml:space="preserve"> o tome ima li dužnik imovinu koja bi ušla u stečajnu masu, a koja je dov</w:t>
      </w:r>
      <w:r w:rsidR="008A3823">
        <w:rPr>
          <w:rFonts w:eastAsia="Calibri" w:cs="Times New Roman"/>
          <w:color w:val="000000"/>
        </w:rPr>
        <w:t>oljna za namirenje troškova tog</w:t>
      </w:r>
      <w:r w:rsidRPr="00BF1812">
        <w:rPr>
          <w:rFonts w:eastAsia="Calibri" w:cs="Times New Roman"/>
          <w:color w:val="000000"/>
        </w:rPr>
        <w:t xml:space="preserve"> postupka.</w:t>
      </w:r>
    </w:p>
    <w:p w:rsidRPr="00BF1812" w:rsidR="00BF1812" w:rsidP="00BF1812" w:rsidRDefault="00BF1812">
      <w:pPr>
        <w:spacing w:after="200"/>
        <w:jc w:val="both"/>
        <w:rPr>
          <w:rFonts w:eastAsia="Calibri" w:cs="Times New Roman"/>
          <w:color w:val="000000"/>
        </w:rPr>
      </w:pPr>
      <w:r w:rsidRPr="00BF1812">
        <w:rPr>
          <w:rFonts w:eastAsia="Calibri" w:cs="Times New Roman"/>
          <w:color w:val="000000"/>
        </w:rPr>
        <w:tab/>
        <w:t>U konkretnom slučaju, sud je u prethodnom postupku utvrdio da dužnik ima imovine koja nije neznatne vrijednosti pa je odlučio da se otvoreni stečajni postupak i provede.</w:t>
      </w:r>
    </w:p>
    <w:p w:rsidRPr="00BF1812" w:rsidR="00BF1812" w:rsidP="00BF1812" w:rsidRDefault="00BF1812">
      <w:pPr>
        <w:spacing w:before="100" w:beforeAutospacing="true" w:after="100" w:afterAutospacing="true"/>
        <w:jc w:val="both"/>
        <w:rPr>
          <w:rFonts w:eastAsia="Times New Roman" w:cs="Times New Roman"/>
          <w:color w:val="000000"/>
          <w:lang w:eastAsia="hr-HR"/>
        </w:rPr>
      </w:pPr>
      <w:r w:rsidRPr="00BF1812">
        <w:rPr>
          <w:rFonts w:eastAsia="Times New Roman" w:cs="Times New Roman"/>
          <w:color w:val="000000"/>
          <w:lang w:eastAsia="hr-HR"/>
        </w:rPr>
        <w:tab/>
        <w:t>Na pravilnost pobijanog rješenja n</w:t>
      </w:r>
      <w:r w:rsidR="008A3823">
        <w:rPr>
          <w:rFonts w:eastAsia="Times New Roman" w:cs="Times New Roman"/>
          <w:color w:val="000000"/>
          <w:lang w:eastAsia="hr-HR"/>
        </w:rPr>
        <w:t xml:space="preserve">e utječe navod Dražena Lukšića </w:t>
      </w:r>
      <w:r w:rsidRPr="00BF1812">
        <w:rPr>
          <w:rFonts w:eastAsia="Times New Roman" w:cs="Times New Roman"/>
          <w:color w:val="000000"/>
          <w:lang w:eastAsia="hr-HR"/>
        </w:rPr>
        <w:t xml:space="preserve">da je sud trebao primijeniti odredbu članka 431. SZ-a, budući da se ta odredba primjenjuje u slučaju kada u skraćenom stečajnom postupku osobe ovlaštene za zastupanje dužnika po zakonu u roku od 15 dana ne podnesu popis imovine </w:t>
      </w:r>
      <w:r w:rsidR="008A3823">
        <w:rPr>
          <w:rFonts w:eastAsia="Times New Roman" w:cs="Times New Roman"/>
          <w:color w:val="000000"/>
          <w:lang w:eastAsia="hr-HR"/>
        </w:rPr>
        <w:t>i obveza dužnika ili ako iz tog</w:t>
      </w:r>
      <w:r w:rsidRPr="00BF1812">
        <w:rPr>
          <w:rFonts w:eastAsia="Times New Roman" w:cs="Times New Roman"/>
          <w:color w:val="000000"/>
          <w:lang w:eastAsia="hr-HR"/>
        </w:rPr>
        <w:t xml:space="preserve"> popisa proizlazi da dužnik ima imovinu koja nije dostatna za namirenje predvidivih troškova stečajnoga postupka te ako u roku od 45 dana nijedan vjerovnik ne predloži otvaranje stečajnoga postupka i ne predujmi sredstva za namirenje troškova postupka, što ovdje nije slučaj jer je skraćeni stečajni postupak obustavljen.</w:t>
      </w:r>
    </w:p>
    <w:p w:rsidRPr="00BF1812" w:rsidR="00BF1812" w:rsidP="00BF1812" w:rsidRDefault="00BF1812">
      <w:pPr>
        <w:spacing w:after="200"/>
        <w:ind w:firstLine="708"/>
        <w:jc w:val="both"/>
        <w:rPr>
          <w:rFonts w:eastAsia="Times New Roman" w:cs="Times New Roman"/>
          <w:color w:val="000000"/>
          <w:lang w:eastAsia="hr-HR"/>
        </w:rPr>
      </w:pPr>
      <w:r w:rsidRPr="00BF1812">
        <w:rPr>
          <w:rFonts w:eastAsia="Times New Roman" w:cs="Times New Roman"/>
          <w:color w:val="000000"/>
          <w:lang w:eastAsia="hr-HR"/>
        </w:rPr>
        <w:t xml:space="preserve"> Slijedom navedenog, valjalo je žalbu Dražena Lukšića odbiti kao neosnovanu i potvrditi prvostupanjsko rješenje prema odredbi članka</w:t>
      </w:r>
      <w:r w:rsidR="000605E9">
        <w:rPr>
          <w:rFonts w:eastAsia="Times New Roman" w:cs="Times New Roman"/>
          <w:color w:val="000000"/>
          <w:lang w:eastAsia="hr-HR"/>
        </w:rPr>
        <w:t xml:space="preserve"> 380. točke</w:t>
      </w:r>
      <w:r w:rsidRPr="00BF1812">
        <w:rPr>
          <w:rFonts w:eastAsia="Times New Roman" w:cs="Times New Roman"/>
          <w:color w:val="000000"/>
          <w:lang w:eastAsia="hr-HR"/>
        </w:rPr>
        <w:t xml:space="preserve"> 2. ZPP-a u vezi s odredbom članka 10. SZ-a, kako je riješeno u točki I. izreke ovog rješenja.</w:t>
      </w:r>
    </w:p>
    <w:p w:rsidRPr="00BF1812" w:rsidR="00BF1812" w:rsidP="000605E9" w:rsidRDefault="00BF1812">
      <w:pPr>
        <w:spacing w:after="200"/>
        <w:jc w:val="center"/>
        <w:rPr>
          <w:rFonts w:eastAsia="Times New Roman" w:cs="Times New Roman"/>
          <w:color w:val="000000"/>
          <w:lang w:eastAsia="hr-HR"/>
        </w:rPr>
      </w:pPr>
      <w:r w:rsidRPr="00BF1812">
        <w:rPr>
          <w:rFonts w:eastAsia="Times New Roman" w:cs="Times New Roman"/>
          <w:color w:val="000000"/>
          <w:lang w:eastAsia="hr-HR"/>
        </w:rPr>
        <w:t>Zagreb,  9. srpnja 2019.</w:t>
      </w:r>
    </w:p>
    <w:p w:rsidR="008A3823" w:rsidP="00F52880" w:rsidRDefault="008A3823">
      <w:pPr>
        <w:pStyle w:val="Bezproreda"/>
        <w:ind w:left="4536"/>
        <w:jc w:val="center"/>
      </w:pPr>
      <w:r>
        <w:t>Predsjednik vijeća</w:t>
      </w:r>
    </w:p>
    <w:p w:rsidR="008A3823" w:rsidP="00F52880" w:rsidRDefault="008A3823">
      <w:pPr>
        <w:pStyle w:val="Bezproreda"/>
        <w:ind w:left="4536"/>
        <w:jc w:val="center"/>
      </w:pPr>
      <w:r>
        <w:t>dr. sc. Srđan Šimac, v. r.</w:t>
      </w:r>
    </w:p>
    <w:p w:rsidR="008A3823" w:rsidP="00F52880" w:rsidRDefault="008A3823">
      <w:pPr>
        <w:pStyle w:val="Bezproreda"/>
        <w:ind w:left="4536"/>
        <w:jc w:val="center"/>
      </w:pPr>
    </w:p>
    <w:p w:rsidR="008A3823" w:rsidP="00F52880" w:rsidRDefault="008A3823">
      <w:pPr>
        <w:pStyle w:val="Bezproreda"/>
        <w:ind w:left="4536"/>
        <w:jc w:val="center"/>
      </w:pPr>
      <w:r>
        <w:t>Za točnost otpravka – ovlašteni službenik</w:t>
      </w:r>
    </w:p>
    <w:p w:rsidR="008A3823" w:rsidP="00F52880" w:rsidRDefault="008A3823">
      <w:pPr>
        <w:pStyle w:val="Bezproreda"/>
        <w:ind w:left="4536"/>
        <w:jc w:val="center"/>
      </w:pPr>
      <w:r>
        <w:t>Brankica Curman</w:t>
      </w:r>
    </w:p>
    <w:p w:rsidRPr="00BF1812" w:rsidR="00BF1812" w:rsidP="00BF1812" w:rsidRDefault="00BF1812">
      <w:pPr>
        <w:spacing w:after="200"/>
        <w:jc w:val="both"/>
        <w:rPr>
          <w:rFonts w:eastAsia="Times New Roman" w:cs="Times New Roman"/>
          <w:color w:val="000000"/>
          <w:lang w:eastAsia="hr-HR"/>
        </w:rPr>
      </w:pPr>
    </w:p>
    <w:p w:rsidRPr="00BF1812" w:rsidR="00BF1812" w:rsidP="00BF1812" w:rsidRDefault="00BF1812">
      <w:pPr>
        <w:spacing w:after="200"/>
        <w:jc w:val="both"/>
        <w:rPr>
          <w:rFonts w:eastAsia="Times New Roman" w:cs="Times New Roman"/>
          <w:color w:val="000000"/>
          <w:lang w:eastAsia="hr-HR"/>
        </w:rPr>
      </w:pPr>
    </w:p>
    <w:p w:rsidRPr="00BF1812" w:rsidR="00BF1812" w:rsidP="00BF1812" w:rsidRDefault="00BF1812">
      <w:pPr>
        <w:spacing w:after="200" w:line="276" w:lineRule="auto"/>
        <w:jc w:val="both"/>
        <w:rPr>
          <w:rFonts w:ascii="Calibri" w:hAnsi="Calibri" w:eastAsia="Calibri" w:cs="Times New Roman"/>
          <w:sz w:val="22"/>
          <w:szCs w:val="22"/>
        </w:rPr>
      </w:pPr>
    </w:p>
    <w:p w:rsidRPr="00BF1812" w:rsidR="00BF1812" w:rsidP="00BF1812" w:rsidRDefault="00BF1812">
      <w:pPr>
        <w:spacing w:after="200" w:line="276" w:lineRule="auto"/>
        <w:jc w:val="both"/>
        <w:rPr>
          <w:rFonts w:ascii="Calibri" w:hAnsi="Calibri" w:eastAsia="Calibri" w:cs="Times New Roman"/>
          <w:sz w:val="22"/>
          <w:szCs w:val="22"/>
        </w:rPr>
      </w:pPr>
    </w:p>
    <w:p w:rsidRPr="00BF1812" w:rsidR="00BF1812" w:rsidP="00BF1812" w:rsidRDefault="00BF1812">
      <w:pPr>
        <w:spacing w:after="200" w:line="276" w:lineRule="auto"/>
        <w:jc w:val="both"/>
        <w:rPr>
          <w:rFonts w:ascii="Calibri" w:hAnsi="Calibri" w:eastAsia="Calibri" w:cs="Times New Roman"/>
          <w:sz w:val="22"/>
          <w:szCs w:val="22"/>
        </w:rPr>
      </w:pPr>
    </w:p>
    <w:p w:rsidRPr="00BF1812" w:rsidR="00BF1812" w:rsidP="00BF1812" w:rsidRDefault="00BF1812">
      <w:pPr>
        <w:spacing w:after="200" w:line="276" w:lineRule="auto"/>
        <w:jc w:val="both"/>
        <w:rPr>
          <w:rFonts w:ascii="Calibri" w:hAnsi="Calibri" w:eastAsia="Calibri" w:cs="Times New Roman"/>
          <w:sz w:val="22"/>
          <w:szCs w:val="22"/>
        </w:rPr>
      </w:pPr>
    </w:p>
    <w:p w:rsidR="00BF1812" w:rsidP="00BF1812" w:rsidRDefault="00BF1812">
      <w:pPr>
        <w:pStyle w:val="Bezproreda"/>
        <w:spacing w:after="0"/>
        <w:jc w:val="both"/>
      </w:pPr>
    </w:p>
    <w:p w:rsidRPr="0020453E" w:rsidR="00BF1812" w:rsidP="00BF1812" w:rsidRDefault="00BF1812">
      <w:pPr>
        <w:pStyle w:val="Bezproreda"/>
        <w:spacing w:after="0"/>
        <w:jc w:val="both"/>
      </w:pPr>
    </w:p>
    <w:sectPr w:rsidRPr="0020453E" w:rsidR="00BF1812" w:rsidSect="003717A6">
      <w:headerReference w:type="default" r:id="rId11"/>
      <w:footerReference w:type="default" r:id="rId12"/>
      <w:pgSz w:w="11907" w:h="16839" w:code="9"/>
      <w:pgMar w:top="1418" w:right="1418" w:bottom="1080" w:left="1418" w:header="1436" w:footer="719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518D4" w:rsidP="00537B78" w:rsidRDefault="00C518D4">
      <w:r>
        <w:separator/>
      </w:r>
    </w:p>
  </w:endnote>
  <w:endnote w:type="continuationSeparator" w:id="0">
    <w:p w:rsidR="00C518D4" w:rsidP="00537B78" w:rsidRDefault="00C518D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170492" w:rsidRDefault="006C43C5">
    <w:pPr>
      <w:pStyle w:val="Stranica"/>
      <w:jc w:val="left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518D4" w:rsidP="00537B78" w:rsidRDefault="00C518D4">
      <w:r>
        <w:separator/>
      </w:r>
    </w:p>
  </w:footnote>
  <w:footnote w:type="continuationSeparator" w:id="0">
    <w:p w:rsidR="00C518D4" w:rsidP="00537B78" w:rsidRDefault="00C518D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="00170492" w:rsidP="004C60ED" w:rsidRDefault="00170492">
        <w:pPr>
          <w:pStyle w:val="HeadereSPIS"/>
        </w:pPr>
        <w:r w:rsidRPr="00C92375">
          <w:rPr>
            <w:rStyle w:val="PozadinaSvijetloCrvena"/>
            <w:noProof w:val="false"/>
            <w:shd w:val="clear" w:color="auto" w:fill="auto"/>
          </w:rPr>
          <w:t>Poslovni</w:t>
        </w:r>
        <w:r w:rsidRPr="001C4583">
          <w:rPr>
            <w:rStyle w:val="PozadinaSvijetloCrvena"/>
            <w:shd w:val="clear" w:color="auto" w:fill="auto"/>
          </w:rPr>
          <w:t xml:space="preserve"> broj:</w:t>
        </w:r>
        <w:r w:rsidR="006805A7">
          <w:rPr>
            <w:rStyle w:val="PozadinaSvijetloCrvena"/>
            <w:shd w:val="clear" w:color="auto" w:fill="auto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xpath="/icms/DomainObject.Predmet.Referada.Oznaka/derivirana_varijabla[@naziv='DomainObject.Predmet.Referada.Oznaka_1']" w:storeItemID="{100293BC-3C9C-4740-99C7-73F5E9006100}"/>
            <w:text/>
          </w:sdtPr>
          <w:sdtEndPr>
            <w:rPr>
              <w:rStyle w:val="eSPISCCParagraphDefaultFont"/>
            </w:rPr>
          </w:sdtEndPr>
          <w:sdtContent>
            <w:r w:rsidRPr="008A24B9" w:rsidR="00BF1812">
              <w:rPr>
                <w:rStyle w:val="eSPISCCParagraphDefaultFont"/>
              </w:rPr>
              <w:t>75</w:t>
            </w:r>
          </w:sdtContent>
        </w:sdt>
        <w:r>
          <w:rPr>
            <w:rStyle w:val="PozadinaSvijetloCrvena"/>
            <w:shd w:val="clear" w:color="auto" w:fill="auto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xpath="/icms/DomainObject.PoslovniBrojDokumenta/derivirana_varijabla[@naziv='DomainObject.PoslovniBrojDokumenta_1']" w:storeItemID="{100293BC-3C9C-4740-99C7-73F5E9006100}"/>
            <w:text/>
          </w:sdtPr>
          <w:sdtEndPr>
            <w:rPr>
              <w:rStyle w:val="eSPISCCParagraphDefaultFont"/>
            </w:rPr>
          </w:sdtEndPr>
          <w:sdtContent>
            <w:r w:rsidRPr="008A24B9" w:rsidR="00BF1812">
              <w:rPr>
                <w:rStyle w:val="eSPISCCParagraphDefaultFont"/>
              </w:rPr>
              <w:t>Pž-4286/2019-2</w:t>
            </w:r>
          </w:sdtContent>
        </w:sdt>
      </w:p>
      <w:p w:rsidR="00170492" w:rsidP="00170492" w:rsidRDefault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4B9">
          <w:t>3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3ACE2EF0"/>
    <w:multiLevelType w:val="hybridMultilevel"/>
    <w:tmpl w:val="EF120AD4"/>
    <w:lvl w:ilvl="0" w:tplc="289AE32E">
      <w:start w:val="1"/>
      <w:numFmt w:val="upperRoman"/>
      <w:lvlText w:val="%1."/>
      <w:lvlJc w:val="left"/>
      <w:pPr>
        <w:ind w:left="1425" w:hanging="72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dit="readOnly" w:enforcement="false"/>
  <w:defaultTabStop w:val="709"/>
  <w:hyphenationZone w:val="425"/>
  <w:doNotHyphenateCaps/>
  <w:characterSpacingControl w:val="doNotCompress"/>
  <w:savePreviewPicture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05E9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5D09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B9"/>
    <w:rsid w:val="008A24C5"/>
    <w:rsid w:val="008A2B67"/>
    <w:rsid w:val="008A3823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1812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type="character" w:styleId="Stil1" w:customStyle="true">
    <w:name w:val="Stil1"/>
    <w:basedOn w:val="Zadanifontodlomka"/>
    <w:uiPriority w:val="1"/>
    <w:rsid w:val="00683B51"/>
    <w:rPr>
      <w:bdr w:val="none" w:color="auto" w:sz="0" w:space="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162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="00F71AFA" w:rsidP="000714FB" w:rsidRDefault="000714FB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="00F71AFA" w:rsidP="00C4409E" w:rsidRDefault="00C4409E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="00F71AFA" w:rsidP="000714FB" w:rsidRDefault="000714FB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="00F71AFA" w:rsidP="000714FB" w:rsidRDefault="000714FB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="00F71AFA" w:rsidP="000714FB" w:rsidRDefault="000714FB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="00F71AFA" w:rsidP="000714FB" w:rsidRDefault="000714FB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7B3F2E"/>
    <w:rsid w:val="00855D0C"/>
    <w:rsid w:val="0085783F"/>
    <w:rsid w:val="008B1279"/>
    <w:rsid w:val="008E597B"/>
    <w:rsid w:val="00AD1A43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714FB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B0CD4C336F954CDDB99272B08CB277BE" w:customStyle="true">
    <w:name w:val="B0CD4C336F954CDDB99272B08CB277BE"/>
  </w:style>
  <w:style w:type="paragraph" w:styleId="B10D299FF6B04F2980CA59984DD52830" w:customStyle="true">
    <w:name w:val="B10D299FF6B04F2980CA59984DD52830"/>
  </w:style>
  <w:style w:type="paragraph" w:styleId="070491135C7343F8B899B1E5528B5496" w:customStyle="true">
    <w:name w:val="070491135C7343F8B899B1E5528B5496"/>
  </w:style>
  <w:style w:type="paragraph" w:styleId="A2D3AB132FE44C9A804CB0BCE27CB1E8" w:customStyle="true">
    <w:name w:val="A2D3AB132FE44C9A804CB0BCE27CB1E8"/>
  </w:style>
  <w:style w:type="paragraph" w:styleId="67A439E68AF14DC6B7801868564B8225" w:customStyle="true">
    <w:name w:val="67A439E68AF14DC6B7801868564B8225"/>
  </w:style>
  <w:style w:type="paragraph" w:styleId="3893AC13EACA41EDB7C01A448C02A806" w:customStyle="true">
    <w:name w:val="3893AC13EACA41EDB7C01A448C02A806"/>
  </w:style>
  <w:style w:type="paragraph" w:styleId="E9711A8715A34F56AC129391156FDBFB" w:customStyle="true">
    <w:name w:val="E9711A8715A34F56AC129391156FDBFB"/>
  </w:style>
  <w:style w:type="paragraph" w:styleId="74CF45AFD5914477BC863F90DDE40AD1" w:customStyle="true">
    <w:name w:val="74CF45AFD5914477BC863F90DDE40AD1"/>
  </w:style>
  <w:style w:type="paragraph" w:styleId="AD1EE1A2E499453BA7117B7D7B2A6EDB" w:customStyle="true">
    <w:name w:val="AD1EE1A2E499453BA7117B7D7B2A6EDB"/>
  </w:style>
  <w:style w:type="paragraph" w:styleId="BB78A3202184471A856E1C1148D0FE39" w:customStyle="true">
    <w:name w:val="BB78A3202184471A856E1C1148D0FE39"/>
  </w:style>
  <w:style w:type="paragraph" w:styleId="BA562036727348ADAF95C3E6F1785AAD" w:customStyle="true">
    <w:name w:val="BA562036727348ADAF95C3E6F1785AAD"/>
  </w:style>
  <w:style w:type="paragraph" w:styleId="7327DC5479084347B4A62AC2797ECBDD" w:customStyle="true">
    <w:name w:val="7327DC5479084347B4A62AC2797ECBDD"/>
  </w:style>
  <w:style w:type="paragraph" w:styleId="BE633DF1719A4F7F9FC93FF7AC0B8AB8" w:customStyle="true">
    <w:name w:val="BE633DF1719A4F7F9FC93FF7AC0B8AB8"/>
    <w:rsid w:val="00C4409E"/>
  </w:style>
  <w:style w:type="paragraph" w:styleId="28EBA36691C148D6A5A2E6A907A2C366" w:customStyle="true">
    <w:name w:val="28EBA36691C148D6A5A2E6A907A2C366"/>
    <w:rsid w:val="00C4409E"/>
  </w:style>
  <w:style w:type="paragraph" w:styleId="0A3BF5C17DE948178EF6D64909A97797" w:customStyle="true">
    <w:name w:val="0A3BF5C17DE948178EF6D64909A97797"/>
    <w:rsid w:val="00C4409E"/>
  </w:style>
  <w:style w:type="paragraph" w:styleId="A5EDB863C2F640369A45094957B356D9" w:customStyle="true">
    <w:name w:val="A5EDB863C2F640369A45094957B356D9"/>
    <w:rsid w:val="00C4409E"/>
  </w:style>
  <w:style w:type="paragraph" w:styleId="797F028671094211A6375963200B3D17" w:customStyle="true">
    <w:name w:val="797F028671094211A6375963200B3D17"/>
    <w:rsid w:val="00C4409E"/>
  </w:style>
  <w:style w:type="paragraph" w:styleId="01AED7AAFE7A4DD7B63BD3291BC8DE21" w:customStyle="true">
    <w:name w:val="01AED7AAFE7A4DD7B63BD3291BC8DE21"/>
    <w:rsid w:val="00C4409E"/>
  </w:style>
  <w:style w:type="paragraph" w:styleId="8E889B82CA684C09A4EBEE999BCF3BD4" w:customStyle="true">
    <w:name w:val="8E889B82CA684C09A4EBEE999BCF3BD4"/>
    <w:rsid w:val="00C4409E"/>
  </w:style>
  <w:style w:type="paragraph" w:styleId="B10D299FF6B04F2980CA59984DD528301" w:customStyle="true">
    <w:name w:val="B10D299FF6B04F2980CA59984DD528301"/>
    <w:rsid w:val="00201BA8"/>
    <w:pPr>
      <w:spacing w:after="0" w:line="240" w:lineRule="auto"/>
    </w:pPr>
    <w:rPr>
      <w:rFonts w:ascii="Times New Roman" w:hAnsi="Times New Roman" w:eastAsiaTheme="minorHAnsi"/>
      <w:b/>
      <w:noProof/>
      <w:sz w:val="24"/>
      <w:szCs w:val="24"/>
      <w:lang w:eastAsia="en-US"/>
    </w:rPr>
  </w:style>
  <w:style w:type="paragraph" w:styleId="A5EDB863C2F640369A45094957B356D91" w:customStyle="true">
    <w:name w:val="A5EDB863C2F640369A45094957B356D9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797F028671094211A6375963200B3D171" w:customStyle="true">
    <w:name w:val="797F028671094211A6375963200B3D17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01AED7AAFE7A4DD7B63BD3291BC8DE211" w:customStyle="true">
    <w:name w:val="01AED7AAFE7A4DD7B63BD3291BC8DE211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8E889B82CA684C09A4EBEE999BCF3BD41" w:customStyle="true">
    <w:name w:val="8E889B82CA684C09A4EBEE999BCF3BD41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7F40C0097BA249BC9A5FE9CB01777649" w:customStyle="true">
    <w:name w:val="7F40C0097BA249BC9A5FE9CB01777649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55D09C916B014103813FC3AEB1980F99" w:customStyle="true">
    <w:name w:val="55D09C916B014103813FC3AEB1980F99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B10D299FF6B04F2980CA59984DD528302" w:customStyle="true">
    <w:name w:val="B10D299FF6B04F2980CA59984DD528302"/>
    <w:rsid w:val="000714FB"/>
    <w:pPr>
      <w:spacing w:after="0" w:line="240" w:lineRule="auto"/>
    </w:pPr>
    <w:rPr>
      <w:rFonts w:ascii="Times New Roman" w:hAnsi="Times New Roman" w:eastAsiaTheme="minorHAnsi"/>
      <w:b/>
      <w:noProof/>
      <w:sz w:val="24"/>
      <w:szCs w:val="24"/>
      <w:lang w:eastAsia="en-US"/>
    </w:rPr>
  </w:style>
  <w:style w:type="paragraph" w:styleId="A5EDB863C2F640369A45094957B356D92" w:customStyle="true">
    <w:name w:val="A5EDB863C2F640369A45094957B356D9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797F028671094211A6375963200B3D172" w:customStyle="true">
    <w:name w:val="797F028671094211A6375963200B3D17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01AED7AAFE7A4DD7B63BD3291BC8DE212" w:customStyle="true">
    <w:name w:val="01AED7AAFE7A4DD7B63BD3291BC8DE21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8E889B82CA684C09A4EBEE999BCF3BD42" w:customStyle="true">
    <w:name w:val="8E889B82CA684C09A4EBEE999BCF3BD4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50E210BC598946C59CC45DC66EE147E1" w:customStyle="true">
    <w:name w:val="50E210BC598946C59CC45DC66EE147E1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E100744690C94E8496AF6717CFF0F122" w:customStyle="true">
    <w:name w:val="E100744690C94E8496AF6717CFF0F12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Pž-4286/2019-2</izvorni_sadrzaj>
    <derivirana_varijabla naziv="DomainObject.Oznaka_1">Pž-4286/2019-2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Marković</izvorni_sadrzaj>
    <derivirana_varijabla naziv="DomainObject.DonositeljOdluke.Prezime_1">Marković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4286</izvorni_sadrzaj>
    <derivirana_varijabla naziv="DomainObject.Predmet.Broj_1">4286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2019.</izvorni_sadrzaj>
    <derivirana_varijabla naziv="DomainObject.Predmet.DatumOsnivanja_1">8.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srpnja 2019.</izvorni_sadrzaj>
    <derivirana_varijabla naziv="DomainObject.Predmet.DatumRjesavanja_1">16.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Pž-4286/2019</izvorni_sadrzaj>
    <derivirana_varijabla naziv="DomainObject.Predmet.OznakaBroj_1">Pž-4286/2019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Marković</izvorni_sadrzaj>
    <derivirana_varijabla naziv="DomainObject.Predmet.PredmetRijesio.Prezime_1">Marković</derivirana_varijabla>
  </DomainObject.Predmet.PredmetRijesio.Prezime>
  <DomainObject.Predmet.PrimjedbaSuca>
    <izvorni_sadrzaj>preslika dijela spisa I. stupnja; roč. na I. stupnju: 3.9.19.</izvorni_sadrzaj>
    <derivirana_varijabla naziv="DomainObject.Predmet.PrimjedbaSuca_1">preslika dijela spisa I. stupnja; roč. na I. stupnju: 3.9.19.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POTPORANJ d.o.o. za građenje u stečaju</izvorni_sadrzaj>
    <derivirana_varijabla naziv="DomainObject.Predmet.ProtustrankaFormated_1">  POTPORANJ d.o.o. za građenje u stečaju</derivirana_varijabla>
  </DomainObject.Predmet.ProtustrankaFormated>
  <DomainObject.Predmet.ProtustrankaFormatedOIB>
    <izvorni_sadrzaj>  POTPORANJ d.o.o. za građenje u stečaju, OIB 96958321366</izvorni_sadrzaj>
    <derivirana_varijabla naziv="DomainObject.Predmet.ProtustrankaFormatedOIB_1">  POTPORANJ d.o.o. za građenje u stečaju, OIB 96958321366</derivirana_varijabla>
  </DomainObject.Predmet.ProtustrankaFormatedOIB>
  <DomainObject.Predmet.ProtustrankaFormatedWithAdress>
    <izvorni_sadrzaj> POTPORANJ d.o.o. za građenje u stečaju, Ćiril-Metodova 6, 21000 Split</izvorni_sadrzaj>
    <derivirana_varijabla naziv="DomainObject.Predmet.ProtustrankaFormatedWithAdress_1"> POTPORANJ d.o.o. za građenje u stečaju, Ćiril-Metodova 6, 21000 Split</derivirana_varijabla>
  </DomainObject.Predmet.ProtustrankaFormatedWithAdress>
  <DomainObject.Predmet.ProtustrankaFormatedWithAdressOIB>
    <izvorni_sadrzaj> POTPORANJ d.o.o. za građenje u stečaju, OIB 96958321366, Ćiril-Metodova 6, 21000 Split</izvorni_sadrzaj>
    <derivirana_varijabla naziv="DomainObject.Predmet.ProtustrankaFormatedWithAdressOIB_1"> POTPORANJ d.o.o. za građenje u stečaju, OIB 96958321366, Ćiril-Metodova 6, 21000 Split</derivirana_varijabla>
  </DomainObject.Predmet.ProtustrankaFormatedWithAdressOIB>
  <DomainObject.Predmet.ProtustrankaWithAdress>
    <izvorni_sadrzaj>POTPORANJ d.o.o. za građenje u stečaju Ćiril-Metodova 6, 21000 Split</izvorni_sadrzaj>
    <derivirana_varijabla naziv="DomainObject.Predmet.ProtustrankaWithAdress_1">POTPORANJ d.o.o. za građenje u stečaju Ćiril-Metodova 6, 21000 Split</derivirana_varijabla>
  </DomainObject.Predmet.ProtustrankaWithAdress>
  <DomainObject.Predmet.ProtustrankaWithAdressOIB>
    <izvorni_sadrzaj>POTPORANJ d.o.o. za građenje u stečaju, OIB 96958321366, Ćiril-Metodova 6, 21000 Split</izvorni_sadrzaj>
    <derivirana_varijabla naziv="DomainObject.Predmet.ProtustrankaWithAdressOIB_1">POTPORANJ d.o.o. za građenje u stečaju, OIB 96958321366, Ćiril-Metodova 6, 21000 Split</derivirana_varijabla>
  </DomainObject.Predmet.ProtustrankaWithAdressOIB>
  <DomainObject.Predmet.ProtustrankaNazivFormated>
    <izvorni_sadrzaj>POTPORANJ d.o.o. za građenje u stečaju</izvorni_sadrzaj>
    <derivirana_varijabla naziv="DomainObject.Predmet.ProtustrankaNazivFormated_1">POTPORANJ d.o.o. za građenje u stečaju</derivirana_varijabla>
    <derivirana_varijabla naziv="Padez">POTPORANJ d.o.o. za građenje u stečaju</derivirana_varijabla>
  </DomainObject.Predmet.ProtustrankaNazivFormated>
  <DomainObject.Predmet.ProtustrankaNazivFormatedOIB>
    <izvorni_sadrzaj>POTPORANJ d.o.o. za građenje u stečaju, OIB 96958321366</izvorni_sadrzaj>
    <derivirana_varijabla naziv="DomainObject.Predmet.ProtustrankaNazivFormatedOIB_1">POTPORANJ d.o.o. za građenje u stečaju, OIB 96958321366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75 - Marković</izvorni_sadrzaj>
    <derivirana_varijabla naziv="DomainObject.Predmet.Referada.Naziv_1">Ref. 75 - Marković</derivirana_varijabla>
  </DomainObject.Predmet.Referada.Naziv>
  <DomainObject.Predmet.Referada.Oznaka>
    <izvorni_sadrzaj>75</izvorni_sadrzaj>
    <derivirana_varijabla naziv="DomainObject.Predmet.Referada.Oznaka_1">75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Nevenka Marković</izvorni_sadrzaj>
    <derivirana_varijabla naziv="DomainObject.Predmet.Referada.Sudac_1">Nevenka Marković</derivirana_varijabla>
    <derivirana_varijabla naziv="Dativ">Nevenka Marković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Tanja Finzir</izvorni_sadrzaj>
    <derivirana_varijabla naziv="DomainObject.Predmet.Zapisnicar_1">Tanja Finzir</derivirana_varijabla>
    <derivirana_varijabla naziv="Padez">Tanja Finzir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POTPORANJ d.o.o. za građenje u stečaju</item>
    </izvorni_sadrzaj>
    <derivirana_varijabla naziv="DomainObject.Predmet.ProtuStrankaListFormated_1">
      <item>POTPORANJ d.o.o. za građenje u stečaju</item>
    </derivirana_varijabla>
  </DomainObject.Predmet.ProtuStrankaListFormated>
  <DomainObject.Predmet.ProtuStrankaListFormatedOIB>
    <izvorni_sadrzaj>
      <item>POTPORANJ d.o.o. za građenje u stečaju, OIB 96958321366</item>
    </izvorni_sadrzaj>
    <derivirana_varijabla naziv="DomainObject.Predmet.ProtuStrankaListFormatedOIB_1">
      <item>POTPORANJ d.o.o. za građenje u stečaju, OIB 96958321366</item>
    </derivirana_varijabla>
  </DomainObject.Predmet.ProtuStrankaListFormatedOIB>
  <DomainObject.Predmet.ProtuStrankaListFormatedWithAdress>
    <izvorni_sadrzaj>
      <item>POTPORANJ d.o.o. za građenje u stečaju, Ćiril-Metodova 6, 21000 Split</item>
    </izvorni_sadrzaj>
    <derivirana_varijabla naziv="DomainObject.Predmet.ProtuStrankaListFormatedWithAdress_1">
      <item>POTPORANJ d.o.o. za građenje u stečaju, Ćiril-Metodova 6, 21000 Split</item>
    </derivirana_varijabla>
  </DomainObject.Predmet.ProtuStrankaListFormatedWithAdress>
  <DomainObject.Predmet.ProtuStrankaListFormatedWithAdressOIB>
    <izvorni_sadrzaj>
      <item>POTPORANJ d.o.o. za građenje u stečaju, OIB 96958321366, Ćiril-Metodova 6, 21000 Split</item>
    </izvorni_sadrzaj>
    <derivirana_varijabla naziv="DomainObject.Predmet.ProtuStrankaListFormatedWithAdressOIB_1">
      <item>POTPORANJ d.o.o. za građenje u stečaju, OIB 96958321366, Ćiril-Metodova 6, 21000 Split</item>
    </derivirana_varijabla>
  </DomainObject.Predmet.ProtuStrankaListFormatedWithAdressOIB>
  <DomainObject.Predmet.ProtuStrankaListNazivFormated>
    <izvorni_sadrzaj>
      <item>POTPORANJ d.o.o. za građenje u stečaju</item>
    </izvorni_sadrzaj>
    <derivirana_varijabla naziv="DomainObject.Predmet.ProtuStrankaListNazivFormated_1">
      <item>POTPORANJ d.o.o. za građenje u stečaju</item>
    </derivirana_varijabla>
  </DomainObject.Predmet.ProtuStrankaListNazivFormated>
  <DomainObject.Predmet.ProtuStrankaListNazivFormatedOIB>
    <izvorni_sadrzaj>
      <item>POTPORANJ d.o.o. za građenje u stečaju, OIB 96958321366</item>
    </izvorni_sadrzaj>
    <derivirana_varijabla naziv="DomainObject.Predmet.ProtuStrankaListNazivFormatedOIB_1">
      <item>POTPORANJ d.o.o. za građenje u stečaju, OIB 96958321366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>Pž-4286/2019-2</izvorni_sadrzaj>
    <derivirana_varijabla naziv="DomainObject.PoslovniBrojDokumenta_1">Pž-4286/2019-2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POTPORANJ d.o.o. za građenje u stečaju</izvorni_sadrzaj>
    <derivirana_varijabla naziv="DomainObject.Predmet.ProtustrankaIDrugi_1">POTPORANJ d.o.o. za građenje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POTPORANJ d.o.o. za građenje u stečaju, OIB 96958321366, Ćiril-Metodova 6, 21000 Split</izvorni_sadrzaj>
    <derivirana_varijabla naziv="DomainObject.Predmet.ProtustrankaIDrugiAdressOIB_1">POTPORANJ d.o.o. za građenje u stečaju, OIB 96958321366, Ćiril-Metodova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srpnja 2019.</izvorni_sadrzaj>
    <derivirana_varijabla naziv="DomainObject.Predmet.OdlukaRjesenje.DatumDonosenjaOdluke_1">9. srpnja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Pž-4286/2019-2</izvorni_sadrzaj>
    <derivirana_varijabla naziv="DomainObject.Predmet.OdlukaRjesenje.Oznaka_1">Pž-4286/2019-2</derivirana_varijabla>
  </DomainObject.Predmet.OdlukaRjesenje.Oznaka>
  <DomainObject.Predmet.SudioniciListNaziv>
    <izvorni_sadrzaj>
      <item>POTPORANJ d.o.o. za građenje u stečaju</item>
    </izvorni_sadrzaj>
    <derivirana_varijabla naziv="DomainObject.Predmet.SudioniciListNaziv_1">
      <item>POTPORANJ d.o.o. za građenje u stečaju</item>
    </derivirana_varijabla>
    <derivirana_varijabla naziv="OstaliSudionici">
      <item>POTPORANJ d.o.o. za građenje u stečaju</item>
    </derivirana_varijabla>
  </DomainObject.Predmet.SudioniciListNaziv>
  <DomainObject.Predmet.SudioniciListAdressOIB>
    <izvorni_sadrzaj>
      <item>POTPORANJ d.o.o. za građenje u stečaju, OIB 96958321366, Ćiril-Metodova 6,21000 Split</item>
    </izvorni_sadrzaj>
    <derivirana_varijabla naziv="DomainObject.Predmet.SudioniciListAdressOIB_1">
      <item>POTPORANJ d.o.o. za građenje u stečaju, OIB 96958321366, Ćiril-Metodova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96958321366</item>
    </izvorni_sadrzaj>
    <derivirana_varijabla naziv="DomainObject.Predmet.SudioniciListNazivOIB_1">
      <item>, OIB 96958321366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St-1834/2016</izvorni_sadrzaj>
    <derivirana_varijabla naziv="DomainObject.Predmet.OznakaNizestupanjskogPredmeta_1">St-1834/2016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59F91-0E63-409D-8E94-7620DB82CC3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953</properties:Words>
  <properties:Characters>5265</properties:Characters>
  <properties:Lines>112</properties:Lines>
  <properties:Paragraphs>30</properties:Paragraphs>
  <properties:TotalTime>184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6206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Marija Omazić</cp:lastModifiedBy>
  <cp:lastPrinted>2019-07-18T06:52:00Z</cp:lastPrinted>
  <dcterms:modified xmlns:xsi="http://www.w3.org/2001/XMLSchema-instance" xsi:type="dcterms:W3CDTF">2019-07-30T11:15:00Z</dcterms:modified>
  <cp:revision>25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3</vt:i4>
  </prop:property>
  <prop:property fmtid="{D5CDD505-2E9C-101B-9397-08002B2CF9AE}" pid="5" name="Naslov">
    <vt:lpwstr>Podnesak - Rješenje - odbijena žalba kao neosnovana - potvrđeno rješenje 1.st. (4286-19_otvaranje_stečaja_novi.docx)</vt:lpwstr>
  </prop:property>
  <prop:property fmtid="{D5CDD505-2E9C-101B-9397-08002B2CF9AE}" pid="6" name="Predlozak_id">
    <vt:lpwstr>1000000655</vt:lpwstr>
  </prop:property>
  <prop:property fmtid="{D5CDD505-2E9C-101B-9397-08002B2CF9AE}" pid="7" name="Predlozak_oznaka">
    <vt:lpwstr>VTSRH-memorandum2018</vt:lpwstr>
  </prop:property>
  <prop:property fmtid="{D5CDD505-2E9C-101B-9397-08002B2CF9AE}" pid="8" name="Predlozak_naziv">
    <vt:lpwstr>VTSRH - memorandum 2018 s grbom, dopis, presuda, rješenje s poslovnim brojem </vt:lpwstr>
  </prop:property>
</prop:Properties>
</file>