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baed" w14:paraId="905baed" w:rsidRDefault="00BF30CF" w:rsidP="00BF30CF" w:rsidR="00BF30CF">
      <w:pPr>
        <w:jc w:val="right"/>
        <w15:collapsed w:val="false"/>
      </w:pPr>
      <w:bookmarkStart w:name="_GoBack" w:id="0"/>
      <w:bookmarkEnd w:id="0"/>
      <w:r>
        <w:t>Broj: 6 St-</w:t>
      </w:r>
      <w:r w:rsidR="00BF6D49">
        <w:t>809</w:t>
      </w:r>
      <w:r w:rsidR="00CF3920">
        <w:t>/16-2</w:t>
      </w:r>
      <w:r w:rsidR="00BF6D49">
        <w:t>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F3920" w:rsidRPr="00CF3920">
        <w:t xml:space="preserve">RH MF Porezna uprava zastupani po ŽDO Vukovar, za otvaranje stečajnog  postupka nad dužnikom </w:t>
      </w:r>
      <w:r w:rsidR="00BF6D49">
        <w:rPr>
          <w:b/>
        </w:rPr>
        <w:t>MILAKOVIĆ d.o.o. za savjetovanje i usluge, Gunja, Vladimira Nazora 155 a, MBS 030031656,  OIB 98388080056</w:t>
      </w:r>
      <w:r w:rsidRPr="00D14516">
        <w:t>,</w:t>
      </w:r>
      <w:r>
        <w:t xml:space="preserve"> dana </w:t>
      </w:r>
      <w:r w:rsidR="00BF6D49">
        <w:t>26. rujna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CF3920" w:rsidR="00324E7F">
      <w:pPr>
        <w:numPr>
          <w:ilvl w:val="0"/>
          <w:numId w:val="11"/>
        </w:numPr>
        <w:jc w:val="both"/>
        <w:rPr>
          <w:b/>
        </w:rPr>
      </w:pPr>
      <w:r w:rsidRPr="0074446F">
        <w:rPr>
          <w:b/>
        </w:rPr>
        <w:t>Otvara se</w:t>
      </w:r>
      <w:r>
        <w:t xml:space="preserve"> stečajni postupak nad dužnikom </w:t>
      </w:r>
      <w:r w:rsidR="00BF6D49">
        <w:rPr>
          <w:b/>
        </w:rPr>
        <w:t>MILAKOVIĆ d.o.o. za savjetovanje i usluge, Gunja, Vladimira Nazora 155 a, MBS 030031656,  OIB 98388080056</w:t>
      </w:r>
      <w:r w:rsidR="00CA1D43">
        <w:rPr>
          <w:b/>
        </w:rPr>
        <w:t>.</w:t>
      </w:r>
    </w:p>
    <w:p w:rsidRDefault="005B4BD9" w:rsidP="005B4BD9" w:rsidR="005B4BD9">
      <w:pPr>
        <w:ind w:left="1080"/>
        <w:jc w:val="both"/>
        <w:rPr>
          <w:b/>
        </w:rPr>
      </w:pPr>
    </w:p>
    <w:p w:rsidRDefault="00324E7F" w:rsidP="005B4BD9" w:rsidR="00ED72C6" w:rsidRPr="00CF3920">
      <w:pPr>
        <w:numPr>
          <w:ilvl w:val="0"/>
          <w:numId w:val="11"/>
        </w:numPr>
        <w:jc w:val="both"/>
        <w:rPr>
          <w:b/>
        </w:rPr>
      </w:pPr>
      <w:r w:rsidRPr="00E33447">
        <w:t>Za stečajnog upravitelja određuje se</w:t>
      </w:r>
      <w:r w:rsidR="006A7184">
        <w:t xml:space="preserve"> </w:t>
      </w:r>
      <w:r w:rsidR="00CF3920" w:rsidRPr="00CF3920">
        <w:rPr>
          <w:b/>
        </w:rPr>
        <w:t>Živka Posavac dipl. oec. iz Čepina, Risnjačka 10, OIB 99335812289</w:t>
      </w:r>
      <w:r w:rsidR="003220B8" w:rsidRPr="00CF3920">
        <w:rPr>
          <w:b/>
        </w:rPr>
        <w:t>.</w:t>
      </w:r>
    </w:p>
    <w:p w:rsidRDefault="00816867" w:rsidP="00816867" w:rsidR="00816867" w:rsidRPr="00816867">
      <w:pPr>
        <w:jc w:val="both"/>
        <w:rPr>
          <w:b/>
        </w:rPr>
      </w:pPr>
    </w:p>
    <w:p w:rsidRDefault="00324E7F" w:rsidP="00CF3920" w:rsidR="00324E7F" w:rsidRPr="002F1901">
      <w:pPr>
        <w:numPr>
          <w:ilvl w:val="0"/>
          <w:numId w:val="11"/>
        </w:numPr>
        <w:jc w:val="both"/>
        <w:rPr>
          <w:b/>
        </w:rPr>
      </w:pPr>
      <w:r w:rsidRPr="0074446F">
        <w:rPr>
          <w:b/>
        </w:rPr>
        <w:t>Zaključuje se</w:t>
      </w:r>
      <w:r>
        <w:t xml:space="preserve"> stečajni postupak nad dužnikom </w:t>
      </w:r>
      <w:r w:rsidR="00BF6D49">
        <w:rPr>
          <w:b/>
        </w:rPr>
        <w:t>MILAKOVIĆ d.o.o. za savjetovanje i usluge, Gunja, Vladimira Nazora 155 a, MBS 030031656,  OIB 98388080056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BF6D49">
        <w:t>809/16 od 3. ožujka</w:t>
      </w:r>
      <w:r w:rsidR="00CF3920">
        <w:t xml:space="preserve"> 2016. g.</w:t>
      </w:r>
      <w:r w:rsidRPr="005E551C">
        <w:t xml:space="preserve"> pokrenut je postupak nad dužnikom </w:t>
      </w:r>
      <w:r w:rsidR="00BF6D49">
        <w:rPr>
          <w:b/>
        </w:rPr>
        <w:t>MILAKOVIĆ d.o.o. za savjetovanje i usluge, Gunja, Vladimira Nazora 155 a, MBS 030031656,  OIB 98388080056</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CF3920">
        <w:t>Živka Posavac iz Čepina</w:t>
      </w:r>
      <w:r w:rsidR="005D23C8">
        <w:t xml:space="preserve"> </w:t>
      </w:r>
      <w:r w:rsidRPr="005E551C">
        <w:t xml:space="preserve">te je za </w:t>
      </w:r>
      <w:r w:rsidR="00BF6D49">
        <w:t>14. lipanj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lastRenderedPageBreak/>
        <w:t xml:space="preserve">Dana </w:t>
      </w:r>
      <w:r w:rsidR="00BF6D49">
        <w:t>14. lipnja</w:t>
      </w:r>
      <w:r w:rsidR="008527DE">
        <w:t xml:space="preserve"> 2016. g.</w:t>
      </w:r>
      <w:r w:rsidRPr="005E551C">
        <w:t xml:space="preserve"> na ročištu za ispitivanje uvjeta za otvaranje stečajnog postupka nad dužnikom iz izvješća privremen</w:t>
      </w:r>
      <w:r w:rsidR="005D23C8">
        <w:t>e</w:t>
      </w:r>
      <w:r w:rsidRPr="005E551C">
        <w:t xml:space="preserve"> stečajn</w:t>
      </w:r>
      <w:r w:rsidR="005D23C8">
        <w:t>e</w:t>
      </w:r>
      <w:r w:rsidRPr="005E551C">
        <w:t xml:space="preserve"> upravitelj</w:t>
      </w:r>
      <w:r w:rsidR="005D23C8">
        <w:t>ice</w:t>
      </w:r>
      <w:r w:rsidRPr="005E551C">
        <w:t xml:space="preserve"> proizlazi slijedeće:</w:t>
      </w:r>
    </w:p>
    <w:p w:rsidRDefault="00BF6D49" w:rsidP="00BF6D49" w:rsidR="00BF6D49" w:rsidRPr="00A97A89">
      <w:pPr>
        <w:jc w:val="both"/>
      </w:pPr>
    </w:p>
    <w:p w:rsidRDefault="00BF6D49" w:rsidP="00BF6D49" w:rsidR="00BF6D49" w:rsidRPr="00A97A89">
      <w:pPr>
        <w:jc w:val="both"/>
      </w:pPr>
      <w:r w:rsidRPr="00A97A89">
        <w:t>Prijedlog za otvaranje stečajnog postupka podnijet je po predlagatelju FINA RC Osijek dana 31.12.2015. godine radi evidentiranih neizvršenih osnova za plaćanje u neprekinutom razdoblju od 868 dana koje su na dan 01.09.2015 godine iznosile 320.234,02 kn.</w:t>
      </w:r>
    </w:p>
    <w:p w:rsidRDefault="00BF6D49" w:rsidP="00BF6D49" w:rsidR="00BF6D49" w:rsidRPr="00A97A89">
      <w:pPr>
        <w:jc w:val="both"/>
        <w:rPr>
          <w:b/>
          <w:bCs/>
        </w:rPr>
      </w:pPr>
    </w:p>
    <w:p w:rsidRDefault="00BF6D49" w:rsidP="00BF6D49" w:rsidR="00BF6D49" w:rsidRPr="00A97A89">
      <w:pPr>
        <w:jc w:val="both"/>
        <w:rPr>
          <w:bCs/>
        </w:rPr>
      </w:pPr>
      <w:r w:rsidRPr="00A97A89">
        <w:rPr>
          <w:bCs/>
        </w:rPr>
        <w:t>Osnivački akt: Tt-95/2922-2 – Izjava o usklađenju općih akata i temeljnog kapitala za ZTD od 19.12.1995. godine</w:t>
      </w:r>
    </w:p>
    <w:p w:rsidRDefault="00BF6D49" w:rsidP="00BF6D49" w:rsidR="00BF6D49" w:rsidRPr="00A97A89">
      <w:pPr>
        <w:jc w:val="both"/>
        <w:rPr>
          <w:bCs/>
        </w:rPr>
      </w:pPr>
    </w:p>
    <w:p w:rsidRDefault="00BF6D49" w:rsidP="00BF6D49" w:rsidR="00BF6D49" w:rsidRPr="00A97A89">
      <w:pPr>
        <w:jc w:val="both"/>
        <w:rPr>
          <w:bCs/>
        </w:rPr>
      </w:pPr>
      <w:r w:rsidRPr="00A97A89">
        <w:rPr>
          <w:bCs/>
        </w:rPr>
        <w:t>Temeljni kapital: 22.700,00 kn</w:t>
      </w:r>
    </w:p>
    <w:p w:rsidRDefault="00BF6D49" w:rsidP="00BF6D49" w:rsidR="00BF6D49" w:rsidRPr="00A97A89">
      <w:pPr>
        <w:jc w:val="both"/>
        <w:rPr>
          <w:bCs/>
        </w:rPr>
      </w:pPr>
    </w:p>
    <w:p w:rsidRDefault="00BF6D49" w:rsidP="00BF6D49" w:rsidR="00BF6D49" w:rsidRPr="00A97A89">
      <w:pPr>
        <w:jc w:val="both"/>
        <w:rPr>
          <w:bCs/>
        </w:rPr>
      </w:pPr>
      <w:r w:rsidRPr="00A97A89">
        <w:rPr>
          <w:bCs/>
        </w:rPr>
        <w:t>Osnivači dužnika: Željko Milaković, Županja, Andrije Hebranga 16, OIB: 81723527507</w:t>
      </w:r>
    </w:p>
    <w:p w:rsidRDefault="00BF6D49" w:rsidP="00BF6D49" w:rsidR="00BF6D49" w:rsidRPr="00A97A89">
      <w:pPr>
        <w:jc w:val="both"/>
        <w:rPr>
          <w:bCs/>
        </w:rPr>
      </w:pPr>
    </w:p>
    <w:p w:rsidRDefault="00BF6D49" w:rsidP="00BF6D49" w:rsidR="00BF6D49" w:rsidRPr="00A97A89">
      <w:pPr>
        <w:jc w:val="both"/>
        <w:rPr>
          <w:bCs/>
        </w:rPr>
      </w:pPr>
      <w:r w:rsidRPr="00A97A89">
        <w:rPr>
          <w:bCs/>
        </w:rPr>
        <w:t>Osobe ovlaštene za zastupanje:</w:t>
      </w:r>
    </w:p>
    <w:p w:rsidRDefault="00BF6D49" w:rsidP="00BF6D49" w:rsidR="00BF6D49" w:rsidRPr="00A97A89">
      <w:pPr>
        <w:pStyle w:val="Odlomakpopisa"/>
        <w:numPr>
          <w:ilvl w:val="0"/>
          <w:numId w:val="22"/>
        </w:numPr>
        <w:spacing w:lineRule="auto" w:line="240" w:after="0"/>
        <w:jc w:val="both"/>
        <w:rPr>
          <w:bCs/>
          <w:szCs w:val="24"/>
        </w:rPr>
      </w:pPr>
      <w:r w:rsidRPr="00A97A89">
        <w:rPr>
          <w:bCs/>
          <w:szCs w:val="24"/>
        </w:rPr>
        <w:t>Nikola Milaković, Zagreb, Ozaljska 112, OIB: 20890409050 – član uprave i direktor</w:t>
      </w:r>
    </w:p>
    <w:p w:rsidRDefault="00BF6D49" w:rsidP="00BF6D49" w:rsidR="00BF6D49" w:rsidRPr="00A97A89">
      <w:pPr>
        <w:pStyle w:val="Odlomakpopisa"/>
        <w:numPr>
          <w:ilvl w:val="0"/>
          <w:numId w:val="22"/>
        </w:numPr>
        <w:spacing w:lineRule="auto" w:line="240" w:after="0"/>
        <w:jc w:val="both"/>
        <w:rPr>
          <w:bCs/>
          <w:szCs w:val="24"/>
        </w:rPr>
      </w:pPr>
      <w:r w:rsidRPr="00A97A89">
        <w:rPr>
          <w:bCs/>
          <w:szCs w:val="24"/>
        </w:rPr>
        <w:t>Nada Milaković, Županja, Andrije Hebranga 16, OIB: 69366380094 - prokurist</w:t>
      </w:r>
    </w:p>
    <w:p w:rsidRDefault="00BF6D49" w:rsidP="00BF6D49" w:rsidR="00BF6D49" w:rsidRPr="00A97A89">
      <w:pPr>
        <w:jc w:val="both"/>
      </w:pPr>
    </w:p>
    <w:p w:rsidRDefault="00BF6D49" w:rsidP="00BF6D49" w:rsidR="00BF6D49" w:rsidRPr="00A97A89">
      <w:pPr>
        <w:jc w:val="both"/>
      </w:pPr>
      <w:r w:rsidRPr="00A97A89">
        <w:t>Dužnik je poslovao preko žiro računa kako slijedi:</w:t>
      </w:r>
    </w:p>
    <w:tbl>
      <w:tblPr>
        <w:tblW w:type="pct" w:w="5000"/>
        <w:tblLook w:val="04A0" w:noVBand="1" w:noHBand="0" w:lastColumn="0" w:firstColumn="1" w:lastRow="0" w:firstRow="1"/>
      </w:tblPr>
      <w:tblGrid>
        <w:gridCol w:w="690"/>
        <w:gridCol w:w="2830"/>
        <w:gridCol w:w="1594"/>
        <w:gridCol w:w="1356"/>
        <w:gridCol w:w="1356"/>
        <w:gridCol w:w="1030"/>
      </w:tblGrid>
      <w:tr w:rsidTr="00893BE3" w:rsidR="00BF6D49" w:rsidRPr="00A97A89">
        <w:trPr>
          <w:trHeight w:val="660"/>
        </w:trPr>
        <w:tc>
          <w:tcPr>
            <w:tcW w:type="pct" w:w="289"/>
            <w:tcBorders>
              <w:top w:space="0" w:sz="4" w:color="auto" w:val="single"/>
              <w:left w:space="0" w:sz="4" w:color="auto" w:val="single"/>
              <w:bottom w:space="0" w:sz="4" w:color="auto" w:val="single"/>
              <w:right w:space="0" w:sz="4" w:color="auto" w:val="single"/>
            </w:tcBorders>
            <w:shd w:fill="EDEDED" w:color="000000" w:val="clear"/>
            <w:vAlign w:val="center"/>
            <w:hideMark/>
          </w:tcPr>
          <w:p w:rsidRDefault="00BF6D49" w:rsidP="00893BE3" w:rsidR="00BF6D49" w:rsidRPr="00A97A89">
            <w:pPr>
              <w:jc w:val="center"/>
              <w:rPr>
                <w:b/>
                <w:bCs/>
                <w:color w:val="000000"/>
              </w:rPr>
            </w:pPr>
            <w:r w:rsidRPr="00A97A89">
              <w:rPr>
                <w:b/>
                <w:bCs/>
                <w:color w:val="000000"/>
              </w:rPr>
              <w:t>Red. br.</w:t>
            </w:r>
          </w:p>
        </w:tc>
        <w:tc>
          <w:tcPr>
            <w:tcW w:type="pct" w:w="1220"/>
            <w:tcBorders>
              <w:top w:space="0" w:sz="4" w:color="auto" w:val="single"/>
              <w:left w:val="nil"/>
              <w:bottom w:space="0" w:sz="4" w:color="auto" w:val="single"/>
              <w:right w:space="0" w:sz="4" w:color="auto" w:val="single"/>
            </w:tcBorders>
            <w:shd w:fill="EDEDED" w:color="000000" w:val="clear"/>
            <w:vAlign w:val="center"/>
            <w:hideMark/>
          </w:tcPr>
          <w:p w:rsidRDefault="00BF6D49" w:rsidP="00893BE3" w:rsidR="00BF6D49" w:rsidRPr="00A97A89">
            <w:pPr>
              <w:jc w:val="center"/>
              <w:rPr>
                <w:b/>
                <w:bCs/>
                <w:color w:val="000000"/>
              </w:rPr>
            </w:pPr>
            <w:r w:rsidRPr="00A97A89">
              <w:rPr>
                <w:b/>
                <w:bCs/>
                <w:color w:val="000000"/>
              </w:rPr>
              <w:t>IBAN</w:t>
            </w:r>
          </w:p>
        </w:tc>
        <w:tc>
          <w:tcPr>
            <w:tcW w:type="pct" w:w="1573"/>
            <w:tcBorders>
              <w:top w:space="0" w:sz="4" w:color="auto" w:val="single"/>
              <w:left w:val="nil"/>
              <w:bottom w:space="0" w:sz="4" w:color="auto" w:val="single"/>
              <w:right w:space="0" w:sz="4" w:color="auto" w:val="single"/>
            </w:tcBorders>
            <w:shd w:fill="EDEDED" w:color="000000" w:val="clear"/>
            <w:vAlign w:val="center"/>
            <w:hideMark/>
          </w:tcPr>
          <w:p w:rsidRDefault="00BF6D49" w:rsidP="00893BE3" w:rsidR="00BF6D49" w:rsidRPr="00A97A89">
            <w:pPr>
              <w:jc w:val="center"/>
              <w:rPr>
                <w:b/>
                <w:bCs/>
                <w:color w:val="000000"/>
              </w:rPr>
            </w:pPr>
            <w:r w:rsidRPr="00A97A89">
              <w:rPr>
                <w:b/>
                <w:bCs/>
                <w:color w:val="000000"/>
              </w:rPr>
              <w:t>Banka</w:t>
            </w:r>
          </w:p>
        </w:tc>
        <w:tc>
          <w:tcPr>
            <w:tcW w:type="pct" w:w="601"/>
            <w:tcBorders>
              <w:top w:space="0" w:sz="4" w:color="auto" w:val="single"/>
              <w:left w:val="nil"/>
              <w:bottom w:space="0" w:sz="4" w:color="auto" w:val="single"/>
              <w:right w:space="0" w:sz="4" w:color="auto" w:val="single"/>
            </w:tcBorders>
            <w:shd w:fill="EDEDED" w:color="000000" w:val="clear"/>
            <w:vAlign w:val="center"/>
            <w:hideMark/>
          </w:tcPr>
          <w:p w:rsidRDefault="00BF6D49" w:rsidP="00893BE3" w:rsidR="00BF6D49" w:rsidRPr="00A97A89">
            <w:pPr>
              <w:jc w:val="center"/>
              <w:rPr>
                <w:b/>
                <w:bCs/>
                <w:color w:val="000000"/>
              </w:rPr>
            </w:pPr>
            <w:r w:rsidRPr="00A97A89">
              <w:rPr>
                <w:b/>
                <w:bCs/>
                <w:color w:val="000000"/>
              </w:rPr>
              <w:t>Otvoren</w:t>
            </w:r>
          </w:p>
        </w:tc>
        <w:tc>
          <w:tcPr>
            <w:tcW w:type="pct" w:w="573"/>
            <w:tcBorders>
              <w:top w:space="0" w:sz="4" w:color="auto" w:val="single"/>
              <w:left w:val="nil"/>
              <w:bottom w:space="0" w:sz="4" w:color="auto" w:val="single"/>
              <w:right w:space="0" w:sz="4" w:color="auto" w:val="single"/>
            </w:tcBorders>
            <w:shd w:fill="EDEDED" w:color="000000" w:val="clear"/>
            <w:vAlign w:val="center"/>
            <w:hideMark/>
          </w:tcPr>
          <w:p w:rsidRDefault="00BF6D49" w:rsidP="00893BE3" w:rsidR="00BF6D49" w:rsidRPr="00A97A89">
            <w:pPr>
              <w:jc w:val="center"/>
              <w:rPr>
                <w:b/>
                <w:bCs/>
                <w:color w:val="000000"/>
              </w:rPr>
            </w:pPr>
            <w:r w:rsidRPr="00A97A89">
              <w:rPr>
                <w:b/>
                <w:bCs/>
                <w:color w:val="000000"/>
              </w:rPr>
              <w:t>Ugašen</w:t>
            </w:r>
          </w:p>
        </w:tc>
        <w:tc>
          <w:tcPr>
            <w:tcW w:type="pct" w:w="745"/>
            <w:tcBorders>
              <w:top w:space="0" w:sz="4" w:color="auto" w:val="single"/>
              <w:left w:val="nil"/>
              <w:bottom w:space="0" w:sz="4" w:color="auto" w:val="single"/>
              <w:right w:space="0" w:sz="4" w:color="auto" w:val="single"/>
            </w:tcBorders>
            <w:shd w:fill="EDEDED" w:color="000000" w:val="clear"/>
            <w:vAlign w:val="center"/>
            <w:hideMark/>
          </w:tcPr>
          <w:p w:rsidRDefault="00BF6D49" w:rsidP="00893BE3" w:rsidR="00BF6D49" w:rsidRPr="00A97A89">
            <w:pPr>
              <w:jc w:val="center"/>
              <w:rPr>
                <w:b/>
                <w:bCs/>
                <w:color w:val="000000"/>
              </w:rPr>
            </w:pPr>
            <w:r w:rsidRPr="00A97A89">
              <w:rPr>
                <w:b/>
                <w:bCs/>
                <w:color w:val="000000"/>
              </w:rPr>
              <w:t>Broj dana blokade</w:t>
            </w:r>
          </w:p>
        </w:tc>
      </w:tr>
      <w:tr w:rsidTr="00893BE3" w:rsidR="00BF6D49" w:rsidRPr="00A97A89">
        <w:trPr>
          <w:trHeight w:val="600"/>
        </w:trPr>
        <w:tc>
          <w:tcPr>
            <w:tcW w:type="pct" w:w="289"/>
            <w:tcBorders>
              <w:top w:val="nil"/>
              <w:left w:space="0" w:sz="4" w:color="auto" w:val="single"/>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1.</w:t>
            </w:r>
          </w:p>
        </w:tc>
        <w:tc>
          <w:tcPr>
            <w:tcW w:type="pct" w:w="1220"/>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rPr>
                <w:color w:val="000000"/>
              </w:rPr>
            </w:pPr>
            <w:r w:rsidRPr="00A97A89">
              <w:rPr>
                <w:color w:val="000000"/>
              </w:rPr>
              <w:t>HR1923400091100172141</w:t>
            </w:r>
          </w:p>
        </w:tc>
        <w:tc>
          <w:tcPr>
            <w:tcW w:type="pct" w:w="1573"/>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rPr>
                <w:color w:val="000000"/>
              </w:rPr>
            </w:pPr>
            <w:r w:rsidRPr="00A97A89">
              <w:rPr>
                <w:color w:val="000000"/>
              </w:rPr>
              <w:t>PRIVREDNA BANKA ZAGREB d.d. Zagreb</w:t>
            </w:r>
          </w:p>
        </w:tc>
        <w:tc>
          <w:tcPr>
            <w:tcW w:type="pct" w:w="601"/>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21.03.2002.</w:t>
            </w:r>
          </w:p>
        </w:tc>
        <w:tc>
          <w:tcPr>
            <w:tcW w:type="pct" w:w="573"/>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21.12.2014.</w:t>
            </w:r>
          </w:p>
        </w:tc>
        <w:tc>
          <w:tcPr>
            <w:tcW w:type="pct" w:w="745"/>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607</w:t>
            </w:r>
          </w:p>
        </w:tc>
      </w:tr>
      <w:tr w:rsidTr="00893BE3" w:rsidR="00BF6D49" w:rsidRPr="00A97A89">
        <w:trPr>
          <w:trHeight w:val="600"/>
        </w:trPr>
        <w:tc>
          <w:tcPr>
            <w:tcW w:type="pct" w:w="289"/>
            <w:tcBorders>
              <w:top w:val="nil"/>
              <w:left w:space="0" w:sz="4" w:color="auto" w:val="single"/>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2.</w:t>
            </w:r>
          </w:p>
        </w:tc>
        <w:tc>
          <w:tcPr>
            <w:tcW w:type="pct" w:w="1220"/>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rPr>
                <w:color w:val="000000"/>
              </w:rPr>
            </w:pPr>
            <w:r w:rsidRPr="00A97A89">
              <w:rPr>
                <w:color w:val="000000"/>
              </w:rPr>
              <w:t>HR2225000091102156829</w:t>
            </w:r>
          </w:p>
        </w:tc>
        <w:tc>
          <w:tcPr>
            <w:tcW w:type="pct" w:w="1573"/>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rPr>
                <w:color w:val="000000"/>
              </w:rPr>
            </w:pPr>
            <w:r w:rsidRPr="00A97A89">
              <w:rPr>
                <w:color w:val="000000"/>
              </w:rPr>
              <w:t>HYPO ALPE-ADRIA-BANK d.d. Zagreb</w:t>
            </w:r>
          </w:p>
        </w:tc>
        <w:tc>
          <w:tcPr>
            <w:tcW w:type="pct" w:w="601"/>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17.10.2005.</w:t>
            </w:r>
          </w:p>
        </w:tc>
        <w:tc>
          <w:tcPr>
            <w:tcW w:type="pct" w:w="573"/>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04.06.2014.</w:t>
            </w:r>
          </w:p>
        </w:tc>
        <w:tc>
          <w:tcPr>
            <w:tcW w:type="pct" w:w="745"/>
            <w:tcBorders>
              <w:top w:val="nil"/>
              <w:left w:val="nil"/>
              <w:bottom w:space="0" w:sz="4" w:color="auto" w:val="single"/>
              <w:right w:space="0" w:sz="4" w:color="auto" w:val="single"/>
            </w:tcBorders>
            <w:shd w:fill="auto" w:color="auto" w:val="clear"/>
            <w:vAlign w:val="center"/>
            <w:hideMark/>
          </w:tcPr>
          <w:p w:rsidRDefault="00BF6D49" w:rsidP="00893BE3" w:rsidR="00BF6D49" w:rsidRPr="00A97A89">
            <w:pPr>
              <w:jc w:val="center"/>
              <w:rPr>
                <w:color w:val="000000"/>
              </w:rPr>
            </w:pPr>
            <w:r w:rsidRPr="00A97A89">
              <w:rPr>
                <w:color w:val="000000"/>
              </w:rPr>
              <w:t>407</w:t>
            </w:r>
          </w:p>
        </w:tc>
      </w:tr>
    </w:tbl>
    <w:p w:rsidRDefault="00BF6D49" w:rsidP="00BF6D49" w:rsidR="00BF6D49" w:rsidRPr="00A97A89">
      <w:pPr>
        <w:jc w:val="both"/>
      </w:pPr>
    </w:p>
    <w:p w:rsidRDefault="00BF6D49" w:rsidP="00BF6D49" w:rsidR="00BF6D49" w:rsidRPr="00A97A89">
      <w:pPr>
        <w:jc w:val="both"/>
      </w:pPr>
      <w:r w:rsidRPr="00A97A89">
        <w:t>Dužnik trenutno nema otvorenih žiro računa.</w:t>
      </w:r>
    </w:p>
    <w:p w:rsidRDefault="00BF6D49" w:rsidP="00BF6D49" w:rsidR="00BF6D49" w:rsidRPr="00A97A89">
      <w:pPr>
        <w:jc w:val="both"/>
      </w:pPr>
    </w:p>
    <w:p w:rsidRDefault="00BF6D49" w:rsidP="00BF6D49" w:rsidR="00BF6D49" w:rsidRPr="00A97A89">
      <w:pPr>
        <w:jc w:val="both"/>
      </w:pPr>
      <w:r w:rsidRPr="00A97A89">
        <w:t>Dužnik nema uposlenih osoba.</w:t>
      </w:r>
    </w:p>
    <w:p w:rsidRDefault="00BF6D49" w:rsidP="00BF6D49" w:rsidR="00BF6D49" w:rsidRPr="00A97A89">
      <w:pPr>
        <w:jc w:val="both"/>
      </w:pPr>
    </w:p>
    <w:p w:rsidRDefault="00BF6D49" w:rsidP="00BF6D49" w:rsidR="00BF6D49" w:rsidRPr="00A97A89">
      <w:pPr>
        <w:jc w:val="both"/>
      </w:pPr>
      <w:r w:rsidRPr="00A97A89">
        <w:t>Dužnik tijekom 2015. i 2016. godine ne obavlja gospodarsku djelatnost.</w:t>
      </w:r>
    </w:p>
    <w:p w:rsidRDefault="00BF6D49" w:rsidP="00BF6D49" w:rsidR="00BF6D49" w:rsidRPr="00A97A89">
      <w:pPr>
        <w:jc w:val="both"/>
        <w:rPr>
          <w:b/>
          <w:bCs/>
        </w:rPr>
      </w:pPr>
    </w:p>
    <w:p w:rsidRDefault="00BF6D49" w:rsidP="00BF6D49" w:rsidR="00BF6D49" w:rsidRPr="00A97A89">
      <w:pPr>
        <w:jc w:val="both"/>
        <w:rPr>
          <w:bCs/>
        </w:rPr>
      </w:pPr>
      <w:r w:rsidRPr="00A97A89">
        <w:rPr>
          <w:bCs/>
        </w:rPr>
        <w:t>Prema podacima dostavljenim od strane zakonskog zastupnika nastavno se daje pregled imovine i obveza dužnika:</w:t>
      </w:r>
    </w:p>
    <w:tbl>
      <w:tblPr>
        <w:tblW w:type="dxa" w:w="844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000"/>
        <w:gridCol w:w="1720"/>
        <w:gridCol w:w="1720"/>
      </w:tblGrid>
      <w:tr w:rsidTr="00893BE3" w:rsidR="00BF6D49" w:rsidRPr="00A97A89">
        <w:trPr>
          <w:trHeight w:val="300"/>
        </w:trPr>
        <w:tc>
          <w:tcPr>
            <w:tcW w:type="dxa" w:w="5000"/>
            <w:shd w:fill="D0CECE" w:color="000000" w:val="clear"/>
            <w:vAlign w:val="center"/>
            <w:hideMark/>
          </w:tcPr>
          <w:p w:rsidRDefault="00BF6D49" w:rsidP="00893BE3" w:rsidR="00BF6D49" w:rsidRPr="00A97A89">
            <w:pPr>
              <w:jc w:val="center"/>
              <w:rPr>
                <w:color w:val="000000"/>
              </w:rPr>
            </w:pPr>
            <w:r w:rsidRPr="00A97A89">
              <w:rPr>
                <w:color w:val="000000"/>
              </w:rPr>
              <w:t>Naziv pozicije</w:t>
            </w:r>
          </w:p>
        </w:tc>
        <w:tc>
          <w:tcPr>
            <w:tcW w:type="dxa" w:w="1720"/>
            <w:shd w:fill="D0CECE" w:color="000000" w:val="clear"/>
            <w:vAlign w:val="center"/>
            <w:hideMark/>
          </w:tcPr>
          <w:p w:rsidRDefault="00BF6D49" w:rsidP="00893BE3" w:rsidR="00BF6D49" w:rsidRPr="00A97A89">
            <w:pPr>
              <w:jc w:val="center"/>
              <w:rPr>
                <w:color w:val="000000"/>
              </w:rPr>
            </w:pPr>
            <w:r w:rsidRPr="00A97A89">
              <w:rPr>
                <w:color w:val="000000"/>
              </w:rPr>
              <w:t>31.12.2014.</w:t>
            </w:r>
          </w:p>
        </w:tc>
        <w:tc>
          <w:tcPr>
            <w:tcW w:type="dxa" w:w="1720"/>
            <w:shd w:fill="D0CECE" w:color="000000" w:val="clear"/>
            <w:vAlign w:val="center"/>
            <w:hideMark/>
          </w:tcPr>
          <w:p w:rsidRDefault="00BF6D49" w:rsidP="00893BE3" w:rsidR="00BF6D49" w:rsidRPr="00A97A89">
            <w:pPr>
              <w:jc w:val="center"/>
              <w:rPr>
                <w:color w:val="000000"/>
              </w:rPr>
            </w:pPr>
            <w:r w:rsidRPr="00A97A89">
              <w:rPr>
                <w:color w:val="000000"/>
              </w:rPr>
              <w:t>31.12.2015.</w:t>
            </w:r>
          </w:p>
        </w:tc>
      </w:tr>
      <w:tr w:rsidTr="00893BE3" w:rsidR="00BF6D49" w:rsidRPr="00A97A89">
        <w:trPr>
          <w:trHeight w:val="300"/>
        </w:trPr>
        <w:tc>
          <w:tcPr>
            <w:tcW w:type="dxa" w:w="8440"/>
            <w:gridSpan w:val="3"/>
            <w:shd w:fill="E7E6E6" w:color="000000" w:val="clear"/>
            <w:vAlign w:val="center"/>
            <w:hideMark/>
          </w:tcPr>
          <w:p w:rsidRDefault="00BF6D49" w:rsidP="00893BE3" w:rsidR="00BF6D49" w:rsidRPr="00A97A89">
            <w:pPr>
              <w:rPr>
                <w:color w:val="000000"/>
              </w:rPr>
            </w:pPr>
            <w:r w:rsidRPr="00A97A89">
              <w:rPr>
                <w:color w:val="000000"/>
              </w:rPr>
              <w:t>AKTIVA</w:t>
            </w:r>
          </w:p>
        </w:tc>
      </w:tr>
      <w:tr w:rsidTr="00893BE3" w:rsidR="00BF6D49" w:rsidRPr="00A97A89">
        <w:trPr>
          <w:trHeight w:val="600"/>
        </w:trPr>
        <w:tc>
          <w:tcPr>
            <w:tcW w:type="dxa" w:w="5000"/>
            <w:shd w:fill="auto" w:color="auto" w:val="clear"/>
            <w:vAlign w:val="center"/>
            <w:hideMark/>
          </w:tcPr>
          <w:p w:rsidRDefault="00BF6D49" w:rsidP="00893BE3" w:rsidR="00BF6D49" w:rsidRPr="00A97A89">
            <w:pPr>
              <w:rPr>
                <w:color w:val="000000"/>
              </w:rPr>
            </w:pPr>
            <w:r w:rsidRPr="00A97A89">
              <w:rPr>
                <w:color w:val="000000"/>
              </w:rPr>
              <w:lastRenderedPageBreak/>
              <w:t>A) POTRAŽIVANJA ZA UPISANI A NEUPLAĆENI KAPITAL</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B) DUGOTRAJNA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137.036</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137.035</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 NEMATERIJALNA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137.032</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137.032</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II. MATERIJALNA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4</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3</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III. DUGOTRAJNA FINANCIJSKA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IV. POTRAŽIVANJA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V. ODGOĐENA POREZNA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C) KRATKOTRAJNA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104.344</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104.344</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 ZALIHE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II. POTRAŽIVANJA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104.344</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104.344</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III. KRATKOTRAJNA FINANCIJSKA IMOVINA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IV. NOVAC U BANCI I BLAGAJNI</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600"/>
        </w:trPr>
        <w:tc>
          <w:tcPr>
            <w:tcW w:type="dxa" w:w="5000"/>
            <w:shd w:fill="auto" w:color="auto" w:val="clear"/>
            <w:vAlign w:val="center"/>
            <w:hideMark/>
          </w:tcPr>
          <w:p w:rsidRDefault="00BF6D49" w:rsidP="00893BE3" w:rsidR="00BF6D49" w:rsidRPr="00A97A89">
            <w:pPr>
              <w:rPr>
                <w:color w:val="000000"/>
              </w:rPr>
            </w:pPr>
            <w:r w:rsidRPr="00A97A89">
              <w:rPr>
                <w:color w:val="000000"/>
              </w:rPr>
              <w:t>D) PLAĆENI TROŠKOVI BUDUĆEG RAZDOBLJA I OBRAČUNATI PRIHODI</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E) UKUPNO AKTIVA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241.380</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241.379</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F) IZVANBILANČNI ZAPISI</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8440"/>
            <w:gridSpan w:val="3"/>
            <w:shd w:fill="E7E6E6" w:color="000000" w:val="clear"/>
            <w:vAlign w:val="center"/>
            <w:hideMark/>
          </w:tcPr>
          <w:p w:rsidRDefault="00BF6D49" w:rsidP="00893BE3" w:rsidR="00BF6D49" w:rsidRPr="00A97A89">
            <w:pPr>
              <w:rPr>
                <w:color w:val="000000"/>
              </w:rPr>
            </w:pPr>
            <w:r w:rsidRPr="00A97A89">
              <w:rPr>
                <w:color w:val="000000"/>
              </w:rPr>
              <w:t>PASIVA</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A) KAPITAL I REZERVE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-80.813</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-80.813</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 TEMELJNI (UPISANI) KAPITAL</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22.700</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22.700</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II. KAPITALNE REZERVE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III. REZERVE IZ DOBITI</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IV. REVALORIZACIJSKE REZERVE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V ZADRŽANA DOBIT ILI PRENESENI GUBITAK</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-42.321</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-103.513</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VI DOBIT ILI GUBITAK POSLOVNE GODINE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-61.192</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VII MANJINSKI INTERES</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B) REZERVIRANJA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C) DUGOROČNE OBVEZE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D) KRATKOROČNE OBVEZE</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322.193</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322.192</w:t>
            </w:r>
          </w:p>
        </w:tc>
      </w:tr>
      <w:tr w:rsidTr="00893BE3" w:rsidR="00BF6D49" w:rsidRPr="00A97A89">
        <w:trPr>
          <w:trHeight w:val="600"/>
        </w:trPr>
        <w:tc>
          <w:tcPr>
            <w:tcW w:type="dxa" w:w="5000"/>
            <w:shd w:fill="auto" w:color="auto" w:val="clear"/>
            <w:vAlign w:val="center"/>
            <w:hideMark/>
          </w:tcPr>
          <w:p w:rsidRDefault="00BF6D49" w:rsidP="00893BE3" w:rsidR="00BF6D49" w:rsidRPr="00A97A89">
            <w:pPr>
              <w:rPr>
                <w:color w:val="000000"/>
              </w:rPr>
            </w:pPr>
            <w:r w:rsidRPr="00A97A89">
              <w:rPr>
                <w:color w:val="000000"/>
              </w:rPr>
              <w:t>E) ODGOĐENO PLAĆANJE TROŠKOVA I PRIHOD BUDUĆEGA RAZDOBLJA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F) UKUPNO – PASIVA</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241.380</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241.379</w:t>
            </w:r>
          </w:p>
        </w:tc>
      </w:tr>
      <w:tr w:rsidTr="00893BE3" w:rsidR="00BF6D49" w:rsidRPr="00A97A89">
        <w:trPr>
          <w:trHeight w:val="300"/>
        </w:trPr>
        <w:tc>
          <w:tcPr>
            <w:tcW w:type="dxa" w:w="5000"/>
            <w:shd w:fill="auto" w:color="auto" w:val="clear"/>
            <w:vAlign w:val="center"/>
            <w:hideMark/>
          </w:tcPr>
          <w:p w:rsidRDefault="00BF6D49" w:rsidP="00893BE3" w:rsidR="00BF6D49" w:rsidRPr="00A97A89">
            <w:pPr>
              <w:rPr>
                <w:color w:val="000000"/>
              </w:rPr>
            </w:pPr>
            <w:r w:rsidRPr="00A97A89">
              <w:rPr>
                <w:color w:val="000000"/>
              </w:rPr>
              <w:t>G) IZVANBILANČNI ZAPISI</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c>
          <w:tcPr>
            <w:tcW w:type="dxa" w:w="1720"/>
            <w:shd w:fill="auto" w:color="auto" w:val="clear"/>
            <w:vAlign w:val="center"/>
            <w:hideMark/>
          </w:tcPr>
          <w:p w:rsidRDefault="00BF6D49" w:rsidP="00893BE3" w:rsidR="00BF6D49" w:rsidRPr="00A97A89">
            <w:pPr>
              <w:jc w:val="right"/>
              <w:rPr>
                <w:color w:val="000000"/>
              </w:rPr>
            </w:pPr>
            <w:r w:rsidRPr="00A97A89">
              <w:rPr>
                <w:color w:val="000000"/>
              </w:rPr>
              <w:t>-</w:t>
            </w:r>
          </w:p>
        </w:tc>
      </w:tr>
    </w:tbl>
    <w:p w:rsidRDefault="00BF6D49" w:rsidP="00BF6D49" w:rsidR="00BF6D49" w:rsidRPr="00A97A89">
      <w:pPr>
        <w:jc w:val="both"/>
        <w:rPr>
          <w:bCs/>
        </w:rPr>
      </w:pPr>
    </w:p>
    <w:p w:rsidRDefault="00BF6D49" w:rsidP="00BF6D49" w:rsidR="00BF6D49" w:rsidRPr="00A97A89">
      <w:pPr>
        <w:ind w:firstLine="708" w:left="4248"/>
      </w:pPr>
    </w:p>
    <w:p w:rsidRDefault="00BF6D49" w:rsidP="00BF6D49" w:rsidR="00BF6D49">
      <w:pPr>
        <w:jc w:val="both"/>
      </w:pPr>
      <w:r w:rsidRPr="00A97A89">
        <w:t>Prema pisanoj Izjavi zakonskog zastupnika nematerijalna imovina u iznosu 137.035 kn odnosi se na ulaganja na tuđoj imovini radi uporabe i poboljšanja za vrijeme trajanja Ugovora o najmu (uvođenje plinske instalacije, telefona, ugradnja klime, uređenje kupatila, kuhinje, pregrade prostora i dr.). Ugovor o najmu je raskinut iz razloga što je vlasnik objekta prodao nekretninu.</w:t>
      </w:r>
    </w:p>
    <w:p w:rsidRDefault="00BF6D49" w:rsidP="00BF6D49" w:rsidR="00BF6D49" w:rsidRPr="00A97A89">
      <w:pPr>
        <w:jc w:val="both"/>
      </w:pPr>
    </w:p>
    <w:p w:rsidRDefault="00BF6D49" w:rsidP="00BF6D49" w:rsidR="00BF6D49" w:rsidRPr="00A97A89">
      <w:pPr>
        <w:jc w:val="both"/>
      </w:pPr>
      <w:r w:rsidRPr="00A97A89">
        <w:t>Prema pisanoj Izjavi zakonskog zastupnika iskazana potraživanja su nenaplativa. Vođen je spor sa poduzećem M.T.P. VAR d.o.o. Županja za iznos od 16.000,00 kn. Presuda je donesena u korist tužitelja MILAKOVIĆ d.o.o., ali  zbog blokade žiro računa, potraživanje nije naplaćeno. Društvo M.T.P. VAR d.o.o. Županja brisano je iz sudskog registra 2015. godine. Sa dužnikom Dominko vl. Stjepan Dominković iz Gunje za potraživanje u iznosu 89.298,00 kn postignuta je izvansudska nagodba, ali budući da je dužnikov žiro račun u neprekidnoj blokadi od 13.01.2011. godine, potraživanje nije naplativo.</w:t>
      </w:r>
    </w:p>
    <w:p w:rsidRDefault="00BF6D49" w:rsidP="00BF6D49" w:rsidR="00BF6D49" w:rsidRPr="00A97A89">
      <w:pPr>
        <w:rPr>
          <w:b/>
          <w:bCs/>
        </w:rPr>
      </w:pPr>
    </w:p>
    <w:p w:rsidRDefault="00BF6D49" w:rsidP="00BF6D49" w:rsidR="00BF6D49" w:rsidRPr="00A97A89">
      <w:pPr>
        <w:jc w:val="both"/>
        <w:rPr>
          <w:bCs/>
        </w:rPr>
      </w:pPr>
      <w:r w:rsidRPr="00A97A89">
        <w:rPr>
          <w:bCs/>
        </w:rPr>
        <w:t>Na dan 16.05.2016. prema ispisu iz informacijskog sustava Porezne uprave (Stanje računa poreznog obveznika) obveze dužnika prema Poreznoj upravi iznose 319.858,48 kn.</w:t>
      </w:r>
    </w:p>
    <w:p w:rsidRDefault="00BF6D49" w:rsidP="00BF6D49" w:rsidR="00BF6D49" w:rsidRPr="00A97A89">
      <w:pPr>
        <w:rPr>
          <w:b/>
          <w:bCs/>
        </w:rPr>
      </w:pPr>
    </w:p>
    <w:p w:rsidRDefault="00BF6D49" w:rsidP="00BF6D49" w:rsidR="00BF6D49" w:rsidRPr="00A97A89">
      <w:pPr>
        <w:jc w:val="both"/>
        <w:rPr>
          <w:bCs/>
        </w:rPr>
      </w:pPr>
      <w:r w:rsidRPr="00A97A89">
        <w:rPr>
          <w:bCs/>
        </w:rPr>
        <w:t>Zakonski zastupnik dostavio je popis poslovne dokumentacije u kojoj je navedeno da je poslovna dokumentacija pohranjena u društvu MILAKONT d.o.o. Županja, V. Kraj 16, sa sjedištem računovodstva Županja, Zagrebačka 3.</w:t>
      </w:r>
    </w:p>
    <w:p w:rsidRDefault="00BF6D49" w:rsidP="00BF6D49" w:rsidR="00BF6D49" w:rsidRPr="00A97A89">
      <w:pPr>
        <w:rPr>
          <w:b/>
          <w:bCs/>
        </w:rPr>
      </w:pPr>
    </w:p>
    <w:p w:rsidRDefault="00BF6D49" w:rsidP="00BF6D49" w:rsidR="00BF6D49" w:rsidRPr="00A97A89">
      <w:pPr>
        <w:jc w:val="both"/>
      </w:pPr>
      <w:r w:rsidRPr="00A97A89">
        <w:t>Iz prezentiranih raspoloživih podataka razvidno je da kod Dužnika postoje stečajni razlozi utvrđeni u uredbi članka 5.Stečajnog zakona.</w:t>
      </w:r>
    </w:p>
    <w:p w:rsidRDefault="00BF6D49" w:rsidP="00BF6D49" w:rsidR="00BF6D49" w:rsidRPr="00A97A89">
      <w:pPr>
        <w:jc w:val="both"/>
      </w:pPr>
    </w:p>
    <w:p w:rsidRDefault="00BF6D49" w:rsidP="00BF6D49" w:rsidR="00BF6D49" w:rsidRPr="00A97A89">
      <w:pPr>
        <w:jc w:val="both"/>
      </w:pPr>
      <w:r>
        <w:t xml:space="preserve">Privremena stečajna upraviteljica predložila je da se </w:t>
      </w:r>
      <w:r w:rsidRPr="00A97A89">
        <w:t>sukladno članku 132.</w:t>
      </w:r>
      <w:r>
        <w:t xml:space="preserve"> </w:t>
      </w:r>
      <w:r w:rsidRPr="00A97A89">
        <w:t>Stečajnog zakona donese rješenje o otvaranju i zaključenju stečajnog postupka uz prethodni poziv vjerovnicima na uplatu predujma od 20.000,00 kn ukoliko že</w:t>
      </w:r>
      <w:r>
        <w:t>le da se vodi stečajni postupak.</w:t>
      </w:r>
      <w:r w:rsidRPr="00A97A89">
        <w:t xml:space="preserve"> </w:t>
      </w:r>
    </w:p>
    <w:p w:rsidRDefault="00BF6D49" w:rsidP="00BF6D49" w:rsidR="00BF6D49">
      <w:pPr>
        <w:jc w:val="both"/>
      </w:pPr>
    </w:p>
    <w:p w:rsidRDefault="00BF6D49" w:rsidP="00BF6D49" w:rsidR="00BF6D49">
      <w:pPr>
        <w:jc w:val="both"/>
      </w:pPr>
      <w:r>
        <w:tab/>
        <w:t>Na poseban upit zamjenic</w:t>
      </w:r>
      <w:r w:rsidR="00C20C70">
        <w:t>e</w:t>
      </w:r>
      <w:r>
        <w:t xml:space="preserve"> ŽDO</w:t>
      </w:r>
      <w:r w:rsidR="00C20C70">
        <w:t>, privremena stečajna upraviteljica navela je</w:t>
      </w:r>
      <w:r>
        <w:t xml:space="preserve"> da se o tome očitovala u odnosu na postojanje nematerijalne imovine te potraživanja dužnika prema svojim dužnicima odnosno da je nematerijalna imovina uložena u tuđu imovinu radi poboljšanja uvjeta rada i to temeljem Ugovora o najmu koji Ugovor je raskinut budući je vlasnik objekta – najmodavac prodao nekretninu a potraživanja su nenaplativa kako je to već i obrazloženo.</w:t>
      </w:r>
    </w:p>
    <w:p w:rsidRDefault="00BF6D49" w:rsidP="00BF6D49" w:rsidR="00BF6D49">
      <w:pPr>
        <w:jc w:val="both"/>
      </w:pPr>
    </w:p>
    <w:p w:rsidRDefault="00BF6D49" w:rsidP="00BF6D49" w:rsidR="00BF6D49" w:rsidRPr="008F031E">
      <w:pPr>
        <w:ind w:firstLine="708"/>
        <w:jc w:val="both"/>
      </w:pPr>
      <w:r>
        <w:t xml:space="preserve"> ŽDO</w:t>
      </w:r>
      <w:r w:rsidR="00C20C70">
        <w:t xml:space="preserve">, zakonski zastupnik dužnika </w:t>
      </w:r>
      <w:r>
        <w:t xml:space="preserve">i prokurist dužnika su </w:t>
      </w:r>
      <w:r w:rsidR="00C20C70">
        <w:t>se suglasili</w:t>
      </w:r>
      <w:r>
        <w:t xml:space="preserve"> s prijedlogom privremene st. upraviteljice i s njezinim izvješćem.</w:t>
      </w:r>
    </w:p>
    <w:p w:rsidRDefault="007D2041" w:rsidP="00BF6D49" w:rsidR="007D2041" w:rsidRPr="004A2B09">
      <w:pPr>
        <w:jc w:val="both"/>
        <w:rPr>
          <w:bCs/>
        </w:rPr>
      </w:pPr>
    </w:p>
    <w:p w:rsidRDefault="00BF6D49" w:rsidP="006A7184" w:rsidR="007D2041" w:rsidRPr="005E551C">
      <w:pPr>
        <w:ind w:firstLine="708"/>
        <w:jc w:val="both"/>
      </w:pPr>
      <w:r>
        <w:t>Rješenjem ovoga suda broj St-809/16 od 15. lipnja 2016. g.</w:t>
      </w:r>
      <w:r w:rsidR="007D2041" w:rsidRPr="005E551C">
        <w:t xml:space="preserve"> pozvane su osobe koje imaju pravni interes da se provede stečajni postupak nad dužnikom da u roku od 15 dana solidarno uplate na sudski depozit ovoga suda iznos od </w:t>
      </w:r>
      <w:r w:rsidR="00CF3920">
        <w:t>20</w:t>
      </w:r>
      <w:r w:rsidR="007D2041"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BF6D49">
        <w:t>15. lipnja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BF6D49" w:rsidR="00BF6D49" w:rsidRPr="001227B9">
      <w:pPr>
        <w:pStyle w:val="Bezproreda"/>
        <w:ind w:firstLine="708"/>
        <w:jc w:val="both"/>
      </w:pPr>
      <w:r w:rsidRPr="00B654E2">
        <w:t xml:space="preserve">Sud je proveo uvid u priloženu dokumentaciju i to: </w:t>
      </w:r>
      <w:r w:rsidR="00BF6D49">
        <w:t>zahtjev za provedbu skraćenog stečajnog postupka FINE od 31.12.2015. g., povijesni izvadak iz sudskog registra, prijedlog RH MF za otvaranje st. postupka od 19.2.2016. g., podaci Porezne uprave od 12.2.2016. g. o financijskom položaju dužnika i o imovini dužnika, godišnje fin. izvješće za 2014. g., stanje računa poreznog obveznika Porezne uprave na dan 11.2.2016. g. i od 16.5.2016. g., pravomoćno rješenje ovoga suda St-1748/15 od 24.2.2016. g., prijava poreza na dobit za 2015. g., utvrđivanje porezne osnovice i porezne obveze, bilanca na dan 31.12.2015. g., račun dobiti i gubitka za 2015. g., Izjava z.z. dužnika od 16.5.2016. g., popis dokumentacije dužnika – arhiva.</w:t>
      </w:r>
    </w:p>
    <w:p w:rsidRDefault="006A7184" w:rsidP="005D49B4"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670C39">
      <w:pPr>
        <w:jc w:val="both"/>
      </w:pPr>
      <w:r>
        <w:tab/>
        <w:t>Za stečajn</w:t>
      </w:r>
      <w:r w:rsidR="00C20C70">
        <w:t>u</w:t>
      </w:r>
      <w:r>
        <w:t xml:space="preserve"> upravitelj</w:t>
      </w:r>
      <w:r w:rsidR="00C20C70">
        <w:t>icu</w:t>
      </w:r>
      <w:r>
        <w:t>, automatskim odabirom, imenovan</w:t>
      </w:r>
      <w:r w:rsidR="00EB20E7">
        <w:t xml:space="preserve">a je </w:t>
      </w:r>
      <w:r w:rsidR="005D23C8">
        <w:t>Živka Posavac iz Čepina</w:t>
      </w:r>
      <w:r>
        <w:t xml:space="preserve"> s liste A stečajnih upravitelja za područje nadležnosti ovoga suda a sukladno čl. 84 st. 1 u vezi s čl. 85 st. 2 SZ.</w:t>
      </w:r>
    </w:p>
    <w:p w:rsidRDefault="00EB20E7" w:rsidP="007D2041" w:rsidR="00EB20E7">
      <w:pPr>
        <w:jc w:val="both"/>
      </w:pPr>
    </w:p>
    <w:p w:rsidRDefault="00324E7F" w:rsidP="00D8612A" w:rsidR="00C41AEF">
      <w:pPr>
        <w:jc w:val="center"/>
      </w:pPr>
      <w:r w:rsidRPr="00D2596C">
        <w:t xml:space="preserve">U Osijeku </w:t>
      </w:r>
      <w:r w:rsidR="00C20C70">
        <w:t>26. rujna</w:t>
      </w:r>
      <w:r w:rsidR="007D7E9A">
        <w:t xml:space="preserve"> 2016. g.</w:t>
      </w:r>
    </w:p>
    <w:p w:rsidRDefault="00EB20E7" w:rsidP="00C20C70" w:rsidR="00EB20E7"/>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B161E5" w:rsidP="00B161E5" w:rsidR="00831D30">
      <w:pPr>
        <w:tabs>
          <w:tab w:pos="900" w:val="left"/>
        </w:tabs>
        <w:ind w:hanging="5760" w:left="5760"/>
      </w:pPr>
      <w:r>
        <w:tab/>
      </w: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7A3848">
        <w:t>Živka Posavac</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5D49B4">
        <w:t>Vukovar</w:t>
      </w:r>
      <w:r w:rsidR="006A7184">
        <w:tab/>
      </w:r>
    </w:p>
    <w:p w:rsidRDefault="005D49B4" w:rsidP="00163859" w:rsidR="00EB20E7">
      <w:pPr>
        <w:tabs>
          <w:tab w:pos="3225" w:val="left"/>
          <w:tab w:pos="6105" w:val="left"/>
        </w:tabs>
        <w:jc w:val="both"/>
      </w:pPr>
      <w:r>
        <w:t>3</w:t>
      </w:r>
      <w:r w:rsidR="007D7E9A" w:rsidRPr="0017695F">
        <w:t>. dužnik</w:t>
      </w:r>
    </w:p>
    <w:p w:rsidRDefault="005D49B4" w:rsidP="005D23C8" w:rsidR="00163859">
      <w:pPr>
        <w:tabs>
          <w:tab w:pos="3225" w:val="left"/>
          <w:tab w:pos="6105" w:val="left"/>
        </w:tabs>
        <w:jc w:val="both"/>
      </w:pPr>
      <w:r>
        <w:t xml:space="preserve">4.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C20C70" w:rsidP="00163859" w:rsidR="00163859">
      <w:pPr>
        <w:tabs>
          <w:tab w:pos="3225" w:val="left"/>
          <w:tab w:pos="5850" w:val="left"/>
        </w:tabs>
        <w:jc w:val="both"/>
      </w:pPr>
      <w:r>
        <w:t>5</w:t>
      </w:r>
      <w:r w:rsidR="00163859">
        <w:t>. Registar</w:t>
      </w:r>
      <w:r w:rsidR="005456F8">
        <w:t xml:space="preserve"> TS Osijek</w:t>
      </w:r>
    </w:p>
    <w:p w:rsidRDefault="00C20C70" w:rsidP="00163859" w:rsidR="00163859">
      <w:pPr>
        <w:tabs>
          <w:tab w:pos="3225" w:val="left"/>
          <w:tab w:pos="5850" w:val="left"/>
        </w:tabs>
        <w:jc w:val="both"/>
      </w:pPr>
      <w:r>
        <w:t>6</w:t>
      </w:r>
      <w:r w:rsidR="00163859">
        <w:t>. FINA</w:t>
      </w:r>
    </w:p>
    <w:p w:rsidRDefault="00C20C70" w:rsidP="00163859" w:rsidR="00163859">
      <w:pPr>
        <w:tabs>
          <w:tab w:pos="3225" w:val="left"/>
          <w:tab w:pos="5850" w:val="left"/>
        </w:tabs>
        <w:jc w:val="both"/>
      </w:pPr>
      <w:r>
        <w:t>7</w:t>
      </w:r>
      <w:r w:rsidR="00163859">
        <w:t xml:space="preserve">. kal. </w:t>
      </w:r>
      <w:r>
        <w:t>26.10.</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20C70"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EED" w:rsidR="004C4EED">
      <w:r>
        <w:separator/>
      </w:r>
    </w:p>
  </w:endnote>
  <w:endnote w:id="0" w:type="continuationSeparator">
    <w:p w:rsidRDefault="004C4EED" w:rsidR="004C4E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EED" w:rsidR="004C4EED">
      <w:r>
        <w:separator/>
      </w:r>
    </w:p>
  </w:footnote>
  <w:footnote w:id="0" w:type="continuationSeparator">
    <w:p w:rsidRDefault="004C4EED" w:rsidR="004C4E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2AE6">
      <w:rPr>
        <w:rStyle w:val="Brojstranice"/>
        <w:noProof/>
      </w:rPr>
      <w:t>- 6 -</w:t>
    </w:r>
    <w:r>
      <w:rPr>
        <w:rStyle w:val="Brojstranice"/>
      </w:rPr>
      <w:fldChar w:fldCharType="end"/>
    </w:r>
  </w:p>
  <w:p w:rsidRDefault="00BF6D49" w:rsidP="00BF6D49" w:rsidR="00BF6D49">
    <w:pPr>
      <w:jc w:val="right"/>
    </w:pPr>
    <w:r>
      <w:t>Broj: 6 St-809/16-22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4E44B80"/>
    <w:multiLevelType w:val="hybridMultilevel"/>
    <w:tmpl w:val="5790B2CE"/>
    <w:lvl w:tplc="5A20D91A" w:ilvl="0">
      <w:numFmt w:val="bullet"/>
      <w:lvlText w:val="-"/>
      <w:lvlJc w:val="left"/>
      <w:pPr>
        <w:ind w:hanging="360" w:left="1065"/>
      </w:pPr>
      <w:rPr>
        <w:rFonts w:cs="Arial" w:eastAsia="Times New Roman" w:hAnsi="Comic Sans MS" w:ascii="Comic Sans MS"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5"/>
  </w:num>
  <w:num w:numId="4">
    <w:abstractNumId w:val="9"/>
  </w:num>
  <w:num w:numId="5">
    <w:abstractNumId w:val="18"/>
  </w:num>
  <w:num w:numId="6">
    <w:abstractNumId w:val="21"/>
  </w:num>
  <w:num w:numId="7">
    <w:abstractNumId w:val="14"/>
  </w:num>
  <w:num w:numId="8">
    <w:abstractNumId w:val="17"/>
  </w:num>
  <w:num w:numId="9">
    <w:abstractNumId w:val="3"/>
  </w:num>
  <w:num w:numId="10">
    <w:abstractNumId w:val="1"/>
  </w:num>
  <w:num w:numId="11">
    <w:abstractNumId w:val="19"/>
  </w:num>
  <w:num w:numId="12">
    <w:abstractNumId w:val="5"/>
  </w:num>
  <w:num w:numId="13">
    <w:abstractNumId w:val="8"/>
  </w:num>
  <w:num w:numId="14">
    <w:abstractNumId w:val="16"/>
  </w:num>
  <w:num w:numId="15">
    <w:abstractNumId w:val="20"/>
  </w:num>
  <w:num w:numId="16">
    <w:abstractNumId w:val="0"/>
  </w:num>
  <w:num w:numId="17">
    <w:abstractNumId w:val="6"/>
  </w:num>
  <w:num w:numId="18">
    <w:abstractNumId w:val="12"/>
  </w:num>
  <w:num w:numId="19">
    <w:abstractNumId w:val="13"/>
  </w:num>
  <w:num w:numId="20">
    <w:abstractNumId w:val="4"/>
  </w:num>
  <w:num w:numId="21">
    <w:abstractNumId w:val="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6EBB"/>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4EED"/>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23C8"/>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3848"/>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2AE6"/>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BF6D49"/>
    <w:rsid w:val="00C032AD"/>
    <w:rsid w:val="00C1549A"/>
    <w:rsid w:val="00C20C70"/>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CF3920"/>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82AE6"/>
    <w:rPr>
      <w:color w:val="808080"/>
      <w:bdr w:space="0" w:sz="0" w:color="auto" w:val="none"/>
      <w:shd w:fill="CCFFFF" w:color="auto" w:val="clear"/>
    </w:rPr>
  </w:style>
  <w:style w:customStyle="true" w:styleId="eSPISCCParagraphDefaultFont" w:type="character">
    <w:name w:val="eSPIS_CC_Paragraph Default Font"/>
    <w:basedOn w:val="Zadanifontodlomka"/>
    <w:rsid w:val="00982A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2AE6"/>
    <w:rPr>
      <w:bdr w:space="0" w:sz="0" w:color="auto" w:val="none"/>
      <w:shd w:fill="FFFFCC" w:color="auto" w:val="clear"/>
      <w:lang w:val="hr-HR"/>
    </w:rPr>
  </w:style>
  <w:style w:customStyle="true" w:styleId="PozadinaSvijetloCrvena" w:type="character">
    <w:name w:val="Pozadina_SvijetloCrvena"/>
    <w:basedOn w:val="eSPISCCParagraphDefaultFont"/>
    <w:rsid w:val="00982A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2A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82AE6"/>
    <w:rPr>
      <w:color w:val="808080"/>
      <w:bdr w:color="auto" w:space="0" w:sz="0" w:val="none"/>
      <w:shd w:color="auto" w:fill="CCFFFF" w:val="clear"/>
    </w:rPr>
  </w:style>
  <w:style w:customStyle="1" w:styleId="eSPISCCParagraphDefaultFont" w:type="character">
    <w:name w:val="eSPIS_CC_Paragraph Default Font"/>
    <w:basedOn w:val="Zadanifontodlomka"/>
    <w:rsid w:val="00982A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2AE6"/>
    <w:rPr>
      <w:bdr w:color="auto" w:space="0" w:sz="0" w:val="none"/>
      <w:shd w:color="auto" w:fill="FFFFCC" w:val="clear"/>
      <w:lang w:val="hr-HR"/>
    </w:rPr>
  </w:style>
  <w:style w:customStyle="1" w:styleId="PozadinaSvijetloCrvena" w:type="character">
    <w:name w:val="Pozadina_SvijetloCrvena"/>
    <w:basedOn w:val="eSPISCCParagraphDefaultFont"/>
    <w:rsid w:val="00982A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2A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St-809/2016</izvorni_sadrzaj>
    <derivirana_varijabla naziv="DomainObject.Predmet.OznakaBroj_1">St-809/2016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MILAKOVIĆ d.o.o. za savjetovanje i usluge</izvorni_sadrzaj>
    <derivirana_varijabla naziv="DomainObject.Predmet.ProtustrankaFormated_1">  MILAKOVIĆ d.o.o. za savjetovanje i usluge</derivirana_varijabla>
  </DomainObject.Predmet.ProtustrankaFormated>
  <DomainObject.Predmet.ProtustrankaFormatedOIB>
    <izvorni_sadrzaj>  MILAKOVIĆ d.o.o. za savjetovanje i usluge, OIB 98388080056</izvorni_sadrzaj>
    <derivirana_varijabla naziv="DomainObject.Predmet.ProtustrankaFormatedOIB_1">  MILAKOVIĆ d.o.o. za savjetovanje i usluge, OIB 98388080056</derivirana_varijabla>
  </DomainObject.Predmet.ProtustrankaFormatedOIB>
  <DomainObject.Predmet.ProtustrankaFormatedWithAdress>
    <izvorni_sadrzaj> MILAKOVIĆ d.o.o. za savjetovanje i usluge, Vladimira Nazora 155 A, 32260 Gunja</izvorni_sadrzaj>
    <derivirana_varijabla naziv="DomainObject.Predmet.ProtustrankaFormatedWithAdress_1"> MILAKOVIĆ d.o.o. za savjetovanje i usluge, Vladimira Nazora 155 A, 32260 Gunja</derivirana_varijabla>
  </DomainObject.Predmet.ProtustrankaFormatedWithAdress>
  <DomainObject.Predmet.ProtustrankaFormatedWithAdressOIB>
    <izvorni_sadrzaj> MILAKOVIĆ d.o.o. za savjetovanje i usluge, OIB 98388080056, Vladimira Nazora 155 A, 32260 Gunja</izvorni_sadrzaj>
    <derivirana_varijabla naziv="DomainObject.Predmet.ProtustrankaFormatedWithAdressOIB_1"> MILAKOVIĆ d.o.o. za savjetovanje i usluge, OIB 98388080056, Vladimira Nazora 155 A, 32260 Gunja</derivirana_varijabla>
  </DomainObject.Predmet.ProtustrankaFormatedWithAdressOIB>
  <DomainObject.Predmet.ProtustrankaWithAdress>
    <izvorni_sadrzaj>MILAKOVIĆ d.o.o. za savjetovanje i usluge Vladimira Nazora 155 A, 32260 Gunja</izvorni_sadrzaj>
    <derivirana_varijabla naziv="DomainObject.Predmet.ProtustrankaWithAdress_1">MILAKOVIĆ d.o.o. za savjetovanje i usluge Vladimira Nazora 155 A, 32260 Gunja</derivirana_varijabla>
  </DomainObject.Predmet.ProtustrankaWithAdress>
  <DomainObject.Predmet.ProtustrankaWithAdressOIB>
    <izvorni_sadrzaj>MILAKOVIĆ d.o.o. za savjetovanje i usluge, OIB 98388080056, Vladimira Nazora 155 A, 32260 Gunja</izvorni_sadrzaj>
    <derivirana_varijabla naziv="DomainObject.Predmet.ProtustrankaWithAdressOIB_1">MILAKOVIĆ d.o.o. za savjetovanje i usluge, OIB 98388080056, Vladimira Nazora 155 A, 32260 Gunja</derivirana_varijabla>
  </DomainObject.Predmet.ProtustrankaWithAdressOIB>
  <DomainObject.Predmet.ProtustrankaNazivFormated>
    <izvorni_sadrzaj>MILAKOVIĆ d.o.o. za savjetovanje i usluge</izvorni_sadrzaj>
    <derivirana_varijabla naziv="DomainObject.Predmet.ProtustrankaNazivFormated_1">MILAKOVIĆ d.o.o. za savjetovanje i usluge</derivirana_varijabla>
  </DomainObject.Predmet.ProtustrankaNazivFormated>
  <DomainObject.Predmet.ProtustrankaNazivFormatedOIB>
    <izvorni_sadrzaj>MILAKOVIĆ d.o.o. za savjetovanje i usluge, OIB 98388080056</izvorni_sadrzaj>
    <derivirana_varijabla naziv="DomainObject.Predmet.ProtustrankaNazivFormatedOIB_1">MILAKOVIĆ d.o.o. za savjetovanje i usluge, OIB 98388080056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MILAKOVIĆ d.o.o. za savjetovanje i usluge</item>
    </izvorni_sadrzaj>
    <derivirana_varijabla naziv="DomainObject.Predmet.ProtuStrankaListFormated_1">
      <item>MILAKOVIĆ d.o.o. za savjetovanje i usluge</item>
    </derivirana_varijabla>
  </DomainObject.Predmet.ProtuStrankaListFormated>
  <DomainObject.Predmet.ProtuStrankaListFormatedOIB>
    <izvorni_sadrzaj>
      <item>MILAKOVIĆ d.o.o. za savjetovanje i usluge, OIB 98388080056</item>
    </izvorni_sadrzaj>
    <derivirana_varijabla naziv="DomainObject.Predmet.ProtuStrankaListFormatedOIB_1">
      <item>MILAKOVIĆ d.o.o. za savjetovanje i usluge, OIB 98388080056</item>
    </derivirana_varijabla>
  </DomainObject.Predmet.ProtuStrankaListFormatedOIB>
  <DomainObject.Predmet.ProtuStrankaListFormatedWithAdress>
    <izvorni_sadrzaj>
      <item>MILAKOVIĆ d.o.o. za savjetovanje i usluge, Vladimira Nazora 155 A, 32260 Gunja</item>
    </izvorni_sadrzaj>
    <derivirana_varijabla naziv="DomainObject.Predmet.ProtuStrankaListFormatedWithAdress_1">
      <item>MILAKOVIĆ d.o.o. za savjetovanje i usluge, Vladimira Nazora 155 A, 32260 Gunja</item>
    </derivirana_varijabla>
  </DomainObject.Predmet.ProtuStrankaListFormatedWithAdress>
  <DomainObject.Predmet.ProtuStrankaListFormatedWithAdressOIB>
    <izvorni_sadrzaj>
      <item>MILAKOVIĆ d.o.o. za savjetovanje i usluge, OIB 98388080056, Vladimira Nazora 155 A, 32260 Gunja</item>
    </izvorni_sadrzaj>
    <derivirana_varijabla naziv="DomainObject.Predmet.ProtuStrankaListFormatedWithAdressOIB_1">
      <item>MILAKOVIĆ d.o.o. za savjetovanje i usluge, OIB 98388080056, Vladimira Nazora 155 A, 32260 Gunja</item>
    </derivirana_varijabla>
  </DomainObject.Predmet.ProtuStrankaListFormatedWithAdressOIB>
  <DomainObject.Predmet.ProtuStrankaListNazivFormated>
    <izvorni_sadrzaj>
      <item>MILAKOVIĆ d.o.o. za savjetovanje i usluge</item>
    </izvorni_sadrzaj>
    <derivirana_varijabla naziv="DomainObject.Predmet.ProtuStrankaListNazivFormated_1">
      <item>MILAKOVIĆ d.o.o. za savjetovanje i usluge</item>
    </derivirana_varijabla>
  </DomainObject.Predmet.ProtuStrankaListNazivFormated>
  <DomainObject.Predmet.ProtuStrankaListNazivFormatedOIB>
    <izvorni_sadrzaj>
      <item>MILAKOVIĆ d.o.o. za savjetovanje i usluge, OIB 98388080056</item>
    </izvorni_sadrzaj>
    <derivirana_varijabla naziv="DomainObject.Predmet.ProtuStrankaListNazivFormatedOIB_1">
      <item>MILAKOVIĆ d.o.o. za savjetovanje i usluge, OIB 98388080056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MILAKOVIĆ d.o.o. za savjetovanje i usluge</izvorni_sadrzaj>
    <derivirana_varijabla naziv="DomainObject.Predmet.ProtustrankaIDrugi_1">MILAKOVIĆ d.o.o. za savjetovanje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MILAKOVIĆ d.o.o. za savjetovanje i usluge, OIB 98388080056, Vladimira Nazora 155 A, 32260 Gunja</izvorni_sadrzaj>
    <derivirana_varijabla naziv="DomainObject.Predmet.ProtustrankaIDrugiAdressOIB_1">MILAKOVIĆ d.o.o. za savjetovanje i usluge, OIB 98388080056, Vladimira Nazora 155 A, 32260 Gunja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MILAKOVIĆ d.o.o. za savjetovanje i usluge</item>
      <item>RH MF POREZNA UPRAVA POREZNO MJESTO VUKOVAR</item>
    </izvorni_sadrzaj>
    <derivirana_varijabla naziv="DomainObject.Predmet.SudioniciListNaziv_1">
      <item>MILAKOVIĆ d.o.o. za savjetovanje i usluge</item>
      <item>RH MF POREZNA UPRAVA POREZNO MJESTO VUKOVAR</item>
    </derivirana_varijabla>
  </DomainObject.Predmet.SudioniciListNaziv>
  <DomainObject.Predmet.SudioniciListAdressOIB>
    <izvorni_sadrzaj>
      <item>MILAKOVIĆ d.o.o. za savjetovanje i usluge, OIB 98388080056, Vladimira Nazora 155 A,32260 Gunja</item>
      <item>RH MF POREZNA UPRAVA POREZNO MJESTO VUKOVAR, OIB 18683136487</item>
    </izvorni_sadrzaj>
    <derivirana_varijabla naziv="DomainObject.Predmet.SudioniciListAdressOIB_1">
      <item>MILAKOVIĆ d.o.o. za savjetovanje i usluge, OIB 98388080056, Vladimira Nazora 155 A,32260 Gunja</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98388080056</item>
      <item>, OIB 18683136487</item>
    </izvorni_sadrzaj>
    <derivirana_varijabla naziv="DomainObject.Predmet.SudioniciListNazivOIB_1">
      <item>, OIB 98388080056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C97D24-BF45-49C3-8D89-0E3EB5F7F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1347</properties:Words>
  <properties:Characters>7609</properties:Characters>
  <properties:Lines>352</properties:Lines>
  <properties:Paragraphs>172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2016-09-26T10:00:00Z</dcterms:created>
  <dc:creator>dsekulic</dc:creator>
  <cp:lastModifiedBy>Danijela Sekulić</cp:lastModifiedBy>
  <cp:lastPrinted>2016-09-26T09:58:00Z</cp:lastPrinted>
  <dcterms:modified xmlns:xsi="http://www.w3.org/2001/XMLSchema-instance" xsi:type="dcterms:W3CDTF">2016-09-26T10:00:00Z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