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f73d" w14:paraId="c07f73d" w:rsidRDefault="00903677" w:rsidP="00903677" w:rsidR="00903677" w:rsidRPr="00AE4197">
      <w:pPr>
        <w15:collapsed w:val="false"/>
        <w:rPr>
          <w:rFonts w:hAnsi="Times New Roman" w:ascii="Times New Roman"/>
          <w:sz w:val="24"/>
          <w:szCs w:val="24"/>
        </w:rPr>
      </w:pPr>
      <w:bookmarkStart w:name="_GoBack" w:id="0"/>
      <w:bookmarkEnd w:id="0"/>
    </w:p>
    <w:p w:rsidRDefault="00903677" w:rsidP="00903677" w:rsidR="00903677" w:rsidRPr="00AE4197">
      <w:pPr>
        <w:spacing w:lineRule="atLeast" w:line="240" w:after="0"/>
        <w:rPr>
          <w:rFonts w:hAnsi="Times New Roman" w:ascii="Times New Roman"/>
          <w:sz w:val="24"/>
          <w:szCs w:val="24"/>
        </w:rPr>
      </w:pPr>
    </w:p>
    <w:p w:rsidRDefault="00903677" w:rsidP="00903677" w:rsidR="00903677" w:rsidRPr="00AE4197">
      <w:pPr>
        <w:spacing w:lineRule="atLeast" w:line="240" w:after="0"/>
        <w:rPr>
          <w:rFonts w:hAnsi="Times New Roman" w:ascii="Times New Roman"/>
          <w:sz w:val="24"/>
          <w:szCs w:val="24"/>
        </w:rPr>
      </w:pPr>
      <w:r w:rsidRPr="00AE4197">
        <w:rPr>
          <w:rFonts w:hAnsi="Times New Roman" w:ascii="Times New Roman"/>
          <w:sz w:val="24"/>
          <w:szCs w:val="24"/>
        </w:rPr>
        <w:t xml:space="preserve"> REPUBLIKA HRVATSKA</w:t>
      </w:r>
    </w:p>
    <w:p w:rsidRDefault="00903677" w:rsidP="00903677" w:rsidR="00903677" w:rsidRPr="00AE4197">
      <w:pPr>
        <w:spacing w:lineRule="atLeast" w:line="240" w:after="0"/>
        <w:rPr>
          <w:rFonts w:hAnsi="Times New Roman" w:ascii="Times New Roman"/>
          <w:sz w:val="24"/>
          <w:szCs w:val="24"/>
        </w:rPr>
      </w:pPr>
      <w:r w:rsidRPr="00AE4197">
        <w:rPr>
          <w:rFonts w:hAnsi="Times New Roman" w:ascii="Times New Roman"/>
          <w:sz w:val="24"/>
          <w:szCs w:val="24"/>
        </w:rPr>
        <w:t>TRGOVAČKI SUD U ZADRU</w:t>
      </w:r>
      <w:r w:rsidRPr="00AE4197">
        <w:rPr>
          <w:rFonts w:hAnsi="Times New Roman" w:ascii="Times New Roman"/>
          <w:sz w:val="24"/>
          <w:szCs w:val="24"/>
        </w:rPr>
        <w:tab/>
      </w:r>
      <w:r w:rsidRPr="00AE4197">
        <w:rPr>
          <w:rFonts w:hAnsi="Times New Roman" w:ascii="Times New Roman"/>
          <w:sz w:val="24"/>
          <w:szCs w:val="24"/>
        </w:rPr>
        <w:tab/>
      </w:r>
      <w:r w:rsidRPr="00AE4197">
        <w:rPr>
          <w:rFonts w:hAnsi="Times New Roman" w:ascii="Times New Roman"/>
          <w:sz w:val="24"/>
          <w:szCs w:val="24"/>
        </w:rPr>
        <w:tab/>
      </w:r>
      <w:r w:rsidRPr="00AE4197">
        <w:rPr>
          <w:rFonts w:hAnsi="Times New Roman" w:ascii="Times New Roman"/>
          <w:sz w:val="24"/>
          <w:szCs w:val="24"/>
        </w:rPr>
        <w:tab/>
      </w:r>
      <w:r w:rsidRPr="00AE4197">
        <w:rPr>
          <w:rFonts w:hAnsi="Times New Roman" w:ascii="Times New Roman"/>
          <w:sz w:val="24"/>
          <w:szCs w:val="24"/>
        </w:rPr>
        <w:tab/>
      </w:r>
      <w:r w:rsidRPr="00AE4197">
        <w:rPr>
          <w:rFonts w:hAnsi="Times New Roman" w:ascii="Times New Roman"/>
          <w:sz w:val="24"/>
          <w:szCs w:val="24"/>
        </w:rPr>
        <w:tab/>
      </w:r>
      <w:r w:rsidR="00AE4197">
        <w:rPr>
          <w:rFonts w:hAnsi="Times New Roman" w:ascii="Times New Roman"/>
          <w:sz w:val="24"/>
          <w:szCs w:val="24"/>
        </w:rPr>
        <w:t xml:space="preserve">        </w:t>
      </w:r>
      <w:r w:rsidRPr="00AE4197">
        <w:rPr>
          <w:rFonts w:hAnsi="Times New Roman" w:ascii="Times New Roman"/>
          <w:sz w:val="24"/>
          <w:szCs w:val="24"/>
        </w:rPr>
        <w:t>1 St-</w:t>
      </w:r>
      <w:r w:rsidR="007A09E3">
        <w:rPr>
          <w:rFonts w:hAnsi="Times New Roman" w:ascii="Times New Roman"/>
          <w:sz w:val="24"/>
          <w:szCs w:val="24"/>
        </w:rPr>
        <w:t>723</w:t>
      </w:r>
      <w:r w:rsidRPr="00AE4197">
        <w:rPr>
          <w:rFonts w:hAnsi="Times New Roman" w:ascii="Times New Roman"/>
          <w:sz w:val="24"/>
          <w:szCs w:val="24"/>
        </w:rPr>
        <w:t>/1</w:t>
      </w:r>
      <w:r w:rsidR="0048628B" w:rsidRPr="00AE4197">
        <w:rPr>
          <w:rFonts w:hAnsi="Times New Roman" w:ascii="Times New Roman"/>
          <w:sz w:val="24"/>
          <w:szCs w:val="24"/>
        </w:rPr>
        <w:t>6</w:t>
      </w:r>
      <w:r w:rsidRPr="00AE4197">
        <w:rPr>
          <w:rFonts w:hAnsi="Times New Roman" w:ascii="Times New Roman"/>
          <w:sz w:val="24"/>
          <w:szCs w:val="24"/>
        </w:rPr>
        <w:t>-</w:t>
      </w:r>
      <w:r w:rsidR="007A09E3">
        <w:rPr>
          <w:rFonts w:hAnsi="Times New Roman" w:ascii="Times New Roman"/>
          <w:sz w:val="24"/>
          <w:szCs w:val="24"/>
        </w:rPr>
        <w:t>53</w:t>
      </w:r>
    </w:p>
    <w:p w:rsidRDefault="00903677" w:rsidP="00903677" w:rsidR="00903677" w:rsidRPr="00AE4197">
      <w:pPr>
        <w:spacing w:lineRule="atLeast" w:line="240" w:after="0"/>
        <w:rPr>
          <w:rFonts w:hAnsi="Times New Roman" w:ascii="Times New Roman"/>
          <w:sz w:val="24"/>
          <w:szCs w:val="24"/>
        </w:rPr>
      </w:pPr>
    </w:p>
    <w:p w:rsidRDefault="00903677" w:rsidP="00903677" w:rsidR="00903677" w:rsidRPr="00AE4197">
      <w:pPr>
        <w:spacing w:lineRule="atLeast" w:line="240" w:after="0"/>
        <w:jc w:val="center"/>
        <w:rPr>
          <w:rFonts w:hAnsi="Times New Roman" w:ascii="Times New Roman"/>
          <w:sz w:val="24"/>
          <w:szCs w:val="24"/>
        </w:rPr>
      </w:pPr>
      <w:r w:rsidRPr="00AE4197">
        <w:rPr>
          <w:rFonts w:hAnsi="Times New Roman" w:ascii="Times New Roman"/>
          <w:sz w:val="24"/>
          <w:szCs w:val="24"/>
        </w:rPr>
        <w:t>R J E Š E N J E</w:t>
      </w:r>
    </w:p>
    <w:p w:rsidRDefault="00903677" w:rsidP="00903677" w:rsidR="00903677" w:rsidRPr="00AE4197">
      <w:pPr>
        <w:spacing w:lineRule="atLeast" w:line="240" w:after="0"/>
        <w:rPr>
          <w:rFonts w:hAnsi="Times New Roman" w:ascii="Times New Roman"/>
          <w:sz w:val="24"/>
          <w:szCs w:val="24"/>
        </w:rPr>
      </w:pPr>
    </w:p>
    <w:p w:rsidRDefault="00903677" w:rsidP="009E5A7A" w:rsidR="00903677" w:rsidRPr="00AE4197">
      <w:pPr>
        <w:jc w:val="both"/>
        <w:rPr>
          <w:rFonts w:hAnsi="Times New Roman" w:ascii="Times New Roman"/>
          <w:sz w:val="24"/>
          <w:szCs w:val="24"/>
        </w:rPr>
      </w:pPr>
      <w:r w:rsidRPr="00AE4197">
        <w:rPr>
          <w:rFonts w:hAnsi="Times New Roman" w:ascii="Times New Roman"/>
          <w:sz w:val="24"/>
          <w:szCs w:val="24"/>
        </w:rPr>
        <w:tab/>
      </w:r>
      <w:r w:rsidR="009E5A7A" w:rsidRPr="00AE4197">
        <w:rPr>
          <w:rFonts w:eastAsia="Times New Roman" w:hAnsi="Times New Roman" w:ascii="Times New Roman"/>
          <w:sz w:val="24"/>
          <w:szCs w:val="24"/>
          <w:lang w:eastAsia="hr-HR"/>
        </w:rPr>
        <w:t xml:space="preserve">Trgovački sud u Zadru (OIB:39670464653) po sucu Ardeni Bajlo, u stečajnom postupku nad stečajnim dužnikom </w:t>
      </w:r>
      <w:r w:rsidR="007A09E3">
        <w:rPr>
          <w:rFonts w:hAnsi="Times New Roman" w:ascii="Times New Roman"/>
          <w:sz w:val="24"/>
          <w:szCs w:val="24"/>
        </w:rPr>
        <w:t>TRAJNA GRADNJA d.o.o. u stečaju</w:t>
      </w:r>
      <w:r w:rsidR="007A09E3" w:rsidRPr="00CA2A74">
        <w:rPr>
          <w:rFonts w:hAnsi="Times New Roman" w:ascii="Times New Roman"/>
          <w:sz w:val="24"/>
          <w:szCs w:val="24"/>
        </w:rPr>
        <w:t xml:space="preserve"> Zadar, Dračevac 17., OIB: 02901914423</w:t>
      </w:r>
      <w:r w:rsidR="00571979" w:rsidRPr="00AE4197">
        <w:rPr>
          <w:rFonts w:hAnsi="Times New Roman" w:ascii="Times New Roman"/>
          <w:sz w:val="24"/>
          <w:szCs w:val="24"/>
        </w:rPr>
        <w:t xml:space="preserve">, </w:t>
      </w:r>
      <w:r w:rsidR="007A09E3">
        <w:rPr>
          <w:rFonts w:hAnsi="Times New Roman" w:ascii="Times New Roman"/>
          <w:sz w:val="24"/>
          <w:szCs w:val="24"/>
        </w:rPr>
        <w:t>koga zastupa stečajna upraviteljica Radojka Danek</w:t>
      </w:r>
      <w:r w:rsidR="009E5A7A" w:rsidRPr="00AE4197">
        <w:rPr>
          <w:rFonts w:eastAsia="Times New Roman" w:hAnsi="Times New Roman" w:ascii="Times New Roman"/>
          <w:sz w:val="24"/>
          <w:szCs w:val="24"/>
          <w:lang w:eastAsia="hr-HR"/>
        </w:rPr>
        <w:t xml:space="preserve">, </w:t>
      </w:r>
      <w:r w:rsidR="00177815" w:rsidRPr="00AE4197">
        <w:rPr>
          <w:rFonts w:hAnsi="Times New Roman" w:ascii="Times New Roman"/>
          <w:sz w:val="24"/>
          <w:szCs w:val="24"/>
        </w:rPr>
        <w:t xml:space="preserve">postupajući temeljem članka </w:t>
      </w:r>
      <w:r w:rsidR="007A09E3">
        <w:rPr>
          <w:rFonts w:hAnsi="Times New Roman" w:ascii="Times New Roman"/>
          <w:sz w:val="24"/>
          <w:szCs w:val="24"/>
        </w:rPr>
        <w:t>271. stavak 2</w:t>
      </w:r>
      <w:r w:rsidR="00177815" w:rsidRPr="00AE4197">
        <w:rPr>
          <w:rFonts w:hAnsi="Times New Roman" w:ascii="Times New Roman"/>
          <w:sz w:val="24"/>
          <w:szCs w:val="24"/>
        </w:rPr>
        <w:t xml:space="preserve">. </w:t>
      </w:r>
      <w:r w:rsidR="007A09E3">
        <w:rPr>
          <w:rFonts w:hAnsi="Times New Roman" w:ascii="Times New Roman"/>
          <w:sz w:val="24"/>
          <w:szCs w:val="24"/>
        </w:rPr>
        <w:t>Stečajnog zakona</w:t>
      </w:r>
      <w:r w:rsidR="00571979" w:rsidRPr="00AE4197">
        <w:rPr>
          <w:rFonts w:hAnsi="Times New Roman" w:ascii="Times New Roman"/>
          <w:sz w:val="24"/>
          <w:szCs w:val="24"/>
        </w:rPr>
        <w:t xml:space="preserve"> (Narodne novine </w:t>
      </w:r>
      <w:r w:rsidR="007A09E3">
        <w:rPr>
          <w:rFonts w:hAnsi="Times New Roman" w:ascii="Times New Roman"/>
          <w:sz w:val="24"/>
          <w:szCs w:val="24"/>
        </w:rPr>
        <w:t>71/15),</w:t>
      </w:r>
      <w:r w:rsidR="00177815" w:rsidRPr="00AE4197">
        <w:rPr>
          <w:rFonts w:hAnsi="Times New Roman" w:ascii="Times New Roman"/>
          <w:sz w:val="24"/>
          <w:szCs w:val="24"/>
        </w:rPr>
        <w:t xml:space="preserve"> </w:t>
      </w:r>
      <w:r w:rsidRPr="00AE4197">
        <w:rPr>
          <w:rFonts w:hAnsi="Times New Roman" w:ascii="Times New Roman"/>
          <w:sz w:val="24"/>
          <w:szCs w:val="24"/>
        </w:rPr>
        <w:t xml:space="preserve">dana </w:t>
      </w:r>
      <w:r w:rsidR="007A09E3">
        <w:rPr>
          <w:rFonts w:hAnsi="Times New Roman" w:ascii="Times New Roman"/>
          <w:sz w:val="24"/>
          <w:szCs w:val="24"/>
        </w:rPr>
        <w:t>6. prosinca</w:t>
      </w:r>
      <w:r w:rsidR="00571979" w:rsidRPr="00AE4197">
        <w:rPr>
          <w:rFonts w:hAnsi="Times New Roman" w:ascii="Times New Roman"/>
          <w:sz w:val="24"/>
          <w:szCs w:val="24"/>
        </w:rPr>
        <w:t xml:space="preserve"> 2016.</w:t>
      </w:r>
    </w:p>
    <w:p w:rsidRDefault="00903677" w:rsidP="00903677" w:rsidR="00903677" w:rsidRPr="00AE4197">
      <w:pPr>
        <w:spacing w:lineRule="atLeast" w:line="240" w:after="0"/>
        <w:jc w:val="center"/>
        <w:rPr>
          <w:rFonts w:hAnsi="Times New Roman" w:ascii="Times New Roman"/>
          <w:sz w:val="24"/>
          <w:szCs w:val="24"/>
        </w:rPr>
      </w:pPr>
      <w:r w:rsidRPr="00AE4197">
        <w:rPr>
          <w:rFonts w:hAnsi="Times New Roman" w:ascii="Times New Roman"/>
          <w:sz w:val="24"/>
          <w:szCs w:val="24"/>
        </w:rPr>
        <w:t>r i j e š i o   j e</w:t>
      </w:r>
    </w:p>
    <w:p w:rsidRDefault="00903677" w:rsidP="00903677" w:rsidR="00903677" w:rsidRPr="00AE4197">
      <w:pPr>
        <w:spacing w:lineRule="atLeast" w:line="240" w:after="0"/>
        <w:rPr>
          <w:rFonts w:hAnsi="Times New Roman" w:ascii="Times New Roman"/>
          <w:b/>
          <w:sz w:val="24"/>
          <w:szCs w:val="24"/>
        </w:rPr>
      </w:pPr>
    </w:p>
    <w:p w:rsidRDefault="00903677" w:rsidP="00903677" w:rsidR="00903677" w:rsidRPr="00AE4197">
      <w:pPr>
        <w:spacing w:lineRule="atLeast" w:line="240" w:after="0"/>
        <w:rPr>
          <w:rFonts w:hAnsi="Times New Roman" w:ascii="Times New Roman"/>
          <w:b/>
          <w:sz w:val="24"/>
          <w:szCs w:val="24"/>
        </w:rPr>
      </w:pPr>
    </w:p>
    <w:p w:rsidRDefault="00177815" w:rsidP="009E5A7A" w:rsidR="001D2FF4" w:rsidRPr="007A09E3">
      <w:pPr>
        <w:numPr>
          <w:ilvl w:val="0"/>
          <w:numId w:val="9"/>
        </w:numPr>
        <w:spacing w:lineRule="auto" w:line="240" w:after="0"/>
        <w:ind w:firstLine="660" w:left="0"/>
        <w:jc w:val="both"/>
        <w:rPr>
          <w:rFonts w:eastAsia="Times New Roman" w:hAnsi="Times New Roman" w:ascii="Times New Roman"/>
          <w:sz w:val="24"/>
          <w:szCs w:val="24"/>
          <w:lang w:eastAsia="hr-HR"/>
        </w:rPr>
      </w:pPr>
      <w:r w:rsidRPr="007A09E3">
        <w:rPr>
          <w:rFonts w:hAnsi="Times New Roman" w:ascii="Times New Roman"/>
          <w:sz w:val="24"/>
          <w:szCs w:val="24"/>
        </w:rPr>
        <w:t xml:space="preserve">Ispravlja se tablica </w:t>
      </w:r>
      <w:r w:rsidR="00571979" w:rsidRPr="007A09E3">
        <w:rPr>
          <w:rFonts w:hAnsi="Times New Roman" w:ascii="Times New Roman"/>
          <w:sz w:val="24"/>
          <w:szCs w:val="24"/>
        </w:rPr>
        <w:t>stečajnog suca</w:t>
      </w:r>
      <w:r w:rsidR="00610E1C" w:rsidRPr="007A09E3">
        <w:rPr>
          <w:rFonts w:hAnsi="Times New Roman" w:ascii="Times New Roman"/>
          <w:sz w:val="24"/>
          <w:szCs w:val="24"/>
        </w:rPr>
        <w:t xml:space="preserve"> u točci 1.</w:t>
      </w:r>
      <w:r w:rsidR="00571979" w:rsidRPr="007A09E3">
        <w:rPr>
          <w:rFonts w:hAnsi="Times New Roman" w:ascii="Times New Roman"/>
          <w:sz w:val="24"/>
          <w:szCs w:val="24"/>
        </w:rPr>
        <w:t xml:space="preserve"> </w:t>
      </w:r>
      <w:r w:rsidR="00610E1C" w:rsidRPr="007A09E3">
        <w:rPr>
          <w:rFonts w:hAnsi="Times New Roman" w:ascii="Times New Roman"/>
          <w:sz w:val="24"/>
          <w:szCs w:val="24"/>
        </w:rPr>
        <w:t>utvrđene tražbine</w:t>
      </w:r>
      <w:r w:rsidRPr="007A09E3">
        <w:rPr>
          <w:rFonts w:hAnsi="Times New Roman" w:ascii="Times New Roman"/>
          <w:sz w:val="24"/>
          <w:szCs w:val="24"/>
        </w:rPr>
        <w:t xml:space="preserve"> </w:t>
      </w:r>
      <w:r w:rsidR="007A09E3" w:rsidRPr="007A09E3">
        <w:rPr>
          <w:rFonts w:hAnsi="Times New Roman" w:ascii="Times New Roman"/>
          <w:sz w:val="24"/>
          <w:szCs w:val="24"/>
        </w:rPr>
        <w:t>drugog</w:t>
      </w:r>
      <w:r w:rsidRPr="007A09E3">
        <w:rPr>
          <w:rFonts w:hAnsi="Times New Roman" w:ascii="Times New Roman"/>
          <w:sz w:val="24"/>
          <w:szCs w:val="24"/>
        </w:rPr>
        <w:t xml:space="preserve"> višeg isplatnog reda</w:t>
      </w:r>
      <w:r w:rsidR="007A09E3" w:rsidRPr="007A09E3">
        <w:rPr>
          <w:rFonts w:hAnsi="Times New Roman" w:ascii="Times New Roman"/>
          <w:sz w:val="24"/>
          <w:szCs w:val="24"/>
        </w:rPr>
        <w:t xml:space="preserve"> </w:t>
      </w:r>
      <w:r w:rsidRPr="007A09E3">
        <w:rPr>
          <w:rFonts w:hAnsi="Times New Roman" w:ascii="Times New Roman"/>
          <w:sz w:val="24"/>
          <w:szCs w:val="24"/>
        </w:rPr>
        <w:t xml:space="preserve">na način da </w:t>
      </w:r>
      <w:r w:rsidR="007A09E3" w:rsidRPr="007A09E3">
        <w:rPr>
          <w:rFonts w:hAnsi="Times New Roman" w:ascii="Times New Roman"/>
          <w:sz w:val="24"/>
          <w:szCs w:val="24"/>
        </w:rPr>
        <w:t xml:space="preserve">se </w:t>
      </w:r>
      <w:r w:rsidR="007A09E3">
        <w:rPr>
          <w:rFonts w:hAnsi="Times New Roman" w:ascii="Times New Roman"/>
          <w:sz w:val="24"/>
          <w:szCs w:val="24"/>
        </w:rPr>
        <w:t xml:space="preserve">nakon rednog broja 10. doda </w:t>
      </w:r>
      <w:r w:rsidR="007A09E3" w:rsidRPr="007A09E3">
        <w:rPr>
          <w:rFonts w:hAnsi="Times New Roman" w:ascii="Times New Roman"/>
          <w:sz w:val="24"/>
          <w:szCs w:val="24"/>
        </w:rPr>
        <w:t xml:space="preserve">redni broj 11. koji glasi: </w:t>
      </w:r>
    </w:p>
    <w:p w:rsidRDefault="00610E1C" w:rsidP="009E5A7A" w:rsidR="00610E1C" w:rsidRPr="00AE4197">
      <w:pPr>
        <w:spacing w:lineRule="auto" w:line="240" w:after="0"/>
        <w:jc w:val="both"/>
        <w:rPr>
          <w:rFonts w:eastAsia="Times New Roman" w:hAnsi="Times New Roman" w:ascii="Times New Roman"/>
          <w:sz w:val="24"/>
          <w:szCs w:val="24"/>
          <w:lang w:eastAsia="hr-HR"/>
        </w:rPr>
      </w:pPr>
    </w:p>
    <w:tbl>
      <w:tblPr>
        <w:tblW w:type="dxa" w:w="8662"/>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4"/>
        <w:gridCol w:w="4394"/>
        <w:gridCol w:w="3544"/>
      </w:tblGrid>
      <w:tr w:rsidTr="007A09E3" w:rsidR="007A09E3" w:rsidRPr="00C3793F">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7A09E3" w:rsidP="007A09E3" w:rsidR="007A09E3" w:rsidRPr="00C3793F">
            <w:pPr>
              <w:pStyle w:val="Bezproreda1"/>
              <w:jc w:val="center"/>
              <w:rPr>
                <w:rFonts w:hAnsi="Times New Roman" w:ascii="Times New Roman"/>
                <w:b/>
                <w:sz w:val="24"/>
                <w:szCs w:val="24"/>
              </w:rPr>
            </w:pPr>
            <w:r w:rsidRPr="00C3793F">
              <w:rPr>
                <w:rFonts w:hAnsi="Times New Roman" w:ascii="Times New Roman"/>
                <w:b/>
                <w:sz w:val="24"/>
                <w:szCs w:val="24"/>
              </w:rPr>
              <w:t>R.Br.</w:t>
            </w:r>
          </w:p>
        </w:tc>
        <w:tc>
          <w:tcPr>
            <w:tcW w:type="dxa" w:w="4394"/>
            <w:tcBorders>
              <w:top w:space="0" w:sz="4" w:color="auto" w:val="single"/>
              <w:left w:space="0" w:sz="4" w:color="auto" w:val="single"/>
              <w:bottom w:space="0" w:sz="4" w:color="auto" w:val="single"/>
              <w:right w:space="0" w:sz="4" w:color="auto" w:val="single"/>
            </w:tcBorders>
            <w:shd w:fill="auto" w:color="auto" w:val="clear"/>
            <w:noWrap/>
          </w:tcPr>
          <w:p w:rsidRDefault="007A09E3" w:rsidP="007A09E3" w:rsidR="007A09E3" w:rsidRPr="00C3793F">
            <w:pPr>
              <w:pStyle w:val="Bezproreda1"/>
              <w:rPr>
                <w:rFonts w:hAnsi="Times New Roman" w:ascii="Times New Roman"/>
                <w:b/>
                <w:sz w:val="24"/>
                <w:szCs w:val="24"/>
              </w:rPr>
            </w:pPr>
            <w:r w:rsidRPr="00C3793F">
              <w:rPr>
                <w:rFonts w:hAnsi="Times New Roman" w:ascii="Times New Roman"/>
                <w:b/>
                <w:sz w:val="24"/>
                <w:szCs w:val="24"/>
              </w:rPr>
              <w:t>NAZIV VJEROVNIKA</w:t>
            </w:r>
          </w:p>
        </w:tc>
        <w:tc>
          <w:tcPr>
            <w:tcW w:type="dxa" w:w="3544"/>
          </w:tcPr>
          <w:p w:rsidRDefault="007A09E3" w:rsidP="007A09E3" w:rsidR="007A09E3" w:rsidRPr="00C3793F">
            <w:pPr>
              <w:pStyle w:val="Bezproreda1"/>
              <w:jc w:val="right"/>
              <w:rPr>
                <w:rFonts w:hAnsi="Times New Roman" w:ascii="Times New Roman"/>
                <w:b/>
                <w:sz w:val="24"/>
                <w:szCs w:val="24"/>
              </w:rPr>
            </w:pPr>
            <w:r w:rsidRPr="00C3793F">
              <w:rPr>
                <w:rFonts w:hAnsi="Times New Roman" w:ascii="Times New Roman"/>
                <w:b/>
                <w:sz w:val="24"/>
                <w:szCs w:val="24"/>
              </w:rPr>
              <w:t>PRIZNATO</w:t>
            </w:r>
          </w:p>
        </w:tc>
      </w:tr>
      <w:tr w:rsidTr="007A09E3" w:rsidR="007A09E3" w:rsidRPr="00C3793F">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7A09E3" w:rsidP="007A09E3" w:rsidR="007A09E3" w:rsidRPr="007A09E3">
            <w:pPr>
              <w:pStyle w:val="Bezproreda1"/>
              <w:jc w:val="center"/>
              <w:rPr>
                <w:rFonts w:hAnsi="Times New Roman" w:ascii="Times New Roman"/>
                <w:sz w:val="24"/>
                <w:szCs w:val="24"/>
              </w:rPr>
            </w:pPr>
            <w:r w:rsidRPr="007A09E3">
              <w:rPr>
                <w:rFonts w:hAnsi="Times New Roman" w:ascii="Times New Roman"/>
                <w:sz w:val="24"/>
                <w:szCs w:val="24"/>
              </w:rPr>
              <w:t xml:space="preserve">11. </w:t>
            </w:r>
          </w:p>
        </w:tc>
        <w:tc>
          <w:tcPr>
            <w:tcW w:type="dxa" w:w="4394"/>
            <w:tcBorders>
              <w:top w:space="0" w:sz="4" w:color="auto" w:val="single"/>
              <w:left w:space="0" w:sz="4" w:color="auto" w:val="single"/>
              <w:bottom w:space="0" w:sz="4" w:color="auto" w:val="single"/>
              <w:right w:space="0" w:sz="4" w:color="auto" w:val="single"/>
            </w:tcBorders>
            <w:shd w:fill="auto" w:color="auto" w:val="clear"/>
            <w:noWrap/>
          </w:tcPr>
          <w:p w:rsidRDefault="007A09E3" w:rsidP="007A09E3" w:rsidR="007A09E3" w:rsidRPr="007A09E3">
            <w:pPr>
              <w:pStyle w:val="Bezproreda1"/>
              <w:rPr>
                <w:rFonts w:hAnsi="Times New Roman" w:ascii="Times New Roman"/>
                <w:sz w:val="24"/>
                <w:szCs w:val="24"/>
              </w:rPr>
            </w:pPr>
            <w:r w:rsidRPr="007A09E3">
              <w:rPr>
                <w:rFonts w:hAnsi="Times New Roman" w:ascii="Times New Roman"/>
                <w:sz w:val="24"/>
                <w:szCs w:val="24"/>
              </w:rPr>
              <w:t>ELEKTROPROMET d.d., Zagreb, Avenija Dubrovnik 6, OIB: 11253040204</w:t>
            </w:r>
            <w:r w:rsidRPr="007A09E3">
              <w:rPr>
                <w:rFonts w:hAnsi="Times New Roman" w:ascii="Times New Roman"/>
                <w:sz w:val="24"/>
                <w:szCs w:val="24"/>
              </w:rPr>
              <w:tab/>
            </w:r>
          </w:p>
        </w:tc>
        <w:tc>
          <w:tcPr>
            <w:tcW w:type="dxa" w:w="3544"/>
          </w:tcPr>
          <w:p w:rsidRDefault="007A09E3" w:rsidP="007A09E3" w:rsidR="007A09E3" w:rsidRPr="007A09E3">
            <w:pPr>
              <w:pStyle w:val="Bezproreda1"/>
              <w:jc w:val="right"/>
              <w:rPr>
                <w:rFonts w:hAnsi="Times New Roman" w:ascii="Times New Roman"/>
                <w:sz w:val="24"/>
                <w:szCs w:val="24"/>
              </w:rPr>
            </w:pPr>
            <w:r w:rsidRPr="007A09E3">
              <w:rPr>
                <w:rFonts w:hAnsi="Times New Roman" w:ascii="Times New Roman"/>
                <w:sz w:val="24"/>
                <w:szCs w:val="24"/>
              </w:rPr>
              <w:t>145.990,12</w:t>
            </w:r>
          </w:p>
        </w:tc>
      </w:tr>
    </w:tbl>
    <w:p w:rsidRDefault="009E5A7A" w:rsidP="009E5A7A" w:rsidR="009E5A7A">
      <w:pPr>
        <w:spacing w:lineRule="auto" w:line="240" w:after="0"/>
        <w:jc w:val="both"/>
        <w:rPr>
          <w:rFonts w:eastAsia="Times New Roman" w:hAnsi="Times New Roman" w:ascii="Times New Roman"/>
          <w:sz w:val="24"/>
          <w:szCs w:val="24"/>
          <w:lang w:eastAsia="hr-HR"/>
        </w:rPr>
      </w:pPr>
    </w:p>
    <w:p w:rsidRDefault="007A09E3" w:rsidP="00B76058" w:rsidR="007A09E3" w:rsidRPr="007A09E3">
      <w:pPr>
        <w:pStyle w:val="Odlomakpopisa"/>
        <w:numPr>
          <w:ilvl w:val="0"/>
          <w:numId w:val="9"/>
        </w:numPr>
        <w:spacing w:lineRule="auto" w:line="240" w:after="0"/>
        <w:ind w:firstLine="698" w:left="0"/>
        <w:jc w:val="both"/>
        <w:rPr>
          <w:rFonts w:eastAsia="Times New Roman" w:hAnsi="Times New Roman" w:ascii="Times New Roman"/>
          <w:sz w:val="24"/>
          <w:szCs w:val="24"/>
          <w:lang w:eastAsia="hr-HR"/>
        </w:rPr>
      </w:pPr>
      <w:r w:rsidRPr="007A09E3">
        <w:rPr>
          <w:rFonts w:eastAsia="Times New Roman" w:hAnsi="Times New Roman" w:ascii="Times New Roman"/>
          <w:sz w:val="24"/>
          <w:szCs w:val="24"/>
          <w:lang w:eastAsia="hr-HR"/>
        </w:rPr>
        <w:t xml:space="preserve">Ispravlja se tablica stečajnog </w:t>
      </w:r>
      <w:r w:rsidRPr="007A09E3">
        <w:rPr>
          <w:rFonts w:hAnsi="Times New Roman" w:ascii="Times New Roman"/>
          <w:sz w:val="24"/>
          <w:szCs w:val="24"/>
        </w:rPr>
        <w:t xml:space="preserve">suca u točci 2. osporene tražbine drugog višeg isplatnog reda na način da se brišu podaci pod rednim brojem 2. </w:t>
      </w:r>
    </w:p>
    <w:p w:rsidRDefault="007A09E3" w:rsidP="007A09E3" w:rsidR="007A09E3" w:rsidRPr="007A09E3">
      <w:pPr>
        <w:pStyle w:val="Odlomakpopisa"/>
        <w:spacing w:lineRule="auto" w:line="240" w:after="0"/>
        <w:ind w:left="1380"/>
        <w:jc w:val="both"/>
        <w:rPr>
          <w:rFonts w:eastAsia="Times New Roman" w:hAnsi="Times New Roman" w:ascii="Times New Roman"/>
          <w:sz w:val="24"/>
          <w:szCs w:val="24"/>
          <w:lang w:eastAsia="hr-HR"/>
        </w:rPr>
      </w:pPr>
    </w:p>
    <w:p w:rsidRDefault="00903677" w:rsidP="00903677" w:rsidR="00903677" w:rsidRPr="00AE4197">
      <w:pPr>
        <w:spacing w:lineRule="atLeast" w:line="240" w:after="0"/>
        <w:rPr>
          <w:rFonts w:hAnsi="Times New Roman" w:ascii="Times New Roman"/>
          <w:b/>
          <w:sz w:val="24"/>
          <w:szCs w:val="24"/>
        </w:rPr>
      </w:pPr>
    </w:p>
    <w:p w:rsidRDefault="00903677" w:rsidP="00903677" w:rsidR="00903677" w:rsidRPr="00AE4197">
      <w:pPr>
        <w:spacing w:lineRule="atLeast" w:line="240" w:after="0"/>
        <w:jc w:val="center"/>
        <w:rPr>
          <w:rFonts w:hAnsi="Times New Roman" w:ascii="Times New Roman"/>
          <w:b/>
          <w:sz w:val="24"/>
          <w:szCs w:val="24"/>
        </w:rPr>
      </w:pPr>
      <w:r w:rsidRPr="00AE4197">
        <w:rPr>
          <w:rFonts w:hAnsi="Times New Roman" w:ascii="Times New Roman"/>
          <w:b/>
          <w:sz w:val="24"/>
          <w:szCs w:val="24"/>
        </w:rPr>
        <w:t>Obrazloženje</w:t>
      </w:r>
    </w:p>
    <w:p w:rsidRDefault="00903677" w:rsidP="00903677" w:rsidR="00903677" w:rsidRPr="00AE4197">
      <w:pPr>
        <w:spacing w:lineRule="atLeast" w:line="240" w:after="0"/>
        <w:rPr>
          <w:rFonts w:hAnsi="Times New Roman" w:ascii="Times New Roman"/>
          <w:b/>
          <w:sz w:val="24"/>
          <w:szCs w:val="24"/>
        </w:rPr>
      </w:pPr>
    </w:p>
    <w:p w:rsidRDefault="00903677" w:rsidP="001B70E5" w:rsidR="007A09E3">
      <w:pPr>
        <w:spacing w:lineRule="atLeast" w:line="240" w:after="0"/>
        <w:jc w:val="both"/>
        <w:rPr>
          <w:rFonts w:hAnsi="Times New Roman" w:ascii="Times New Roman"/>
          <w:sz w:val="24"/>
          <w:szCs w:val="24"/>
        </w:rPr>
      </w:pPr>
      <w:r w:rsidRPr="00AE4197">
        <w:rPr>
          <w:rFonts w:hAnsi="Times New Roman" w:ascii="Times New Roman"/>
          <w:sz w:val="24"/>
          <w:szCs w:val="24"/>
        </w:rPr>
        <w:t xml:space="preserve">          U stečajnom postupku koji se vodi kod ovog suda pod gornjim poslovnim brojem nad </w:t>
      </w:r>
      <w:r w:rsidR="007662EC" w:rsidRPr="00AE4197">
        <w:rPr>
          <w:rFonts w:hAnsi="Times New Roman" w:ascii="Times New Roman"/>
          <w:sz w:val="24"/>
          <w:szCs w:val="24"/>
        </w:rPr>
        <w:t xml:space="preserve">stečajnim </w:t>
      </w:r>
      <w:r w:rsidRPr="00AE4197">
        <w:rPr>
          <w:rFonts w:hAnsi="Times New Roman" w:ascii="Times New Roman"/>
          <w:sz w:val="24"/>
          <w:szCs w:val="24"/>
        </w:rPr>
        <w:t>dužnik</w:t>
      </w:r>
      <w:r w:rsidR="007662EC" w:rsidRPr="00AE4197">
        <w:rPr>
          <w:rFonts w:hAnsi="Times New Roman" w:ascii="Times New Roman"/>
          <w:sz w:val="24"/>
          <w:szCs w:val="24"/>
        </w:rPr>
        <w:t>om</w:t>
      </w:r>
      <w:r w:rsidRPr="00AE4197">
        <w:rPr>
          <w:rFonts w:hAnsi="Times New Roman" w:ascii="Times New Roman"/>
          <w:sz w:val="24"/>
          <w:szCs w:val="24"/>
        </w:rPr>
        <w:t xml:space="preserve"> </w:t>
      </w:r>
      <w:r w:rsidR="007A09E3">
        <w:rPr>
          <w:rFonts w:hAnsi="Times New Roman" w:ascii="Times New Roman"/>
          <w:sz w:val="24"/>
          <w:szCs w:val="24"/>
        </w:rPr>
        <w:t xml:space="preserve">TRAJNA GRADNJA d.o.o. u stečaju </w:t>
      </w:r>
      <w:r w:rsidR="007A09E3" w:rsidRPr="00CA2A74">
        <w:rPr>
          <w:rFonts w:hAnsi="Times New Roman" w:ascii="Times New Roman"/>
          <w:sz w:val="24"/>
          <w:szCs w:val="24"/>
        </w:rPr>
        <w:t>Zadar</w:t>
      </w:r>
      <w:r w:rsidRPr="00AE4197">
        <w:rPr>
          <w:rFonts w:hAnsi="Times New Roman" w:ascii="Times New Roman"/>
          <w:sz w:val="24"/>
          <w:szCs w:val="24"/>
        </w:rPr>
        <w:t xml:space="preserve">, </w:t>
      </w:r>
      <w:r w:rsidR="007A09E3">
        <w:rPr>
          <w:rFonts w:hAnsi="Times New Roman" w:ascii="Times New Roman"/>
          <w:sz w:val="24"/>
          <w:szCs w:val="24"/>
        </w:rPr>
        <w:t xml:space="preserve">rješenjem 1St-723/16-30 od 30. kolovoza 2016. osporena je tražbina vjerovnika  </w:t>
      </w:r>
      <w:r w:rsidR="007A09E3" w:rsidRPr="007A09E3">
        <w:rPr>
          <w:rFonts w:hAnsi="Times New Roman" w:ascii="Times New Roman"/>
          <w:sz w:val="24"/>
          <w:szCs w:val="24"/>
        </w:rPr>
        <w:t>ELEKTROPROMET d.d., Zagreb</w:t>
      </w:r>
      <w:r w:rsidR="007A09E3" w:rsidRPr="00AE4197">
        <w:rPr>
          <w:rFonts w:hAnsi="Times New Roman" w:ascii="Times New Roman"/>
          <w:sz w:val="24"/>
          <w:szCs w:val="24"/>
        </w:rPr>
        <w:t xml:space="preserve"> </w:t>
      </w:r>
      <w:r w:rsidR="007A09E3">
        <w:rPr>
          <w:rFonts w:hAnsi="Times New Roman" w:ascii="Times New Roman"/>
          <w:sz w:val="24"/>
          <w:szCs w:val="24"/>
        </w:rPr>
        <w:t xml:space="preserve">, koji vjerovnik je podnio žalbu protiv ovog rješenja, a Visoki trgovački sud je odlučujući o žalbi rješenjem 32. Pž-6410/2016-2 od 19. listopada 2016. godine žalbu odbio, preinačio rješenje ovog suda o upućivanju vjerovnika </w:t>
      </w:r>
      <w:r w:rsidR="007A09E3" w:rsidRPr="007A09E3">
        <w:rPr>
          <w:rFonts w:hAnsi="Times New Roman" w:ascii="Times New Roman"/>
          <w:sz w:val="24"/>
          <w:szCs w:val="24"/>
        </w:rPr>
        <w:t>ELEKTROPROMET d.d., Zagreb</w:t>
      </w:r>
      <w:r w:rsidR="007A09E3">
        <w:rPr>
          <w:rFonts w:hAnsi="Times New Roman" w:ascii="Times New Roman"/>
          <w:sz w:val="24"/>
          <w:szCs w:val="24"/>
        </w:rPr>
        <w:t xml:space="preserve"> u parnicu i uputio stečajnu upraviteljicu stečajnog dužnika na pokretanje parnice radi utvrđivanja osnovanosti izjavljenog osporavanja obzirom da vjerovnik </w:t>
      </w:r>
      <w:r w:rsidR="007A09E3" w:rsidRPr="007A09E3">
        <w:rPr>
          <w:rFonts w:hAnsi="Times New Roman" w:ascii="Times New Roman"/>
          <w:sz w:val="24"/>
          <w:szCs w:val="24"/>
        </w:rPr>
        <w:t>ELEKTROPROMET d.d., Zagreb</w:t>
      </w:r>
      <w:r w:rsidR="007A09E3">
        <w:rPr>
          <w:rFonts w:hAnsi="Times New Roman" w:ascii="Times New Roman"/>
          <w:sz w:val="24"/>
          <w:szCs w:val="24"/>
        </w:rPr>
        <w:t xml:space="preserve"> ima ovršnu ispravu za prijavljene tražbine.</w:t>
      </w:r>
    </w:p>
    <w:p w:rsidRDefault="007A09E3" w:rsidP="007A09E3" w:rsidR="007A09E3">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Rješenje Visokog trgovačkog suda dostavljeno je stečajnoj upraviteljici 25. studenoga 2016. godine i rok za podnošenje tužbe protiv vjerovnika </w:t>
      </w:r>
      <w:r w:rsidRPr="007A09E3">
        <w:rPr>
          <w:rFonts w:hAnsi="Times New Roman" w:ascii="Times New Roman"/>
          <w:sz w:val="24"/>
          <w:szCs w:val="24"/>
        </w:rPr>
        <w:t>ELEKTROPROMET d.d., Zagreb</w:t>
      </w:r>
      <w:r>
        <w:rPr>
          <w:rFonts w:hAnsi="Times New Roman" w:ascii="Times New Roman"/>
          <w:sz w:val="24"/>
          <w:szCs w:val="24"/>
        </w:rPr>
        <w:t xml:space="preserve"> protekao je 5. prosinca 2016. U međuvremenu je stečajna upraviteljica sudu dostavila: ''ispravljenu tražbinu koju u cijelosti priznaje''.</w:t>
      </w:r>
    </w:p>
    <w:p w:rsidRDefault="00B76058" w:rsidP="007A09E3" w:rsidR="007A09E3">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Obzirom da se tražbina u stečajnom postupku ispituje isključivo na ispitnom ročištu koje je održano 30. kolovoza 2016. i na kojem se stečajna upraviteljica izjasnila da predmetnu tražbinu osporava, tražbinu nije moguće ponovno ispitivati, Međutim, odredbom čl. 267. st.2. Stečajnog zakona propisano je da će se smatrati da je osporavanje otklonjeno ukoliko osporavatelj tražbine za koju postoji ovršna isprava ne pokrene parnicu u roku od 8 dana od dana pravomoćnosti rješenja o upućivanju na parnicu. Kako je stečajna upraviteljica svojim </w:t>
      </w:r>
      <w:r>
        <w:rPr>
          <w:rFonts w:hAnsi="Times New Roman" w:ascii="Times New Roman"/>
          <w:sz w:val="24"/>
          <w:szCs w:val="24"/>
        </w:rPr>
        <w:lastRenderedPageBreak/>
        <w:t>podneskom od 28. studenoga 2016. i 5. prosinca 2016. izjavila da tražbinu priznaje i predložila da se tablica ispravi, sud zaključuje da ista nije pokrenula sudski postupak radi utvrđivanja osnovanosti izjavljenog osporavanja pa se stoga temeljem te odredbe osporavanje smatra otklonjenim.</w:t>
      </w:r>
    </w:p>
    <w:p w:rsidRDefault="00B76058" w:rsidP="007A09E3" w:rsidR="00B76058">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Odredbom čl. 271. propisano je da sud može ispraviti tablicu stečajnog suca ukoliko je osporavanje otklonjeno, pa je stoga odlučeno kao u izreci. </w:t>
      </w:r>
    </w:p>
    <w:p w:rsidRDefault="007A09E3" w:rsidP="001B70E5" w:rsidR="007A09E3">
      <w:pPr>
        <w:spacing w:lineRule="atLeast" w:line="240" w:after="0"/>
        <w:jc w:val="both"/>
        <w:rPr>
          <w:rFonts w:hAnsi="Times New Roman" w:ascii="Times New Roman"/>
          <w:sz w:val="24"/>
          <w:szCs w:val="24"/>
        </w:rPr>
      </w:pPr>
    </w:p>
    <w:p w:rsidRDefault="00951034" w:rsidP="00E36CD0" w:rsidR="00951034" w:rsidRPr="00AE4197">
      <w:pPr>
        <w:spacing w:lineRule="atLeast" w:line="240" w:after="0"/>
        <w:rPr>
          <w:rFonts w:hAnsi="Times New Roman" w:ascii="Times New Roman"/>
          <w:sz w:val="24"/>
          <w:szCs w:val="24"/>
        </w:rPr>
      </w:pPr>
    </w:p>
    <w:p w:rsidRDefault="00E36CD0" w:rsidP="00E36CD0" w:rsidR="00E36CD0" w:rsidRPr="00AE4197">
      <w:pPr>
        <w:spacing w:lineRule="atLeast" w:line="240" w:after="0"/>
        <w:jc w:val="center"/>
        <w:rPr>
          <w:rFonts w:hAnsi="Times New Roman" w:ascii="Times New Roman"/>
          <w:sz w:val="24"/>
          <w:szCs w:val="24"/>
        </w:rPr>
      </w:pPr>
      <w:r w:rsidRPr="00AE4197">
        <w:rPr>
          <w:rFonts w:hAnsi="Times New Roman" w:ascii="Times New Roman"/>
          <w:sz w:val="24"/>
          <w:szCs w:val="24"/>
        </w:rPr>
        <w:t xml:space="preserve">U Zadru, dana </w:t>
      </w:r>
      <w:r w:rsidR="00B76058">
        <w:rPr>
          <w:rFonts w:hAnsi="Times New Roman" w:ascii="Times New Roman"/>
          <w:sz w:val="24"/>
          <w:szCs w:val="24"/>
        </w:rPr>
        <w:t>6. prosinca</w:t>
      </w:r>
      <w:r w:rsidR="00C7091E" w:rsidRPr="00AE4197">
        <w:rPr>
          <w:rFonts w:hAnsi="Times New Roman" w:ascii="Times New Roman"/>
          <w:sz w:val="24"/>
          <w:szCs w:val="24"/>
        </w:rPr>
        <w:t xml:space="preserve"> 2016</w:t>
      </w:r>
      <w:r w:rsidRPr="00AE4197">
        <w:rPr>
          <w:rFonts w:hAnsi="Times New Roman" w:ascii="Times New Roman"/>
          <w:sz w:val="24"/>
          <w:szCs w:val="24"/>
        </w:rPr>
        <w:t>.</w:t>
      </w:r>
    </w:p>
    <w:p w:rsidRDefault="00E36CD0" w:rsidP="00E36CD0" w:rsidR="00E36CD0" w:rsidRPr="00AE4197">
      <w:pPr>
        <w:spacing w:lineRule="atLeast" w:line="240" w:after="0"/>
        <w:rPr>
          <w:rFonts w:hAnsi="Times New Roman" w:ascii="Times New Roman"/>
          <w:sz w:val="24"/>
          <w:szCs w:val="24"/>
        </w:rPr>
      </w:pPr>
    </w:p>
    <w:p w:rsidRDefault="00C7091E" w:rsidP="002859C9" w:rsidR="00C7091E" w:rsidRPr="00AE4197">
      <w:pPr>
        <w:spacing w:lineRule="atLeast" w:line="240" w:after="0"/>
        <w:rPr>
          <w:rFonts w:hAnsi="Times New Roman" w:ascii="Times New Roman"/>
          <w:sz w:val="24"/>
          <w:szCs w:val="24"/>
        </w:rPr>
      </w:pPr>
    </w:p>
    <w:p w:rsidRDefault="00C7091E" w:rsidP="002859C9" w:rsidR="00C7091E" w:rsidRPr="00AE4197">
      <w:pPr>
        <w:spacing w:lineRule="atLeast" w:line="240" w:after="0"/>
        <w:rPr>
          <w:rFonts w:hAnsi="Times New Roman" w:ascii="Times New Roman"/>
          <w:sz w:val="24"/>
          <w:szCs w:val="24"/>
        </w:rPr>
      </w:pPr>
    </w:p>
    <w:p w:rsidRDefault="00C7091E" w:rsidP="00C7091E" w:rsidR="00E36CD0" w:rsidRPr="00AE4197">
      <w:pPr>
        <w:spacing w:lineRule="atLeast" w:line="240" w:after="0"/>
        <w:jc w:val="right"/>
        <w:rPr>
          <w:rFonts w:hAnsi="Times New Roman" w:ascii="Times New Roman"/>
          <w:sz w:val="24"/>
          <w:szCs w:val="24"/>
        </w:rPr>
      </w:pPr>
      <w:r w:rsidRPr="00AE4197">
        <w:rPr>
          <w:rFonts w:hAnsi="Times New Roman" w:ascii="Times New Roman"/>
          <w:sz w:val="24"/>
          <w:szCs w:val="24"/>
        </w:rPr>
        <w:t>S</w:t>
      </w:r>
      <w:r w:rsidR="00E36CD0" w:rsidRPr="00AE4197">
        <w:rPr>
          <w:rFonts w:hAnsi="Times New Roman" w:ascii="Times New Roman"/>
          <w:sz w:val="24"/>
          <w:szCs w:val="24"/>
        </w:rPr>
        <w:t>udac</w:t>
      </w:r>
    </w:p>
    <w:p w:rsidRDefault="00E36CD0" w:rsidP="00C7091E" w:rsidR="001755EA" w:rsidRPr="00AE4197">
      <w:pPr>
        <w:spacing w:lineRule="atLeast" w:line="240" w:after="0"/>
        <w:jc w:val="right"/>
        <w:rPr>
          <w:rFonts w:hAnsi="Times New Roman" w:ascii="Times New Roman"/>
          <w:b/>
          <w:sz w:val="24"/>
          <w:szCs w:val="24"/>
        </w:rPr>
      </w:pPr>
      <w:r w:rsidRPr="00AE4197">
        <w:rPr>
          <w:rFonts w:hAnsi="Times New Roman" w:ascii="Times New Roman"/>
          <w:sz w:val="24"/>
          <w:szCs w:val="24"/>
        </w:rPr>
        <w:t>Ardena Bajlo</w:t>
      </w:r>
    </w:p>
    <w:p w:rsidRDefault="00E36CD0" w:rsidP="00E36CD0" w:rsidR="00E36CD0" w:rsidRPr="00AE4197">
      <w:pPr>
        <w:spacing w:lineRule="atLeast" w:line="240" w:after="0"/>
        <w:rPr>
          <w:rFonts w:hAnsi="Times New Roman" w:ascii="Times New Roman"/>
          <w:b/>
          <w:sz w:val="24"/>
          <w:szCs w:val="24"/>
        </w:rPr>
      </w:pPr>
    </w:p>
    <w:p w:rsidRDefault="008975E3" w:rsidP="00E36CD0" w:rsidR="008975E3" w:rsidRPr="00AE4197">
      <w:pPr>
        <w:spacing w:lineRule="atLeast" w:line="240" w:after="0"/>
        <w:rPr>
          <w:rFonts w:hAnsi="Times New Roman" w:ascii="Times New Roman"/>
          <w:b/>
          <w:sz w:val="24"/>
          <w:szCs w:val="24"/>
        </w:rPr>
      </w:pPr>
    </w:p>
    <w:p w:rsidRDefault="00AE4197" w:rsidP="001E6837" w:rsidR="00D7480A" w:rsidRPr="00AE4197">
      <w:pPr>
        <w:spacing w:lineRule="atLeast" w:line="240" w:after="0"/>
        <w:rPr>
          <w:rFonts w:hAnsi="Times New Roman" w:ascii="Times New Roman"/>
          <w:sz w:val="24"/>
          <w:szCs w:val="24"/>
        </w:rPr>
      </w:pPr>
      <w:r w:rsidRPr="00AE4197">
        <w:rPr>
          <w:rFonts w:hAnsi="Times New Roman" w:ascii="Times New Roman"/>
          <w:sz w:val="24"/>
          <w:szCs w:val="24"/>
        </w:rPr>
        <w:t xml:space="preserve">POUKA O PRAVNOM LIJEKU: </w:t>
      </w:r>
    </w:p>
    <w:p w:rsidRDefault="00C5230E" w:rsidP="00C5230E" w:rsidR="00C5230E" w:rsidRPr="00AE4197">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AE4197">
        <w:rPr>
          <w:rFonts w:eastAsia="Times New Roman" w:hAnsi="Times New Roman" w:ascii="Times New Roman"/>
          <w:sz w:val="24"/>
          <w:szCs w:val="24"/>
          <w:lang w:eastAsia="hr-HR"/>
        </w:rPr>
        <w:t>Protiv  ovog  rješenja nezadovoljna stranka može podnijeti žalbu u roku od 8 dana od dana primitka istog. Žalba  se podnosi putem ovog  suda u tri  istovjetna primjerka, a o žalbi odlučuje Visoki trgovački sud  Republike  Hrvatske.</w:t>
      </w:r>
    </w:p>
    <w:p w:rsidRDefault="00D7480A" w:rsidP="001E6837" w:rsidR="00D7480A" w:rsidRPr="00AE4197">
      <w:pPr>
        <w:spacing w:lineRule="atLeast" w:line="240" w:after="0"/>
        <w:rPr>
          <w:rFonts w:hAnsi="Times New Roman" w:ascii="Times New Roman"/>
          <w:sz w:val="24"/>
          <w:szCs w:val="24"/>
        </w:rPr>
      </w:pPr>
    </w:p>
    <w:p w:rsidRDefault="001E6837" w:rsidP="001E6837" w:rsidR="001E6837" w:rsidRPr="00AE4197">
      <w:pPr>
        <w:spacing w:lineRule="atLeast" w:line="240" w:after="0"/>
        <w:jc w:val="both"/>
        <w:rPr>
          <w:rFonts w:hAnsi="Times New Roman" w:ascii="Times New Roman"/>
          <w:sz w:val="24"/>
          <w:szCs w:val="24"/>
        </w:rPr>
      </w:pPr>
    </w:p>
    <w:p w:rsidRDefault="002859C9" w:rsidP="002859C9" w:rsidR="002859C9" w:rsidRPr="00AE4197">
      <w:pPr>
        <w:spacing w:lineRule="atLeast" w:line="240" w:after="0"/>
        <w:rPr>
          <w:rFonts w:hAnsi="Times New Roman" w:ascii="Times New Roman"/>
          <w:sz w:val="24"/>
          <w:szCs w:val="24"/>
        </w:rPr>
      </w:pPr>
      <w:r w:rsidRPr="00AE4197">
        <w:rPr>
          <w:rFonts w:hAnsi="Times New Roman" w:ascii="Times New Roman"/>
          <w:sz w:val="24"/>
          <w:szCs w:val="24"/>
        </w:rPr>
        <w:t>Dostaviti:</w:t>
      </w:r>
    </w:p>
    <w:p w:rsidRDefault="002859C9" w:rsidP="002859C9" w:rsidR="002859C9" w:rsidRPr="00AE4197">
      <w:pPr>
        <w:numPr>
          <w:ilvl w:val="0"/>
          <w:numId w:val="1"/>
        </w:numPr>
        <w:spacing w:lineRule="atLeast" w:line="240" w:after="0"/>
        <w:rPr>
          <w:rFonts w:hAnsi="Times New Roman" w:ascii="Times New Roman"/>
          <w:sz w:val="24"/>
          <w:szCs w:val="24"/>
        </w:rPr>
      </w:pPr>
      <w:r w:rsidRPr="00AE4197">
        <w:rPr>
          <w:rFonts w:hAnsi="Times New Roman" w:ascii="Times New Roman"/>
          <w:sz w:val="24"/>
          <w:szCs w:val="24"/>
        </w:rPr>
        <w:t>oglasna ploča</w:t>
      </w:r>
    </w:p>
    <w:p w:rsidRDefault="002859C9" w:rsidP="002859C9" w:rsidR="002859C9" w:rsidRPr="00AE4197">
      <w:pPr>
        <w:numPr>
          <w:ilvl w:val="0"/>
          <w:numId w:val="1"/>
        </w:numPr>
        <w:spacing w:lineRule="atLeast" w:line="240" w:after="0"/>
        <w:rPr>
          <w:rFonts w:hAnsi="Times New Roman" w:ascii="Times New Roman"/>
          <w:sz w:val="24"/>
          <w:szCs w:val="24"/>
        </w:rPr>
      </w:pPr>
      <w:r w:rsidRPr="00AE4197">
        <w:rPr>
          <w:rFonts w:hAnsi="Times New Roman" w:ascii="Times New Roman"/>
          <w:sz w:val="24"/>
          <w:szCs w:val="24"/>
        </w:rPr>
        <w:t>u spis.</w:t>
      </w:r>
    </w:p>
    <w:p w:rsidRDefault="002859C9" w:rsidP="002859C9" w:rsidR="002859C9" w:rsidRPr="00AE4197">
      <w:pPr>
        <w:spacing w:lineRule="atLeast" w:line="240" w:after="0"/>
        <w:rPr>
          <w:rFonts w:hAnsi="Times New Roman" w:ascii="Times New Roman"/>
          <w:sz w:val="24"/>
          <w:szCs w:val="24"/>
        </w:rPr>
      </w:pPr>
    </w:p>
    <w:p w:rsidRDefault="002859C9" w:rsidP="002859C9" w:rsidR="002859C9" w:rsidRPr="00AE4197">
      <w:pPr>
        <w:spacing w:lineRule="atLeast" w:line="240" w:after="0"/>
        <w:jc w:val="both"/>
        <w:rPr>
          <w:rFonts w:hAnsi="Times New Roman" w:ascii="Times New Roman"/>
          <w:sz w:val="24"/>
          <w:szCs w:val="24"/>
        </w:rPr>
      </w:pPr>
    </w:p>
    <w:p w:rsidRDefault="002859C9" w:rsidP="002859C9" w:rsidR="002859C9" w:rsidRPr="00AE4197">
      <w:pPr>
        <w:spacing w:lineRule="atLeast" w:line="240" w:after="0"/>
        <w:jc w:val="both"/>
        <w:rPr>
          <w:rFonts w:hAnsi="Times New Roman" w:ascii="Times New Roman"/>
          <w:sz w:val="24"/>
          <w:szCs w:val="24"/>
        </w:rPr>
      </w:pPr>
    </w:p>
    <w:p w:rsidRDefault="006C3C92" w:rsidP="006C3C92" w:rsidR="006C3C92" w:rsidRPr="00AE4197">
      <w:pPr>
        <w:spacing w:lineRule="atLeast" w:line="240" w:after="0"/>
        <w:rPr>
          <w:rFonts w:hAnsi="Times New Roman" w:ascii="Times New Roman"/>
          <w:sz w:val="24"/>
          <w:szCs w:val="24"/>
        </w:rPr>
      </w:pPr>
    </w:p>
    <w:sectPr w:rsidSect="004452BC" w:rsidR="006C3C92" w:rsidRPr="00AE4197">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9E3" w:rsidR="007A09E3">
      <w:pPr>
        <w:spacing w:lineRule="auto" w:line="240" w:after="0"/>
      </w:pPr>
      <w:r>
        <w:separator/>
      </w:r>
    </w:p>
  </w:endnote>
  <w:endnote w:id="0" w:type="continuationSeparator">
    <w:p w:rsidRDefault="007A09E3" w:rsidR="007A09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9E3" w:rsidP="004452BC" w:rsidR="007A09E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09E3" w:rsidP="004452BC" w:rsidR="007A09E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9E3" w:rsidP="004452BC" w:rsidR="007A09E3"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9E3" w:rsidR="007A09E3">
      <w:pPr>
        <w:spacing w:lineRule="auto" w:line="240" w:after="0"/>
      </w:pPr>
      <w:r>
        <w:separator/>
      </w:r>
    </w:p>
  </w:footnote>
  <w:footnote w:id="0" w:type="continuationSeparator">
    <w:p w:rsidRDefault="007A09E3" w:rsidR="007A09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9E3" w:rsidP="004452BC" w:rsidR="007A09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09E3" w:rsidR="007A09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9E3" w:rsidP="004452BC" w:rsidR="007A09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49B7">
      <w:rPr>
        <w:rStyle w:val="Brojstranice"/>
        <w:noProof/>
      </w:rPr>
      <w:t>2</w:t>
    </w:r>
    <w:r>
      <w:rPr>
        <w:rStyle w:val="Brojstranice"/>
      </w:rPr>
      <w:fldChar w:fldCharType="end"/>
    </w:r>
  </w:p>
  <w:p w:rsidRDefault="007A09E3" w:rsidR="007A09E3" w:rsidRPr="00AE4197">
    <w:pPr>
      <w:pStyle w:val="Zaglavlje"/>
    </w:pPr>
    <w:r w:rsidRPr="00AE4197">
      <w:t xml:space="preserve">                                                                                                               </w:t>
    </w:r>
    <w:r>
      <w:tab/>
    </w:r>
    <w:r w:rsidRPr="00AE4197">
      <w:t>1 St-</w:t>
    </w:r>
    <w:r w:rsidR="00B76058">
      <w:t>723</w:t>
    </w:r>
    <w:r w:rsidRPr="00AE4197">
      <w:t>/16-</w:t>
    </w:r>
    <w:r w:rsidR="00B76058">
      <w:t>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9E5CEC"/>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2">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6"/>
  </w:num>
  <w:num w:numId="4">
    <w:abstractNumId w:val="5"/>
  </w:num>
  <w:num w:numId="5">
    <w:abstractNumId w:val="8"/>
  </w:num>
  <w:num w:numId="6">
    <w:abstractNumId w:val="4"/>
  </w:num>
  <w:num w:numId="7">
    <w:abstractNumId w:val="10"/>
  </w:num>
  <w:num w:numId="8">
    <w:abstractNumId w:val="0"/>
  </w:num>
  <w:num w:numId="9">
    <w:abstractNumId w:val="13"/>
  </w:num>
  <w:num w:numId="10">
    <w:abstractNumId w:val="15"/>
  </w:num>
  <w:num w:numId="11">
    <w:abstractNumId w:val="1"/>
  </w:num>
  <w:num w:numId="12">
    <w:abstractNumId w:val="16"/>
  </w:num>
  <w:num w:numId="13">
    <w:abstractNumId w:val="7"/>
  </w:num>
  <w:num w:numId="14">
    <w:abstractNumId w:val="12"/>
  </w:num>
  <w:num w:numId="15">
    <w:abstractNumId w:val="2"/>
  </w:num>
  <w:num w:numId="16">
    <w:abstractNumId w:val="14"/>
  </w:num>
  <w:num w:numId="1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B147D"/>
    <w:rsid w:val="00124617"/>
    <w:rsid w:val="00163C59"/>
    <w:rsid w:val="001755EA"/>
    <w:rsid w:val="00177815"/>
    <w:rsid w:val="001B70E5"/>
    <w:rsid w:val="001C3F21"/>
    <w:rsid w:val="001D2FF4"/>
    <w:rsid w:val="001E6837"/>
    <w:rsid w:val="00247422"/>
    <w:rsid w:val="002700BC"/>
    <w:rsid w:val="002859C9"/>
    <w:rsid w:val="00323265"/>
    <w:rsid w:val="00327998"/>
    <w:rsid w:val="004221EF"/>
    <w:rsid w:val="004452BC"/>
    <w:rsid w:val="00450811"/>
    <w:rsid w:val="00485326"/>
    <w:rsid w:val="0048628B"/>
    <w:rsid w:val="004B21E9"/>
    <w:rsid w:val="004D3C1B"/>
    <w:rsid w:val="0052773F"/>
    <w:rsid w:val="00562227"/>
    <w:rsid w:val="00571979"/>
    <w:rsid w:val="005C36CE"/>
    <w:rsid w:val="005C7E14"/>
    <w:rsid w:val="005F76A1"/>
    <w:rsid w:val="00610E1C"/>
    <w:rsid w:val="0066159C"/>
    <w:rsid w:val="006627DD"/>
    <w:rsid w:val="00674C9C"/>
    <w:rsid w:val="006A50D3"/>
    <w:rsid w:val="006C3C92"/>
    <w:rsid w:val="007662EC"/>
    <w:rsid w:val="007A09E3"/>
    <w:rsid w:val="00803A59"/>
    <w:rsid w:val="008975E3"/>
    <w:rsid w:val="008F481F"/>
    <w:rsid w:val="00903677"/>
    <w:rsid w:val="00951034"/>
    <w:rsid w:val="00980582"/>
    <w:rsid w:val="009E5A7A"/>
    <w:rsid w:val="00AE4197"/>
    <w:rsid w:val="00B04EBE"/>
    <w:rsid w:val="00B2047D"/>
    <w:rsid w:val="00B249B7"/>
    <w:rsid w:val="00B41292"/>
    <w:rsid w:val="00B7036F"/>
    <w:rsid w:val="00B76058"/>
    <w:rsid w:val="00C35F12"/>
    <w:rsid w:val="00C5230E"/>
    <w:rsid w:val="00C6073C"/>
    <w:rsid w:val="00C7091E"/>
    <w:rsid w:val="00CC4338"/>
    <w:rsid w:val="00CD3BDE"/>
    <w:rsid w:val="00D02600"/>
    <w:rsid w:val="00D655E6"/>
    <w:rsid w:val="00D7480A"/>
    <w:rsid w:val="00D87CF1"/>
    <w:rsid w:val="00DB052E"/>
    <w:rsid w:val="00E34590"/>
    <w:rsid w:val="00E36CD0"/>
    <w:rsid w:val="00F22B8D"/>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B249B7"/>
    <w:rPr>
      <w:color w:val="808080"/>
      <w:bdr w:space="0" w:sz="0" w:color="auto" w:val="none"/>
      <w:shd w:fill="auto" w:color="auto" w:val="clear"/>
    </w:rPr>
  </w:style>
  <w:style w:customStyle="true" w:styleId="eSPISCCParagraphDefaultFont" w:type="character">
    <w:name w:val="eSPIS_CC_Paragraph Default Font"/>
    <w:basedOn w:val="Zadanifontodlomka"/>
    <w:rsid w:val="00B249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49B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49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49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B249B7"/>
    <w:rPr>
      <w:color w:val="808080"/>
      <w:bdr w:color="auto" w:space="0" w:sz="0" w:val="none"/>
      <w:shd w:color="auto" w:fill="auto" w:val="clear"/>
    </w:rPr>
  </w:style>
  <w:style w:customStyle="1" w:styleId="eSPISCCParagraphDefaultFont" w:type="character">
    <w:name w:val="eSPIS_CC_Paragraph Default Font"/>
    <w:basedOn w:val="Zadanifontodlomka"/>
    <w:rsid w:val="00B249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49B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49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49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 13.09.16. vraćeno 04.10.16.</izvorni_sadrzaj>
    <derivirana_varijabla naziv="DomainObject.Predmet.PrimjedbaSuca_1">Kopija spisa na VTS 13.09.16. vraćeno 04.10.16.</derivirana_varijabla>
  </DomainObject.Predmet.PrimjedbaSuca>
  <DomainObject.Predmet.PrimjedbaUpisnicara>
    <izvorni_sadrzaj/>
    <derivirana_varijabla naziv="DomainObject.Predmet.PrimjedbaUpisnicara_1"/>
  </DomainObject.Predmet.PrimjedbaUpisnicara>
  <DomainObject.Predmet.ProtustrankaFormated>
    <izvorni_sadrzaj>  TRAJNA GRADNJA društvo s ograničenom odgovornošću za građevinarstvo</izvorni_sadrzaj>
    <derivirana_varijabla naziv="DomainObject.Predmet.ProtustrankaFormated_1">  TRAJNA GRADNJA društvo s ograničenom odgovornošću za građevinarstvo</derivirana_varijabla>
  </DomainObject.Predmet.ProtustrankaFormated>
  <DomainObject.Predmet.ProtustrankaFormatedOIB>
    <izvorni_sadrzaj>  TRAJNA GRADNJA društvo s ograničenom odgovornošću za građevinarstvo, OIB 02901914423</izvorni_sadrzaj>
    <derivirana_varijabla naziv="DomainObject.Predmet.ProtustrankaFormatedOIB_1">  TRAJNA GRADNJA društvo s ograničenom odgovornošću za građevinarstvo, OIB 02901914423</derivirana_varijabla>
  </DomainObject.Predmet.ProtustrankaFormatedOIB>
  <DomainObject.Predmet.ProtustrankaFormatedWithAdress>
    <izvorni_sadrzaj> TRAJNA GRADNJA društvo s ograničenom odgovornošću za građevinarstvo, Dračevac 17, 23000 Zadar</izvorni_sadrzaj>
    <derivirana_varijabla naziv="DomainObject.Predmet.ProtustrankaFormatedWithAdress_1"> TRAJNA GRADNJA društvo s ograničenom odgovornošću za građevinarstvo, Dračevac 17, 23000 Zadar</derivirana_varijabla>
  </DomainObject.Predmet.ProtustrankaFormatedWithAdress>
  <DomainObject.Predmet.ProtustrankaFormatedWithAdressOIB>
    <izvorni_sadrzaj> TRAJNA GRADNJA društvo s ograničenom odgovornošću za građevinarstvo, OIB 02901914423, Dračevac 17, 23000 Zadar</izvorni_sadrzaj>
    <derivirana_varijabla naziv="DomainObject.Predmet.ProtustrankaFormatedWithAdressOIB_1"> TRAJNA GRADNJA društvo s ograničenom odgovornošću za građevinarstvo, OIB 02901914423, Dračevac 17, 23000 Zadar</derivirana_varijabla>
  </DomainObject.Predmet.ProtustrankaFormatedWithAdressOIB>
  <DomainObject.Predmet.ProtustrankaWithAdress>
    <izvorni_sadrzaj>TRAJNA GRADNJA društvo s ograničenom odgovornošću za građevinarstvo Dračevac 17, 23000 Zadar</izvorni_sadrzaj>
    <derivirana_varijabla naziv="DomainObject.Predmet.ProtustrankaWithAdress_1">TRAJNA GRADNJA društvo s ograničenom odgovornošću za građevinarstvo Dračevac 17, 23000 Zadar</derivirana_varijabla>
  </DomainObject.Predmet.ProtustrankaWithAdress>
  <DomainObject.Predmet.ProtustrankaWithAdressOIB>
    <izvorni_sadrzaj>TRAJNA GRADNJA društvo s ograničenom odgovornošću za građevinarstvo, OIB 02901914423, Dračevac 17, 23000 Zadar</izvorni_sadrzaj>
    <derivirana_varijabla naziv="DomainObject.Predmet.ProtustrankaWithAdressOIB_1">TRAJNA GRADNJA društvo s ograničenom odgovornošću za građevinarstvo, OIB 02901914423, Dračevac 17, 23000 Zadar</derivirana_varijabla>
  </DomainObject.Predmet.ProtustrankaWithAdressOIB>
  <DomainObject.Predmet.ProtustrankaNazivFormated>
    <izvorni_sadrzaj>TRAJNA GRADNJA društvo s ograničenom odgovornošću za građevinarstvo</izvorni_sadrzaj>
    <derivirana_varijabla naziv="DomainObject.Predmet.ProtustrankaNazivFormated_1">TRAJNA GRADNJA društvo s ograničenom odgovornošću za građevinarstvo</derivirana_varijabla>
  </DomainObject.Predmet.ProtustrankaNazivFormated>
  <DomainObject.Predmet.ProtustrankaNazivFormatedOIB>
    <izvorni_sadrzaj>TRAJNA GRADNJA društvo s ograničenom odgovornošću za građevinarstvo, OIB 02901914423</izvorni_sadrzaj>
    <derivirana_varijabla naziv="DomainObject.Predmet.ProtustrankaNazivFormatedOIB_1">TRAJNA GRADNJA društvo s ograničenom odgovornošću za građevinarstvo, OIB 02901914423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ELEKTROPROMET dioničko društvo za trgovinu i usluge</izvorni_sadrzaj>
    <derivirana_varijabla naziv="DomainObject.Predmet.StrankaFormated_1">  FINA; ELEKTROPROMET dioničko društvo za trgovinu i usluge</derivirana_varijabla>
  </DomainObject.Predmet.StrankaFormated>
  <DomainObject.Predmet.StrankaFormatedOIB>
    <izvorni_sadrzaj>  FINA, OIB 85821130368; ELEKTROPROMET dioničko društvo za trgovinu i usluge, OIB 11253040204</izvorni_sadrzaj>
    <derivirana_varijabla naziv="DomainObject.Predmet.StrankaFormatedOIB_1">  FINA, OIB 85821130368; ELEKTROPROMET dioničko društvo za trgovinu i usluge, OIB 11253040204</derivirana_varijabla>
  </DomainObject.Predmet.StrankaFormatedOIB>
  <DomainObject.Predmet.StrankaFormatedWithAdress>
    <izvorni_sadrzaj> FINA; ELEKTROPROMET dioničko društvo za trgovinu i usluge, Avenija Dubrovnik 6, 10000 Zagreb</izvorni_sadrzaj>
    <derivirana_varijabla naziv="DomainObject.Predmet.StrankaFormatedWithAdress_1"> FINA; ELEKTROPROMET dioničko društvo za trgovinu i usluge, Avenija Dubrovnik 6, 10000 Zagreb</derivirana_varijabla>
  </DomainObject.Predmet.StrankaFormatedWithAdress>
  <DomainObject.Predmet.StrankaFormatedWithAdressOIB>
    <izvorni_sadrzaj> FINA, OIB 85821130368; ELEKTROPROMET dioničko društvo za trgovinu i usluge, OIB 11253040204, Avenija Dubrovnik 6, 10000 Zagreb</izvorni_sadrzaj>
    <derivirana_varijabla naziv="DomainObject.Predmet.StrankaFormatedWithAdressOIB_1"> FINA, OIB 85821130368; ELEKTROPROMET dioničko društvo za trgovinu i usluge, OIB 11253040204, Avenija Dubrovnik 6, 10000 Zagreb</derivirana_varijabla>
  </DomainObject.Predmet.StrankaFormatedWithAdressOIB>
  <DomainObject.Predmet.StrankaWithAdress>
    <izvorni_sadrzaj>FINA ,ELEKTROPROMET dioničko društvo za trgovinu i usluge Avenija Dubrovnik 6,10000 Zagreb</izvorni_sadrzaj>
    <derivirana_varijabla naziv="DomainObject.Predmet.StrankaWithAdress_1">FINA ,ELEKTROPROMET dioničko društvo za trgovinu i usluge Avenija Dubrovnik 6,10000 Zagreb</derivirana_varijabla>
  </DomainObject.Predmet.StrankaWithAdress>
  <DomainObject.Predmet.StrankaWithAdressOIB>
    <izvorni_sadrzaj>FINA, OIB 85821130368,ELEKTROPROMET dioničko društvo za trgovinu i usluge, OIB 11253040204, Avenija Dubrovnik 6,10000 Zagreb</izvorni_sadrzaj>
    <derivirana_varijabla naziv="DomainObject.Predmet.StrankaWithAdressOIB_1">FINA, OIB 85821130368,ELEKTROPROMET dioničko društvo za trgovinu i usluge, OIB 11253040204, Avenija Dubrovnik 6,10000 Zagreb</derivirana_varijabla>
  </DomainObject.Predmet.StrankaWithAdressOIB>
  <DomainObject.Predmet.StrankaNazivFormated>
    <izvorni_sadrzaj>FINA,ELEKTROPROMET dioničko društvo za trgovinu i usluge</izvorni_sadrzaj>
    <derivirana_varijabla naziv="DomainObject.Predmet.StrankaNazivFormated_1">FINA,ELEKTROPROMET dioničko društvo za trgovinu i usluge</derivirana_varijabla>
  </DomainObject.Predmet.StrankaNazivFormated>
  <DomainObject.Predmet.StrankaNazivFormatedOIB>
    <izvorni_sadrzaj>FINA, OIB 85821130368,ELEKTROPROMET dioničko društvo za trgovinu i usluge, OIB 11253040204</izvorni_sadrzaj>
    <derivirana_varijabla naziv="DomainObject.Predmet.StrankaNazivFormatedOIB_1">FINA, OIB 85821130368,ELEKTROPROMET dioničko društvo za trgovinu i usluge, OIB 11253040204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ELEKTROPROMET dioničko društvo za trgovinu i usluge</item>
    </izvorni_sadrzaj>
    <derivirana_varijabla naziv="DomainObject.Predmet.StrankaListFormated_1">
      <item>FINA</item>
      <item>ELEKTROPROMET dioničko društvo za trgovinu i usluge</item>
    </derivirana_varijabla>
  </DomainObject.Predmet.StrankaListFormated>
  <DomainObject.Predmet.StrankaListFormatedOIB>
    <izvorni_sadrzaj>
      <item>FINA, OIB 85821130368</item>
      <item>ELEKTROPROMET dioničko društvo za trgovinu i usluge, OIB 11253040204</item>
    </izvorni_sadrzaj>
    <derivirana_varijabla naziv="DomainObject.Predmet.StrankaListFormatedOIB_1">
      <item>FINA, OIB 85821130368</item>
      <item>ELEKTROPROMET dioničko društvo za trgovinu i usluge, OIB 11253040204</item>
    </derivirana_varijabla>
  </DomainObject.Predmet.StrankaListFormatedOIB>
  <DomainObject.Predmet.StrankaListFormatedWithAdress>
    <izvorni_sadrzaj>
      <item>FINA</item>
      <item>ELEKTROPROMET dioničko društvo za trgovinu i usluge, Avenija Dubrovnik 6, 10000 Zagreb</item>
    </izvorni_sadrzaj>
    <derivirana_varijabla naziv="DomainObject.Predmet.StrankaListFormatedWithAdress_1">
      <item>FINA</item>
      <item>ELEKTROPROMET dioničko društvo za trgovinu i usluge, Avenija Dubrovnik 6, 10000 Zagreb</item>
    </derivirana_varijabla>
  </DomainObject.Predmet.StrankaListFormatedWithAdress>
  <DomainObject.Predmet.StrankaListFormatedWithAdressOIB>
    <izvorni_sadrzaj>
      <item>FINA, OIB 85821130368</item>
      <item>ELEKTROPROMET dioničko društvo za trgovinu i usluge, OIB 11253040204, Avenija Dubrovnik 6, 10000 Zagreb</item>
    </izvorni_sadrzaj>
    <derivirana_varijabla naziv="DomainObject.Predmet.StrankaListFormatedWithAdressOIB_1">
      <item>FINA, OIB 85821130368</item>
      <item>ELEKTROPROMET dioničko društvo za trgovinu i usluge, OIB 11253040204, Avenija Dubrovnik 6, 10000 Zagreb</item>
    </derivirana_varijabla>
  </DomainObject.Predmet.StrankaListFormatedWithAdressOIB>
  <DomainObject.Predmet.StrankaListNazivFormated>
    <izvorni_sadrzaj>
      <item>FINA</item>
      <item>ELEKTROPROMET dioničko društvo za trgovinu i usluge</item>
    </izvorni_sadrzaj>
    <derivirana_varijabla naziv="DomainObject.Predmet.StrankaListNazivFormated_1">
      <item>FINA</item>
      <item>ELEKTROPROMET dioničko društvo za trgovinu i usluge</item>
    </derivirana_varijabla>
  </DomainObject.Predmet.StrankaListNazivFormated>
  <DomainObject.Predmet.StrankaListNazivFormatedOIB>
    <izvorni_sadrzaj>
      <item>FINA, OIB 85821130368</item>
      <item>ELEKTROPROMET dioničko društvo za trgovinu i usluge, OIB 11253040204</item>
    </izvorni_sadrzaj>
    <derivirana_varijabla naziv="DomainObject.Predmet.StrankaListNazivFormatedOIB_1">
      <item>FINA, OIB 85821130368</item>
      <item>ELEKTROPROMET dioničko društvo za trgovinu i usluge, OIB 11253040204</item>
    </derivirana_varijabla>
  </DomainObject.Predmet.StrankaListNazivFormatedOIB>
  <DomainObject.Predmet.ProtuStrankaListFormated>
    <izvorni_sadrzaj>
      <item>TRAJNA GRADNJA društvo s ograničenom odgovornošću za građevinarstvo</item>
    </izvorni_sadrzaj>
    <derivirana_varijabla naziv="DomainObject.Predmet.ProtuStrankaListFormated_1">
      <item>TRAJNA GRADNJA društvo s ograničenom odgovornošću za građevinarstvo</item>
    </derivirana_varijabla>
  </DomainObject.Predmet.ProtuStrankaListFormated>
  <DomainObject.Predmet.ProtuStrankaListFormatedOIB>
    <izvorni_sadrzaj>
      <item>TRAJNA GRADNJA društvo s ograničenom odgovornošću za građevinarstvo, OIB 02901914423</item>
    </izvorni_sadrzaj>
    <derivirana_varijabla naziv="DomainObject.Predmet.ProtuStrankaListFormatedOIB_1">
      <item>TRAJNA GRADNJA društvo s ograničenom odgovornošću za građevinarstvo, OIB 02901914423</item>
    </derivirana_varijabla>
  </DomainObject.Predmet.ProtuStrankaListFormatedOIB>
  <DomainObject.Predmet.ProtuStrankaListFormatedWithAdress>
    <izvorni_sadrzaj>
      <item>TRAJNA GRADNJA društvo s ograničenom odgovornošću za građevinarstvo, Dračevac 17, 23000 Zadar</item>
    </izvorni_sadrzaj>
    <derivirana_varijabla naziv="DomainObject.Predmet.ProtuStrankaListFormatedWithAdress_1">
      <item>TRAJNA GRADNJA društvo s ograničenom odgovornošću za građevinarstvo, Dračevac 17, 23000 Zadar</item>
    </derivirana_varijabla>
  </DomainObject.Predmet.ProtuStrankaListFormatedWithAdress>
  <DomainObject.Predmet.ProtuStrankaListFormatedWithAdressOIB>
    <izvorni_sadrzaj>
      <item>TRAJNA GRADNJA društvo s ograničenom odgovornošću za građevinarstvo, OIB 02901914423, Dračevac 17, 23000 Zadar</item>
    </izvorni_sadrzaj>
    <derivirana_varijabla naziv="DomainObject.Predmet.ProtuStrankaListFormatedWithAdressOIB_1">
      <item>TRAJNA GRADNJA društvo s ograničenom odgovornošću za građevinarstvo, OIB 02901914423, Dračevac 17, 23000 Zadar</item>
    </derivirana_varijabla>
  </DomainObject.Predmet.ProtuStrankaListFormatedWithAdressOIB>
  <DomainObject.Predmet.ProtuStrankaListNazivFormated>
    <izvorni_sadrzaj>
      <item>TRAJNA GRADNJA društvo s ograničenom odgovornošću za građevinarstvo</item>
    </izvorni_sadrzaj>
    <derivirana_varijabla naziv="DomainObject.Predmet.ProtuStrankaListNazivFormated_1">
      <item>TRAJNA GRADNJA društvo s ograničenom odgovornošću za građevinarstvo</item>
    </derivirana_varijabla>
  </DomainObject.Predmet.ProtuStrankaListNazivFormated>
  <DomainObject.Predmet.ProtuStrankaListNazivFormatedOIB>
    <izvorni_sadrzaj>
      <item>TRAJNA GRADNJA društvo s ograničenom odgovornošću za građevinarstvo, OIB 02901914423</item>
    </izvorni_sadrzaj>
    <derivirana_varijabla naziv="DomainObject.Predmet.ProtuStrankaListNazivFormatedOIB_1">
      <item>TRAJNA GRADNJA društvo s ograničenom odgovornošću za građevinarstvo, OIB 02901914423</item>
    </derivirana_varijabla>
  </DomainObject.Predmet.ProtuStrankaListNazivFormatedOIB>
  <DomainObject.Predmet.OstaliListFormated>
    <izvorni_sadrzaj>
      <item>Ankica Oršolić</item>
    </izvorni_sadrzaj>
    <derivirana_varijabla naziv="DomainObject.Predmet.OstaliListFormated_1">
      <item>Ankica Oršolić</item>
    </derivirana_varijabla>
  </DomainObject.Predmet.OstaliListFormated>
  <DomainObject.Predmet.OstaliListFormatedOIB>
    <izvorni_sadrzaj>
      <item>Ankica Oršolić, OIB 27051424335</item>
    </izvorni_sadrzaj>
    <derivirana_varijabla naziv="DomainObject.Predmet.OstaliListFormatedOIB_1">
      <item>Ankica Oršolić, OIB 27051424335</item>
    </derivirana_varijabla>
  </DomainObject.Predmet.OstaliListFormatedOIB>
  <DomainObject.Predmet.OstaliListFormatedWithAdress>
    <izvorni_sadrzaj>
      <item>Ankica Oršolić, Antuna Barca 7 A, 23000 Zadar</item>
    </izvorni_sadrzaj>
    <derivirana_varijabla naziv="DomainObject.Predmet.OstaliListFormatedWithAdress_1">
      <item>Ankica Oršolić, Antuna Barca 7 A, 23000 Zadar</item>
    </derivirana_varijabla>
  </DomainObject.Predmet.OstaliListFormatedWithAdress>
  <DomainObject.Predmet.OstaliListFormatedWithAdressOIB>
    <izvorni_sadrzaj>
      <item>Ankica Oršolić, OIB 27051424335, Antuna Barca 7 A, 23000 Zadar</item>
    </izvorni_sadrzaj>
    <derivirana_varijabla naziv="DomainObject.Predmet.OstaliListFormatedWithAdressOIB_1">
      <item>Ankica Oršolić, OIB 27051424335, Antuna Barca 7 A, 23000 Zadar</item>
    </derivirana_varijabla>
  </DomainObject.Predmet.OstaliListFormatedWithAdressOIB>
  <DomainObject.Predmet.OstaliListNazivFormated>
    <izvorni_sadrzaj>
      <item>Ankica Oršolić</item>
    </izvorni_sadrzaj>
    <derivirana_varijabla naziv="DomainObject.Predmet.OstaliListNazivFormated_1">
      <item>Ankica Oršolić</item>
    </derivirana_varijabla>
  </DomainObject.Predmet.OstaliListNazivFormated>
  <DomainObject.Predmet.OstaliListNazivFormatedOIB>
    <izvorni_sadrzaj>
      <item>Ankica Oršolić, OIB 27051424335</item>
    </izvorni_sadrzaj>
    <derivirana_varijabla naziv="DomainObject.Predmet.OstaliListNazivFormatedOIB_1">
      <item>Ankica Oršolić, OIB 27051424335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TRAJNA GRADNJA društvo s ograničenom odgovornošću za građevinarstvo</izvorni_sadrzaj>
    <derivirana_varijabla naziv="DomainObject.Predmet.ProtustrankaIDrugi_1">TRAJNA GRADNJA društvo s ograničenom odgovornošću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TRAJNA GRADNJA društvo s ograničenom odgovornošću za građevinarstvo, OIB 02901914423, Dračevac 17, 23000 Zadar</izvorni_sadrzaj>
    <derivirana_varijabla naziv="DomainObject.Predmet.ProtustrankaIDrugiAdressOIB_1">TRAJNA GRADNJA društvo s ograničenom odgovornošću za građevinarstvo, OIB 02901914423, Dračevac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TRAJNA GRADNJA društvo s ograničenom odgovornošću za građevinarstvo</item>
      <item>Ankica Oršolić</item>
      <item>ELEKTROPROMET dioničko društvo za trgovinu i usluge</item>
    </izvorni_sadrzaj>
    <derivirana_varijabla naziv="DomainObject.Predmet.SudioniciListNaziv_1">
      <item>FINA</item>
      <item>TRAJNA GRADNJA društvo s ograničenom odgovornošću za građevinarstvo</item>
      <item>Ankica Oršolić</item>
      <item>ELEKTROPROMET dioničko društvo za trgovinu i usluge</item>
    </derivirana_varijabla>
  </DomainObject.Predmet.SudioniciListNaziv>
  <DomainObject.Predmet.SudioniciListAdressOIB>
    <izvorni_sadrzaj>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izvorni_sadrzaj>
    <derivirana_varijabla naziv="DomainObject.Predmet.SudioniciListAdressOIB_1">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02901914423</item>
      <item>, OIB 27051424335</item>
      <item>, OIB 11253040204</item>
    </izvorni_sadrzaj>
    <derivirana_varijabla naziv="DomainObject.Predmet.SudioniciListNazivOIB_1">
      <item>, OIB 85821130368</item>
      <item>, OIB 02901914423</item>
      <item>, OIB 27051424335</item>
      <item>, OIB 11253040204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75369-22F3-4341-B012-84881BFDA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480</properties:Words>
  <properties:Characters>2727</properties:Characters>
  <properties:Lines>79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2016-12-06T12:04:00Z</dcterms:created>
  <dc:creator>wsadmin</dc:creator>
  <cp:lastModifiedBy>wsadmin</cp:lastModifiedBy>
  <cp:lastPrinted>2016-10-03T09:06:00Z</cp:lastPrinted>
  <dcterms:modified xmlns:xsi="http://www.w3.org/2001/XMLSchema-instance" xsi:type="dcterms:W3CDTF">2016-12-06T12:53:00Z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