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597ca" w14:paraId="ea597ca" w:rsidRDefault="009C5131" w:rsidP="009C5131" w:rsidR="009C5131">
      <w:pPr>
        <w:spacing w:lineRule="auto" w:line="240" w:after="0"/>
        <w:ind w:firstLine="709"/>
        <w15:collapsed w:val="false"/>
        <w:rPr>
          <w:rFonts w:cs="Times New Roman" w:eastAsia="Calibri" w:hAnsi="Times New Roman" w:ascii="Times New Roman"/>
          <w:noProof w:val="false"/>
          <w:sz w:val="24"/>
          <w:szCs w:val="24"/>
        </w:rPr>
      </w:pPr>
      <w:bookmarkStart w:name="_GoBack" w:id="0"/>
      <w:bookmarkEnd w:id="0"/>
    </w:p>
    <w:p w:rsidRDefault="009C5131" w:rsidP="009C5131" w:rsidR="009C5131">
      <w:pPr>
        <w:spacing w:lineRule="auto" w:line="240" w:after="0"/>
        <w:ind w:firstLine="709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9C5131" w:rsidP="009C5131" w:rsidR="009C5131">
      <w:pPr>
        <w:spacing w:lineRule="auto" w:line="240" w:after="0"/>
        <w:ind w:firstLine="709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194DE4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>REPUBLIKA HRVATSKA</w:t>
      </w:r>
    </w:p>
    <w:p w:rsidRDefault="00194DE4" w:rsidP="009C5131" w:rsidR="00194DE4" w:rsidRPr="00194DE4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>TRGOVAČKI SUD U ZADRU</w:t>
      </w:r>
    </w:p>
    <w:p w:rsidRDefault="00194DE4" w:rsidP="009C5131" w:rsidR="00194DE4" w:rsidRPr="00194DE4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>Zadar, Dr. Franje Tuđmana 35</w:t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</w:p>
    <w:p w:rsidRDefault="00194DE4" w:rsidP="009C5131" w:rsidR="00194DE4" w:rsidRPr="00194DE4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>U  I M E  R E P U B L I K E  H R V A T S K E</w:t>
      </w:r>
    </w:p>
    <w:p w:rsidRDefault="009C5131" w:rsidP="009C5131" w:rsidR="009C5131" w:rsidRPr="00194DE4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>R J E Š E NJ E</w:t>
      </w:r>
    </w:p>
    <w:p w:rsidRDefault="009C5131" w:rsidP="009C5131" w:rsidR="009C5131" w:rsidRPr="00194DE4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094EAC" w:rsidR="00194DE4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ab/>
        <w:t>Trgovački sud u Za</w:t>
      </w:r>
      <w:r w:rsidR="0080015F">
        <w:rPr>
          <w:rFonts w:cs="Times New Roman" w:eastAsia="Calibri" w:hAnsi="Times New Roman" w:ascii="Times New Roman"/>
          <w:noProof w:val="false"/>
          <w:sz w:val="24"/>
          <w:szCs w:val="24"/>
        </w:rPr>
        <w:t>dru, OIB</w:t>
      </w:r>
      <w:r w:rsidR="009C5131">
        <w:rPr>
          <w:rFonts w:cs="Times New Roman" w:eastAsia="Calibri" w:hAnsi="Times New Roman" w:ascii="Times New Roman"/>
          <w:noProof w:val="false"/>
          <w:sz w:val="24"/>
          <w:szCs w:val="24"/>
        </w:rPr>
        <w:t>:</w:t>
      </w:r>
      <w:r w:rsidR="0080015F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39670464653, po sudskom savjetniku Krešimiru Torbarini</w:t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, u pravnoj stvari podnositeljice zahtjeva Financijske agencije, Regionalni centar </w:t>
      </w:r>
      <w:r w:rsidR="00C776A1">
        <w:rPr>
          <w:rFonts w:cs="Times New Roman" w:eastAsia="Calibri" w:hAnsi="Times New Roman" w:ascii="Times New Roman"/>
          <w:noProof w:val="false"/>
          <w:sz w:val="24"/>
          <w:szCs w:val="24"/>
        </w:rPr>
        <w:t>Rijeka</w:t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, Podružnica </w:t>
      </w:r>
      <w:r w:rsidR="00C776A1">
        <w:rPr>
          <w:rFonts w:cs="Times New Roman" w:eastAsia="Calibri" w:hAnsi="Times New Roman" w:ascii="Times New Roman"/>
          <w:noProof w:val="false"/>
          <w:sz w:val="24"/>
          <w:szCs w:val="24"/>
        </w:rPr>
        <w:t>Pula</w:t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, </w:t>
      </w:r>
      <w:r w:rsidR="00A47B3E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Giardini </w:t>
      </w:r>
      <w:r w:rsidR="00C776A1">
        <w:rPr>
          <w:rFonts w:cs="Times New Roman" w:eastAsia="Calibri" w:hAnsi="Times New Roman" w:ascii="Times New Roman"/>
          <w:noProof w:val="false"/>
          <w:sz w:val="24"/>
          <w:szCs w:val="24"/>
        </w:rPr>
        <w:t>5</w:t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>, OIB: 85821130368, za provedbu skraćenoga stečajnog postupka nad dužnikom</w:t>
      </w:r>
      <w:r w:rsidR="0080015F" w:rsidRPr="0080015F">
        <w:t xml:space="preserve"> </w:t>
      </w:r>
      <w:r w:rsidR="00C776A1" w:rsidRPr="00C776A1">
        <w:rPr>
          <w:rFonts w:cs="Times New Roman" w:eastAsia="Calibri" w:hAnsi="Times New Roman" w:ascii="Times New Roman"/>
          <w:noProof w:val="false"/>
          <w:sz w:val="24"/>
          <w:szCs w:val="24"/>
        </w:rPr>
        <w:t>TYAPKIN d.o.o. sa sjedištem u Fažani, Ruže Petrović 62, OIB: 82925533513</w:t>
      </w:r>
      <w:r w:rsidR="00C776A1">
        <w:rPr>
          <w:rFonts w:cs="Times New Roman" w:eastAsia="Calibri" w:hAnsi="Times New Roman" w:ascii="Times New Roman"/>
          <w:noProof w:val="false"/>
          <w:sz w:val="24"/>
          <w:szCs w:val="24"/>
        </w:rPr>
        <w:t>, od 22</w:t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C776A1">
        <w:rPr>
          <w:rFonts w:cs="Times New Roman" w:eastAsia="Calibri" w:hAnsi="Times New Roman" w:ascii="Times New Roman"/>
          <w:noProof w:val="false"/>
          <w:sz w:val="24"/>
          <w:szCs w:val="24"/>
        </w:rPr>
        <w:t>veljače</w:t>
      </w:r>
      <w:r w:rsidR="00C776A1"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</w:t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2016., </w:t>
      </w:r>
      <w:r w:rsidR="006E4179">
        <w:rPr>
          <w:rFonts w:cs="Times New Roman" w:eastAsia="Calibri" w:hAnsi="Times New Roman" w:ascii="Times New Roman"/>
          <w:noProof w:val="false"/>
          <w:sz w:val="24"/>
          <w:szCs w:val="24"/>
        </w:rPr>
        <w:t>2</w:t>
      </w:r>
      <w:r w:rsidR="00B010C5">
        <w:rPr>
          <w:rFonts w:cs="Times New Roman" w:eastAsia="Calibri" w:hAnsi="Times New Roman" w:ascii="Times New Roman"/>
          <w:noProof w:val="false"/>
          <w:sz w:val="24"/>
          <w:szCs w:val="24"/>
        </w:rPr>
        <w:t>1</w:t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80015F">
        <w:rPr>
          <w:rFonts w:cs="Times New Roman" w:eastAsia="Calibri" w:hAnsi="Times New Roman" w:ascii="Times New Roman"/>
          <w:noProof w:val="false"/>
          <w:sz w:val="24"/>
          <w:szCs w:val="24"/>
        </w:rPr>
        <w:t>prosinca</w:t>
      </w:r>
      <w:r w:rsidR="00094EAC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2016. </w:t>
      </w:r>
    </w:p>
    <w:p w:rsidRDefault="00094EAC" w:rsidP="00094EAC" w:rsidR="00094EAC" w:rsidRPr="00194DE4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094EAC" w:rsidR="00194DE4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>r i j e š i o   j e</w:t>
      </w:r>
    </w:p>
    <w:p w:rsidRDefault="00094EAC" w:rsidP="00094EAC" w:rsidR="00094EAC" w:rsidRPr="00194DE4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C776A1" w:rsidR="00C776A1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ab/>
        <w:t xml:space="preserve">Odbacuje se zahtjev Financijske agencije od </w:t>
      </w:r>
      <w:r w:rsidR="00C776A1" w:rsidRPr="00C776A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22. veljače </w:t>
      </w:r>
      <w:r w:rsidR="0080015F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2016. </w:t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za provedbu skraćenoga stečajnog postupka nad dužnikom </w:t>
      </w:r>
      <w:r w:rsidR="00C776A1" w:rsidRPr="00C776A1">
        <w:rPr>
          <w:rFonts w:cs="Times New Roman" w:eastAsia="Calibri" w:hAnsi="Times New Roman" w:ascii="Times New Roman"/>
          <w:noProof w:val="false"/>
          <w:sz w:val="24"/>
          <w:szCs w:val="24"/>
        </w:rPr>
        <w:t>TYAPKIN d.o.o. sa sjedištem u Fažani, Ruže Petrović 62, OIB: 82925533513</w:t>
      </w:r>
      <w:r w:rsidR="00A47B3E">
        <w:rPr>
          <w:rFonts w:cs="Times New Roman" w:eastAsia="Calibri" w:hAnsi="Times New Roman" w:ascii="Times New Roman"/>
          <w:noProof w:val="false"/>
          <w:sz w:val="24"/>
          <w:szCs w:val="24"/>
        </w:rPr>
        <w:t>.</w:t>
      </w:r>
    </w:p>
    <w:p w:rsidRDefault="00C776A1" w:rsidP="00C776A1" w:rsidR="00C776A1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C776A1" w:rsidR="009C5131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>Obrazloženje</w:t>
      </w:r>
    </w:p>
    <w:p w:rsidRDefault="009C5131" w:rsidP="009C5131" w:rsidR="009C5131" w:rsidRPr="00194DE4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ab/>
        <w:t xml:space="preserve">Financijska agencija je </w:t>
      </w:r>
      <w:r w:rsidR="00C776A1" w:rsidRPr="00C776A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22. veljače </w:t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C776A1">
        <w:rPr>
          <w:rFonts w:cs="Times New Roman" w:eastAsia="Calibri" w:hAnsi="Times New Roman" w:ascii="Times New Roman"/>
          <w:noProof w:val="false"/>
          <w:sz w:val="24"/>
          <w:szCs w:val="24"/>
        </w:rPr>
        <w:t>6</w:t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podnijela Trgovačkom sudu u </w:t>
      </w:r>
      <w:r w:rsidR="00A47B3E">
        <w:rPr>
          <w:rFonts w:cs="Times New Roman" w:eastAsia="Calibri" w:hAnsi="Times New Roman" w:ascii="Times New Roman"/>
          <w:noProof w:val="false"/>
          <w:sz w:val="24"/>
          <w:szCs w:val="24"/>
        </w:rPr>
        <w:t>Pazinu</w:t>
      </w:r>
      <w:r w:rsidR="0080015F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, </w:t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zahtjev za provedbu skraćenoga stečajnog postupka nad uvodno označenim dužnikom na temelju čl. 444. st. 1. Stečajnog zakona (Narodne novine broj 71/15, dalje: SZ) navodeći da isti na dan </w:t>
      </w:r>
      <w:r w:rsidR="006E4179">
        <w:rPr>
          <w:rFonts w:cs="Times New Roman" w:eastAsia="Calibri" w:hAnsi="Times New Roman" w:ascii="Times New Roman"/>
          <w:noProof w:val="false"/>
          <w:sz w:val="24"/>
          <w:szCs w:val="24"/>
        </w:rPr>
        <w:t>1</w:t>
      </w:r>
      <w:r w:rsidR="00181AA3">
        <w:rPr>
          <w:rFonts w:cs="Times New Roman" w:eastAsia="Calibri" w:hAnsi="Times New Roman" w:ascii="Times New Roman"/>
          <w:noProof w:val="false"/>
          <w:sz w:val="24"/>
          <w:szCs w:val="24"/>
        </w:rPr>
        <w:t>9</w:t>
      </w:r>
      <w:r w:rsidR="00E126F3">
        <w:rPr>
          <w:rFonts w:cs="Times New Roman" w:eastAsia="Calibri" w:hAnsi="Times New Roman" w:ascii="Times New Roman"/>
          <w:noProof w:val="false"/>
          <w:sz w:val="24"/>
          <w:szCs w:val="24"/>
        </w:rPr>
        <w:t>.</w:t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</w:t>
      </w:r>
      <w:r w:rsidR="00181AA3">
        <w:rPr>
          <w:rFonts w:cs="Times New Roman" w:eastAsia="Calibri" w:hAnsi="Times New Roman" w:ascii="Times New Roman"/>
          <w:noProof w:val="false"/>
          <w:sz w:val="24"/>
          <w:szCs w:val="24"/>
        </w:rPr>
        <w:t>veljače</w:t>
      </w:r>
      <w:r w:rsidR="00181AA3"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</w:t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2016. u Očevidniku redoslijeda osnova za plaćanje ima evidentirane neizvršene osnove za plaćanje u neprekinutom razdoblju od 120 dana u iznosu od </w:t>
      </w:r>
      <w:r w:rsidR="00181AA3">
        <w:rPr>
          <w:rFonts w:cs="Times New Roman" w:eastAsia="Calibri" w:hAnsi="Times New Roman" w:ascii="Times New Roman"/>
          <w:noProof w:val="false"/>
          <w:sz w:val="24"/>
          <w:szCs w:val="24"/>
        </w:rPr>
        <w:t>31.484,85</w:t>
      </w:r>
      <w:r w:rsidR="006E4179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</w:t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>kn te da nema zaposlenih.</w:t>
      </w:r>
    </w:p>
    <w:p w:rsidRDefault="00094EAC" w:rsidP="009C5131" w:rsidR="00094EAC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094EAC">
        <w:rPr>
          <w:rFonts w:cs="Times New Roman" w:eastAsia="Calibri" w:hAnsi="Times New Roman" w:ascii="Times New Roman"/>
          <w:noProof w:val="false"/>
          <w:sz w:val="24"/>
          <w:szCs w:val="24"/>
        </w:rPr>
        <w:t>Temeljem rješenja Visokog trgovač</w:t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kog suda Republike Hrvatske posl. br. 31 Su-412/16-2 od </w:t>
      </w:r>
      <w:r w:rsidRPr="00094EAC">
        <w:rPr>
          <w:rFonts w:cs="Times New Roman" w:eastAsia="Calibri" w:hAnsi="Times New Roman" w:ascii="Times New Roman"/>
          <w:noProof w:val="false"/>
          <w:sz w:val="24"/>
          <w:szCs w:val="24"/>
        </w:rPr>
        <w:t>7. travnja 2016.</w:t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, </w:t>
      </w:r>
      <w:r w:rsidRPr="00094EAC">
        <w:rPr>
          <w:rFonts w:cs="Times New Roman" w:eastAsia="Calibri" w:hAnsi="Times New Roman" w:ascii="Times New Roman"/>
          <w:noProof w:val="false"/>
          <w:sz w:val="24"/>
          <w:szCs w:val="24"/>
        </w:rPr>
        <w:t>Trgovački sud u Zadru određen je kao drugi stvarno nadležan sud  za postupanjem u stečajnim predmetima Trgovačkog suda u Pazinu.</w:t>
      </w:r>
    </w:p>
    <w:p w:rsidRDefault="00194DE4" w:rsidP="009C5131" w:rsidR="00194DE4" w:rsidRPr="00194DE4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Dopisom </w:t>
      </w:r>
      <w:r w:rsidR="009C5131">
        <w:rPr>
          <w:rFonts w:cs="Times New Roman" w:eastAsia="Calibri" w:hAnsi="Times New Roman" w:ascii="Times New Roman"/>
          <w:noProof w:val="false"/>
          <w:sz w:val="24"/>
          <w:szCs w:val="24"/>
        </w:rPr>
        <w:t>zaprimljenim na sud dana</w:t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</w:t>
      </w:r>
      <w:r w:rsidR="00181AA3">
        <w:rPr>
          <w:rFonts w:cs="Times New Roman" w:eastAsia="Calibri" w:hAnsi="Times New Roman" w:ascii="Times New Roman"/>
          <w:noProof w:val="false"/>
          <w:sz w:val="24"/>
          <w:szCs w:val="24"/>
        </w:rPr>
        <w:t>26</w:t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181AA3">
        <w:rPr>
          <w:rFonts w:cs="Times New Roman" w:eastAsia="Calibri" w:hAnsi="Times New Roman" w:ascii="Times New Roman"/>
          <w:noProof w:val="false"/>
          <w:sz w:val="24"/>
          <w:szCs w:val="24"/>
        </w:rPr>
        <w:t>listopada</w:t>
      </w:r>
      <w:r w:rsidR="00181AA3"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</w:t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2016. Financijska agencija je obavijestila ovaj sud da je dužnik u međuvremenu podmirio navedeno dugovanje te da u Očevidniku redoslijeda osnova za plaćanje više nema evidentiranih neizvršenih osnova za plaćanje. </w:t>
      </w:r>
    </w:p>
    <w:p w:rsidRDefault="00194DE4" w:rsidP="009C5131" w:rsidR="00194DE4" w:rsidRPr="00194DE4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>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194DE4" w:rsidP="009C5131" w:rsidR="00194DE4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ab/>
        <w:t xml:space="preserve">S obzirom da iz potvrde Financijske agencije od </w:t>
      </w:r>
      <w:r w:rsidR="00094EAC">
        <w:rPr>
          <w:rFonts w:cs="Times New Roman" w:eastAsia="Calibri" w:hAnsi="Times New Roman" w:ascii="Times New Roman"/>
          <w:noProof w:val="false"/>
          <w:sz w:val="24"/>
          <w:szCs w:val="24"/>
        </w:rPr>
        <w:t>26</w:t>
      </w:r>
      <w:r w:rsidR="009D345D" w:rsidRPr="009D345D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094EAC">
        <w:rPr>
          <w:rFonts w:cs="Times New Roman" w:eastAsia="Calibri" w:hAnsi="Times New Roman" w:ascii="Times New Roman"/>
          <w:noProof w:val="false"/>
          <w:sz w:val="24"/>
          <w:szCs w:val="24"/>
        </w:rPr>
        <w:t>listopada</w:t>
      </w:r>
      <w:r w:rsidR="009D345D" w:rsidRPr="009D345D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</w:t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2016. proizlazi da je dužnik podmirio predmetno dugovanje, to se u konkretnom slučaju nije ispunila jedna od kumulativno određenih pretpostavki iz članka 428. stavka 1. podstavka 2. SZ-a zbog čega je odlučeno kao u izreci rješenja. </w:t>
      </w:r>
    </w:p>
    <w:p w:rsidRDefault="009C5131" w:rsidP="009C5131" w:rsidR="009C5131" w:rsidRPr="00194DE4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>
      <w:pPr>
        <w:spacing w:lineRule="auto" w:line="240" w:after="0"/>
        <w:ind w:left="705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U Zadru </w:t>
      </w:r>
      <w:r w:rsidR="00181AA3">
        <w:rPr>
          <w:rFonts w:cs="Times New Roman" w:eastAsia="Calibri" w:hAnsi="Times New Roman" w:ascii="Times New Roman"/>
          <w:noProof w:val="false"/>
          <w:sz w:val="24"/>
          <w:szCs w:val="24"/>
        </w:rPr>
        <w:t>21</w:t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E126F3">
        <w:rPr>
          <w:rFonts w:cs="Times New Roman" w:eastAsia="Calibri" w:hAnsi="Times New Roman" w:ascii="Times New Roman"/>
          <w:noProof w:val="false"/>
          <w:sz w:val="24"/>
          <w:szCs w:val="24"/>
        </w:rPr>
        <w:t>prosinca</w:t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2016. </w:t>
      </w:r>
    </w:p>
    <w:p w:rsidRDefault="00194DE4" w:rsidP="009C5131" w:rsidR="00194DE4" w:rsidRPr="00194DE4">
      <w:pPr>
        <w:tabs>
          <w:tab w:pos="0" w:val="left"/>
        </w:tabs>
        <w:spacing w:lineRule="auto" w:line="240" w:after="0"/>
        <w:jc w:val="right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                           </w:t>
      </w:r>
      <w:r w:rsidR="00E126F3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                         Sudski savjetnik</w:t>
      </w:r>
    </w:p>
    <w:p w:rsidRDefault="00194DE4" w:rsidP="009C5131" w:rsidR="009C5131" w:rsidRPr="00194DE4">
      <w:pPr>
        <w:tabs>
          <w:tab w:pos="0" w:val="left"/>
        </w:tabs>
        <w:spacing w:lineRule="auto" w:line="240" w:after="0"/>
        <w:jc w:val="right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                                                                                       </w:t>
      </w:r>
      <w:r w:rsidR="00E126F3">
        <w:rPr>
          <w:rFonts w:cs="Times New Roman" w:eastAsia="Calibri" w:hAnsi="Times New Roman" w:ascii="Times New Roman"/>
          <w:noProof w:val="false"/>
          <w:sz w:val="24"/>
          <w:szCs w:val="24"/>
        </w:rPr>
        <w:t>Krešimir Torbarina</w:t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</w:t>
      </w:r>
    </w:p>
    <w:p w:rsidRDefault="009C5131" w:rsidP="009C5131" w:rsidR="009C5131" w:rsidRPr="009C5131">
      <w:pPr>
        <w:spacing w:lineRule="auto" w:line="240" w:after="0"/>
        <w:ind w:firstLine="36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9C5131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lastRenderedPageBreak/>
        <w:tab/>
      </w:r>
      <w:r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>DN-a</w:t>
      </w:r>
      <w:r w:rsidRPr="009C5131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 xml:space="preserve">: </w:t>
      </w:r>
    </w:p>
    <w:p w:rsidRDefault="009C5131" w:rsidP="009C5131" w:rsidR="009C5131" w:rsidRPr="009C5131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9C5131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 xml:space="preserve">Podnositeljici zahtjeva putem </w:t>
      </w:r>
      <w:r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 xml:space="preserve">pošte i putem </w:t>
      </w:r>
      <w:r w:rsidRPr="009C5131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>e-Oglasne ploča suda</w:t>
      </w:r>
    </w:p>
    <w:p w:rsidRDefault="009C5131" w:rsidP="009C5131" w:rsidR="009C5131" w:rsidRPr="009C5131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9C5131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>Dužniku putem e-Oglasne ploče suda</w:t>
      </w:r>
    </w:p>
    <w:p w:rsidRDefault="009C5131" w:rsidP="009C5131" w:rsidR="009C5131" w:rsidRPr="009C5131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9C5131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 xml:space="preserve">U spis </w:t>
      </w:r>
    </w:p>
    <w:p w:rsidRDefault="009C5131" w:rsidP="009C5131" w:rsidR="009C5131" w:rsidRPr="009C5131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80015F" w:rsidR="0080015F"/>
    <w:sectPr w:rsidSect="009C5131" w:rsidR="0080015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7B3E" w:rsidP="0080015F" w:rsidR="00A47B3E">
      <w:pPr>
        <w:spacing w:lineRule="auto" w:line="240" w:after="0"/>
      </w:pPr>
      <w:r>
        <w:separator/>
      </w:r>
    </w:p>
  </w:endnote>
  <w:endnote w:id="0" w:type="continuationSeparator">
    <w:p w:rsidRDefault="00A47B3E" w:rsidP="0080015F" w:rsidR="00A47B3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7B3E" w:rsidP="0080015F" w:rsidR="00A47B3E">
      <w:pPr>
        <w:spacing w:lineRule="auto" w:line="240" w:after="0"/>
      </w:pPr>
      <w:r>
        <w:separator/>
      </w:r>
    </w:p>
  </w:footnote>
  <w:footnote w:id="0" w:type="continuationSeparator">
    <w:p w:rsidRDefault="00A47B3E" w:rsidP="0080015F" w:rsidR="00A47B3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7B3E" w:rsidP="009C5131" w:rsidR="00A47B3E" w:rsidRPr="009C5131">
    <w:pPr>
      <w:pStyle w:val="Zaglavlje"/>
      <w:tabs>
        <w:tab w:pos="6336" w:val="left"/>
      </w:tabs>
      <w:rPr>
        <w:rFonts w:cs="Times New Roman" w:hAnsi="Times New Roman" w:ascii="Times New Roman"/>
        <w:sz w:val="24"/>
        <w:szCs w:val="24"/>
      </w:rPr>
    </w:pPr>
    <w:r>
      <w:tab/>
    </w:r>
    <w:sdt>
      <w:sdtPr>
        <w:id w:val="-1081666414"/>
        <w:docPartObj>
          <w:docPartGallery w:val="Page Numbers (Top of Page)"/>
          <w:docPartUnique/>
        </w:docPartObj>
      </w:sdtPr>
      <w:sdtEndPr>
        <w:rPr>
          <w:rFonts w:cs="Times New Roman" w:hAnsi="Times New Roman" w:ascii="Times New Roman"/>
          <w:sz w:val="24"/>
          <w:szCs w:val="24"/>
        </w:rPr>
      </w:sdtEndPr>
      <w:sdtContent>
        <w:r>
          <w:t xml:space="preserve">                                                                                    </w:t>
        </w:r>
        <w:r w:rsidRPr="009C513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C513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C513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82017">
          <w:rPr>
            <w:rFonts w:cs="Times New Roman" w:hAnsi="Times New Roman" w:ascii="Times New Roman"/>
            <w:sz w:val="24"/>
            <w:szCs w:val="24"/>
          </w:rPr>
          <w:t>2</w:t>
        </w:r>
        <w:r w:rsidRPr="009C5131">
          <w:rPr>
            <w:rFonts w:cs="Times New Roman" w:hAnsi="Times New Roman" w:ascii="Times New Roman"/>
            <w:sz w:val="24"/>
            <w:szCs w:val="24"/>
          </w:rPr>
          <w:fldChar w:fldCharType="end"/>
        </w:r>
      </w:sdtContent>
    </w:sdt>
    <w:r>
      <w:rPr>
        <w:rFonts w:cs="Times New Roman" w:hAnsi="Times New Roman" w:ascii="Times New Roman"/>
        <w:sz w:val="24"/>
        <w:szCs w:val="24"/>
      </w:rPr>
      <w:t xml:space="preserve">                           </w:t>
    </w:r>
    <w:r w:rsidRPr="009C5131">
      <w:rPr>
        <w:rFonts w:cs="Times New Roman" w:hAnsi="Times New Roman" w:ascii="Times New Roman"/>
        <w:sz w:val="24"/>
        <w:szCs w:val="24"/>
      </w:rPr>
      <w:t xml:space="preserve">Poslovni broj: </w:t>
    </w:r>
    <w:r w:rsidRPr="00C776A1">
      <w:rPr>
        <w:rFonts w:cs="Times New Roman" w:hAnsi="Times New Roman" w:ascii="Times New Roman"/>
        <w:sz w:val="24"/>
        <w:szCs w:val="24"/>
      </w:rPr>
      <w:t>5 St-676/16-11</w:t>
    </w:r>
  </w:p>
  <w:p w:rsidRDefault="00A47B3E" w:rsidP="009C5131" w:rsidR="00A47B3E" w:rsidRPr="009C5131">
    <w:pPr>
      <w:pStyle w:val="Zaglavlje"/>
      <w:tabs>
        <w:tab w:pos="6336" w:val="left"/>
      </w:tabs>
      <w:rPr>
        <w:rFonts w:cs="Times New Roman" w:hAnsi="Times New Roman" w:ascii="Times New Roman"/>
        <w:sz w:val="24"/>
        <w:szCs w:val="24"/>
      </w:rPr>
    </w:pPr>
  </w:p>
  <w:p w:rsidRDefault="00A47B3E" w:rsidP="0080015F" w:rsidR="00A47B3E" w:rsidRPr="009C5131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7B3E" w:rsidP="009C5131" w:rsidR="00A47B3E" w:rsidRPr="009C5131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tab/>
    </w:r>
    <w:r w:rsidRPr="009C5131">
      <w:rPr>
        <w:rFonts w:cs="Times New Roman" w:hAnsi="Times New Roman" w:ascii="Times New Roman"/>
        <w:sz w:val="24"/>
        <w:szCs w:val="24"/>
      </w:rPr>
      <w:t>Poslovni broj: 5 St-</w:t>
    </w:r>
    <w:r>
      <w:rPr>
        <w:rFonts w:cs="Times New Roman" w:hAnsi="Times New Roman" w:ascii="Times New Roman"/>
        <w:sz w:val="24"/>
        <w:szCs w:val="24"/>
      </w:rPr>
      <w:t>676/16-11</w:t>
    </w:r>
  </w:p>
  <w:p w:rsidRDefault="00A47B3E" w:rsidP="009C5131" w:rsidR="00A47B3E">
    <w:pPr>
      <w:pStyle w:val="Zaglavlje"/>
      <w:tabs>
        <w:tab w:pos="4536" w:val="clear"/>
        <w:tab w:pos="9072" w:val="clear"/>
        <w:tab w:pos="6762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DE4"/>
    <w:rsid w:val="00094EAC"/>
    <w:rsid w:val="00181AA3"/>
    <w:rsid w:val="00194DE4"/>
    <w:rsid w:val="00223D57"/>
    <w:rsid w:val="00414D62"/>
    <w:rsid w:val="0058023C"/>
    <w:rsid w:val="006E4179"/>
    <w:rsid w:val="0080015F"/>
    <w:rsid w:val="008C3E55"/>
    <w:rsid w:val="009C5131"/>
    <w:rsid w:val="009D345D"/>
    <w:rsid w:val="00A47B3E"/>
    <w:rsid w:val="00B010C5"/>
    <w:rsid w:val="00B57900"/>
    <w:rsid w:val="00C776A1"/>
    <w:rsid w:val="00CE25E2"/>
    <w:rsid w:val="00E126F3"/>
    <w:rsid w:val="00F82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0015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0015F"/>
    <w:rPr>
      <w:noProof/>
    </w:rPr>
  </w:style>
  <w:style w:styleId="Podnoje" w:type="paragraph">
    <w:name w:val="footer"/>
    <w:basedOn w:val="Normal"/>
    <w:link w:val="PodnojeChar"/>
    <w:uiPriority w:val="99"/>
    <w:unhideWhenUsed/>
    <w:rsid w:val="0080015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0015F"/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513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5131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4D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4D62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4D62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4D62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4D62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0015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0015F"/>
    <w:rPr>
      <w:noProof/>
    </w:rPr>
  </w:style>
  <w:style w:styleId="Podnoje" w:type="paragraph">
    <w:name w:val="footer"/>
    <w:basedOn w:val="Normal"/>
    <w:link w:val="PodnojeChar"/>
    <w:uiPriority w:val="99"/>
    <w:unhideWhenUsed/>
    <w:rsid w:val="0080015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0015F"/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513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5131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4D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4D6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4D6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4D6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4D6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7980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</izvorni_sadrzaj>
    <derivirana_varijabla naziv="DomainObject.Predmet.Broj_1">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St-676/2016</izvorni_sadrzaj>
    <derivirana_varijabla naziv="DomainObject.Predmet.OznakaBroj_1">St-676/2016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TYAPKIN d.o.o. FAŽANA</izvorni_sadrzaj>
    <derivirana_varijabla naziv="DomainObject.Predmet.ProtustrankaFormated_1">  TYAPKIN d.o.o. FAŽANA</derivirana_varijabla>
  </DomainObject.Predmet.ProtustrankaFormated>
  <DomainObject.Predmet.ProtustrankaFormatedOIB>
    <izvorni_sadrzaj>  TYAPKIN d.o.o. FAŽANA, OIB 82925533513</izvorni_sadrzaj>
    <derivirana_varijabla naziv="DomainObject.Predmet.ProtustrankaFormatedOIB_1">  TYAPKIN d.o.o. FAŽANA, OIB 82925533513</derivirana_varijabla>
  </DomainObject.Predmet.ProtustrankaFormatedOIB>
  <DomainObject.Predmet.ProtustrankaFormatedWithAdress>
    <izvorni_sadrzaj> TYAPKIN d.o.o. FAŽANA, Ruže Petrović 62, 52100 Fažana</izvorni_sadrzaj>
    <derivirana_varijabla naziv="DomainObject.Predmet.ProtustrankaFormatedWithAdress_1"> TYAPKIN d.o.o. FAŽANA, Ruže Petrović 62, 52100 Fažana</derivirana_varijabla>
  </DomainObject.Predmet.ProtustrankaFormatedWithAdress>
  <DomainObject.Predmet.ProtustrankaFormatedWithAdressOIB>
    <izvorni_sadrzaj> TYAPKIN d.o.o. FAŽANA, OIB 82925533513, Ruže Petrović 62, 52100 Fažana</izvorni_sadrzaj>
    <derivirana_varijabla naziv="DomainObject.Predmet.ProtustrankaFormatedWithAdressOIB_1"> TYAPKIN d.o.o. FAŽANA, OIB 82925533513, Ruže Petrović 62, 52100 Fažana</derivirana_varijabla>
  </DomainObject.Predmet.ProtustrankaFormatedWithAdressOIB>
  <DomainObject.Predmet.ProtustrankaWithAdress>
    <izvorni_sadrzaj>TYAPKIN d.o.o. FAŽANA Ruže Petrović 62, 52100 Fažana</izvorni_sadrzaj>
    <derivirana_varijabla naziv="DomainObject.Predmet.ProtustrankaWithAdress_1">TYAPKIN d.o.o. FAŽANA Ruže Petrović 62, 52100 Fažana</derivirana_varijabla>
  </DomainObject.Predmet.ProtustrankaWithAdress>
  <DomainObject.Predmet.ProtustrankaWithAdressOIB>
    <izvorni_sadrzaj>TYAPKIN d.o.o. FAŽANA, OIB 82925533513, Ruže Petrović 62, 52100 Fažana</izvorni_sadrzaj>
    <derivirana_varijabla naziv="DomainObject.Predmet.ProtustrankaWithAdressOIB_1">TYAPKIN d.o.o. FAŽANA, OIB 82925533513, Ruže Petrović 62, 52100 Fažana</derivirana_varijabla>
  </DomainObject.Predmet.ProtustrankaWithAdressOIB>
  <DomainObject.Predmet.ProtustrankaNazivFormated>
    <izvorni_sadrzaj>TYAPKIN d.o.o. FAŽANA</izvorni_sadrzaj>
    <derivirana_varijabla naziv="DomainObject.Predmet.ProtustrankaNazivFormated_1">TYAPKIN d.o.o. FAŽANA</derivirana_varijabla>
  </DomainObject.Predmet.ProtustrankaNazivFormated>
  <DomainObject.Predmet.ProtustrankaNazivFormatedOIB>
    <izvorni_sadrzaj>TYAPKIN d.o.o. FAŽANA, OIB 82925533513</izvorni_sadrzaj>
    <derivirana_varijabla naziv="DomainObject.Predmet.ProtustrankaNazivFormatedOIB_1">TYAPKIN d.o.o. FAŽANA, OIB 82925533513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31484.35</izvorni_sadrzaj>
    <derivirana_varijabla naziv="DomainObject.Predmet.TrenutnaVrijednost_1">31484.35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TYAPKIN d.o.o. FAŽANA</item>
    </izvorni_sadrzaj>
    <derivirana_varijabla naziv="DomainObject.Predmet.ProtuStrankaListFormated_1">
      <item>TYAPKIN d.o.o. FAŽANA</item>
    </derivirana_varijabla>
  </DomainObject.Predmet.ProtuStrankaListFormated>
  <DomainObject.Predmet.ProtuStrankaListFormatedOIB>
    <izvorni_sadrzaj>
      <item>TYAPKIN d.o.o. FAŽANA, OIB 82925533513</item>
    </izvorni_sadrzaj>
    <derivirana_varijabla naziv="DomainObject.Predmet.ProtuStrankaListFormatedOIB_1">
      <item>TYAPKIN d.o.o. FAŽANA, OIB 82925533513</item>
    </derivirana_varijabla>
  </DomainObject.Predmet.ProtuStrankaListFormatedOIB>
  <DomainObject.Predmet.ProtuStrankaListFormatedWithAdress>
    <izvorni_sadrzaj>
      <item>TYAPKIN d.o.o. FAŽANA, Ruže Petrović 62, 52100 Fažana</item>
    </izvorni_sadrzaj>
    <derivirana_varijabla naziv="DomainObject.Predmet.ProtuStrankaListFormatedWithAdress_1">
      <item>TYAPKIN d.o.o. FAŽANA, Ruže Petrović 62, 52100 Fažana</item>
    </derivirana_varijabla>
  </DomainObject.Predmet.ProtuStrankaListFormatedWithAdress>
  <DomainObject.Predmet.ProtuStrankaListFormatedWithAdressOIB>
    <izvorni_sadrzaj>
      <item>TYAPKIN d.o.o. FAŽANA, OIB 82925533513, Ruže Petrović 62, 52100 Fažana</item>
    </izvorni_sadrzaj>
    <derivirana_varijabla naziv="DomainObject.Predmet.ProtuStrankaListFormatedWithAdressOIB_1">
      <item>TYAPKIN d.o.o. FAŽANA, OIB 82925533513, Ruže Petrović 62, 52100 Fažana</item>
    </derivirana_varijabla>
  </DomainObject.Predmet.ProtuStrankaListFormatedWithAdressOIB>
  <DomainObject.Predmet.ProtuStrankaListNazivFormated>
    <izvorni_sadrzaj>
      <item>TYAPKIN d.o.o. FAŽANA</item>
    </izvorni_sadrzaj>
    <derivirana_varijabla naziv="DomainObject.Predmet.ProtuStrankaListNazivFormated_1">
      <item>TYAPKIN d.o.o. FAŽANA</item>
    </derivirana_varijabla>
  </DomainObject.Predmet.ProtuStrankaListNazivFormated>
  <DomainObject.Predmet.ProtuStrankaListNazivFormatedOIB>
    <izvorni_sadrzaj>
      <item>TYAPKIN d.o.o. FAŽANA, OIB 82925533513</item>
    </izvorni_sadrzaj>
    <derivirana_varijabla naziv="DomainObject.Predmet.ProtuStrankaListNazivFormatedOIB_1">
      <item>TYAPKIN d.o.o. FAŽANA, OIB 82925533513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TYAPKIN d.o.o. FAŽANA</izvorni_sadrzaj>
    <derivirana_varijabla naziv="DomainObject.Predmet.ProtustrankaIDrugi_1">TYAPKIN d.o.o. FAŽANA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TYAPKIN d.o.o. FAŽANA, OIB 82925533513, Ruže Petrović 62, 52100 Fažana</izvorni_sadrzaj>
    <derivirana_varijabla naziv="DomainObject.Predmet.ProtustrankaIDrugiAdressOIB_1">TYAPKIN d.o.o. FAŽANA, OIB 82925533513, Ruže Petrović 62,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TYAPKIN d.o.o. FAŽANA</item>
      <item>FINANCIJSKA AGENCIJA, RC RIJEKA, PODRUŽNICA PULA, PULA</item>
    </izvorni_sadrzaj>
    <derivirana_varijabla naziv="DomainObject.Predmet.SudioniciListNaziv_1">
      <item>TYAPKIN d.o.o. FAŽANA</item>
      <item>FINANCIJSKA AGENCIJA, RC RIJEKA, PODRUŽNICA PULA, PULA</item>
    </derivirana_varijabla>
  </DomainObject.Predmet.SudioniciListNaziv>
  <DomainObject.Predmet.SudioniciListAdressOIB>
    <izvorni_sadrzaj>
      <item>TYAPKIN d.o.o. FAŽANA, OIB 82925533513, Ruže Petrović 62,52100 Fažana</item>
      <item>FINANCIJSKA AGENCIJA, RC RIJEKA, PODRUŽNICA PULA, PULA, OIB 85821130368, Giardini 5,52100 Pula</item>
    </izvorni_sadrzaj>
    <derivirana_varijabla naziv="DomainObject.Predmet.SudioniciListAdressOIB_1">
      <item>TYAPKIN d.o.o. FAŽANA, OIB 82925533513, Ruže Petrović 62,52100 Fažana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82925533513</item>
      <item>, OIB 85821130368</item>
    </izvorni_sadrzaj>
    <derivirana_varijabla naziv="DomainObject.Predmet.SudioniciListNazivOIB_1">
      <item>, OIB 82925533513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2129</properties:Characters>
  <properties:Lines>55</properties:Lines>
  <properties:Paragraphs>21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2016-12-15T10:56:00Z</dcterms:created>
  <dc:creator>Krešimir Torbarina</dc:creator>
  <cp:lastModifiedBy>Krešimir Torbarina</cp:lastModifiedBy>
  <cp:lastPrinted>2016-12-16T13:16:00Z</cp:lastPrinted>
  <dcterms:modified xmlns:xsi="http://www.w3.org/2001/XMLSchema-instance" xsi:type="dcterms:W3CDTF">2016-12-21T14:28:00Z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