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8433d" w14:paraId="098433d" w:rsidRDefault="00C82E77" w:rsidP="00B41490" w:rsidR="00B41490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b/>
        </w:rPr>
        <w:tab/>
      </w:r>
      <w:r w:rsidR="00B41490"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1469" w:rsidR="00B41490" w:rsidRPr="00A15EE7">
        <w:tc>
          <w:tcPr>
            <w:tcW w:type="dxa" w:w="3060"/>
          </w:tcPr>
          <w:p w:rsidRDefault="00B41490" w:rsidP="00121469" w:rsidR="00B41490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B41490" w:rsidP="00121469" w:rsidR="00B41490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B41490" w:rsidP="00121469" w:rsidR="00B41490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B41490" w:rsidP="00B41490" w:rsidR="00B41490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</w:t>
      </w:r>
      <w:r w:rsidR="00AA02B8">
        <w:rPr>
          <w:rFonts w:hAnsi="Times New Roman" w:ascii="Times New Roman"/>
          <w:b/>
        </w:rPr>
        <w:t xml:space="preserve">   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384433">
        <w:rPr>
          <w:rFonts w:hAnsi="Times New Roman" w:ascii="Times New Roman"/>
        </w:rPr>
        <w:t>9</w:t>
      </w:r>
      <w:r w:rsidR="0018212E">
        <w:rPr>
          <w:rFonts w:hAnsi="Times New Roman" w:ascii="Times New Roman"/>
        </w:rPr>
        <w:t>399</w:t>
      </w:r>
      <w:r>
        <w:rPr>
          <w:rFonts w:hAnsi="Times New Roman" w:ascii="Times New Roman"/>
        </w:rPr>
        <w:t>/2015</w:t>
      </w:r>
      <w:r w:rsidR="00AA02B8">
        <w:rPr>
          <w:rFonts w:hAnsi="Times New Roman" w:ascii="Times New Roman"/>
        </w:rPr>
        <w:t>-11</w:t>
      </w:r>
    </w:p>
    <w:p w:rsidRDefault="00B41490" w:rsidP="00B41490" w:rsidR="00B41490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B41490" w:rsidP="00B41490" w:rsidR="00B41490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B41490" w:rsidP="00B41490" w:rsidR="00B41490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384433" w:rsidP="00384433" w:rsidR="00384433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18212E" w:rsidP="00B41490" w:rsidR="004874DA">
      <w:pPr>
        <w:rPr>
          <w:rFonts w:hAnsi="Times New Roman" w:ascii="Times New Roman"/>
          <w:szCs w:val="24"/>
          <w:lang w:val="hr-HR"/>
        </w:rPr>
      </w:pPr>
      <w:r w:rsidRPr="00BA4663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KBR-Konzalting d.o.o., Velika Gorica (Grad Velika Gorica),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BA4663">
        <w:rPr>
          <w:rFonts w:hAnsi="Times New Roman" w:ascii="Times New Roman"/>
          <w:szCs w:val="24"/>
          <w:lang w:val="hr-HR"/>
        </w:rPr>
        <w:t>Hrvatske bratske zajedn</w:t>
      </w:r>
      <w:r>
        <w:rPr>
          <w:rFonts w:hAnsi="Times New Roman" w:ascii="Times New Roman"/>
          <w:szCs w:val="24"/>
          <w:lang w:val="hr-HR"/>
        </w:rPr>
        <w:t>ice 24, OIB: 97071542338, dana 16</w:t>
      </w:r>
      <w:r w:rsidRPr="00BA4663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svibnja</w:t>
      </w:r>
      <w:r w:rsidRPr="00BA4663">
        <w:rPr>
          <w:rFonts w:hAnsi="Times New Roman" w:ascii="Times New Roman"/>
          <w:szCs w:val="24"/>
          <w:lang w:val="hr-HR"/>
        </w:rPr>
        <w:t xml:space="preserve"> 2016.</w:t>
      </w:r>
    </w:p>
    <w:p w:rsidRDefault="0018212E" w:rsidP="00B41490" w:rsidR="0018212E" w:rsidRPr="002B132A">
      <w:pPr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18212E" w:rsidRPr="00BA4663">
        <w:rPr>
          <w:rFonts w:hAnsi="Times New Roman" w:ascii="Times New Roman"/>
          <w:szCs w:val="24"/>
        </w:rPr>
        <w:t>KBR-Konzalting d.o.o., Velika Gorica (Grad Velika Gorica),</w:t>
      </w:r>
      <w:r w:rsidR="0018212E">
        <w:rPr>
          <w:rFonts w:hAnsi="Times New Roman" w:ascii="Times New Roman"/>
          <w:szCs w:val="24"/>
        </w:rPr>
        <w:t xml:space="preserve"> </w:t>
      </w:r>
      <w:r w:rsidR="0018212E" w:rsidRPr="00BA4663">
        <w:rPr>
          <w:rFonts w:hAnsi="Times New Roman" w:ascii="Times New Roman"/>
          <w:szCs w:val="24"/>
        </w:rPr>
        <w:t>Hrvatske bratske zajedn</w:t>
      </w:r>
      <w:r w:rsidR="0018212E">
        <w:rPr>
          <w:rFonts w:hAnsi="Times New Roman" w:ascii="Times New Roman"/>
          <w:szCs w:val="24"/>
        </w:rPr>
        <w:t>ice 24, OIB: 97071542338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C82E77">
        <w:rPr>
          <w:rFonts w:hAnsi="Times New Roman" w:ascii="Times New Roman"/>
          <w:szCs w:val="24"/>
        </w:rPr>
        <w:t>16</w:t>
      </w:r>
      <w:r w:rsidRPr="002B132A">
        <w:rPr>
          <w:rFonts w:hAnsi="Times New Roman" w:ascii="Times New Roman"/>
          <w:szCs w:val="24"/>
        </w:rPr>
        <w:t>.</w:t>
      </w:r>
      <w:r w:rsidR="00C82E77">
        <w:rPr>
          <w:rFonts w:hAnsi="Times New Roman" w:ascii="Times New Roman"/>
          <w:szCs w:val="24"/>
        </w:rPr>
        <w:t xml:space="preserve"> </w:t>
      </w:r>
      <w:r w:rsidR="00F117C9">
        <w:rPr>
          <w:rFonts w:hAnsi="Times New Roman" w:ascii="Times New Roman"/>
          <w:szCs w:val="24"/>
        </w:rPr>
        <w:t>svibnja</w:t>
      </w:r>
      <w:r w:rsidR="004351E1">
        <w:rPr>
          <w:rFonts w:hAnsi="Times New Roman" w:ascii="Times New Roman"/>
          <w:szCs w:val="24"/>
        </w:rPr>
        <w:t xml:space="preserve"> 2016.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FF0EE3" w:rsidR="00FF0EE3" w:rsidRPr="00FF0EE3">
      <w:pPr>
        <w:spacing w:lineRule="atLeast" w:line="0"/>
        <w:ind w:hanging="705" w:left="705"/>
        <w:contextualSpacing/>
        <w:rPr>
          <w:rFonts w:eastAsia="Calibri" w:hAnsi="Times New Roman" w:ascii="Times New Roman"/>
          <w:szCs w:val="24"/>
          <w:lang w:eastAsia="en-US" w:val="hr-HR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B30EDF">
        <w:rPr>
          <w:rFonts w:eastAsia="Calibri" w:hAnsi="Times New Roman" w:ascii="Times New Roman"/>
          <w:szCs w:val="24"/>
          <w:lang w:eastAsia="en-US" w:val="hr-HR"/>
        </w:rPr>
        <w:t>MARKO MARIĆ, ZAGREB, PETRINJSKA 59A, OIB: 40578632064</w:t>
      </w:r>
      <w:r w:rsidR="00FF0EE3">
        <w:rPr>
          <w:rFonts w:eastAsia="Calibri" w:hAnsi="Times New Roman" w:ascii="Times New Roman"/>
          <w:szCs w:val="24"/>
          <w:lang w:eastAsia="en-US" w:val="hr-HR"/>
        </w:rPr>
        <w:t>.</w:t>
      </w:r>
    </w:p>
    <w:p w:rsidRDefault="004874DA" w:rsidP="003742ED" w:rsidR="004874DA" w:rsidRPr="002B132A">
      <w:pPr>
        <w:spacing w:lineRule="atLeast" w:line="0"/>
        <w:ind w:hanging="705" w:left="705"/>
        <w:contextualSpacing/>
        <w:rPr>
          <w:rFonts w:hAnsi="Times New Roman" w:ascii="Times New Roman"/>
          <w:szCs w:val="24"/>
        </w:rPr>
      </w:pPr>
    </w:p>
    <w:p w:rsidRDefault="004874DA" w:rsidP="00C82E77" w:rsidR="00F117C9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18212E" w:rsidRPr="00BA4663">
        <w:rPr>
          <w:rFonts w:hAnsi="Times New Roman" w:ascii="Times New Roman"/>
          <w:szCs w:val="24"/>
          <w:lang w:val="hr-HR"/>
        </w:rPr>
        <w:t>KBR-Konzalting d.o.o., Velika Gorica (Grad Velika Gorica),</w:t>
      </w:r>
      <w:r w:rsidR="0018212E">
        <w:rPr>
          <w:rFonts w:hAnsi="Times New Roman" w:ascii="Times New Roman"/>
          <w:szCs w:val="24"/>
          <w:lang w:val="hr-HR"/>
        </w:rPr>
        <w:t xml:space="preserve"> </w:t>
      </w:r>
      <w:r w:rsidR="0018212E" w:rsidRPr="00BA4663">
        <w:rPr>
          <w:rFonts w:hAnsi="Times New Roman" w:ascii="Times New Roman"/>
          <w:szCs w:val="24"/>
          <w:lang w:val="hr-HR"/>
        </w:rPr>
        <w:t>Hrvatske bratske zajedn</w:t>
      </w:r>
      <w:r w:rsidR="0018212E">
        <w:rPr>
          <w:rFonts w:hAnsi="Times New Roman" w:ascii="Times New Roman"/>
          <w:szCs w:val="24"/>
          <w:lang w:val="hr-HR"/>
        </w:rPr>
        <w:t>ice 24, OIB: 97071542338</w:t>
      </w:r>
      <w:r w:rsidR="00C82E77">
        <w:rPr>
          <w:rFonts w:hAnsi="Times New Roman" w:ascii="Times New Roman"/>
        </w:rPr>
        <w:t>.</w:t>
      </w:r>
    </w:p>
    <w:p w:rsidRDefault="00C82E77" w:rsidP="00C82E77" w:rsidR="00C82E77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351E1" w:rsidP="00384433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18212E">
        <w:rPr>
          <w:rFonts w:hAnsi="Times New Roman" w:ascii="Times New Roman"/>
          <w:lang w:val="hr-HR"/>
        </w:rPr>
        <w:t>22.376,02 kuna</w:t>
      </w:r>
      <w:r w:rsidR="0018212E" w:rsidRPr="00A15EE7">
        <w:rPr>
          <w:rFonts w:hAnsi="Times New Roman" w:ascii="Times New Roman"/>
          <w:lang w:val="hr-HR"/>
        </w:rPr>
        <w:t xml:space="preserve"> na dan </w:t>
      </w:r>
      <w:r w:rsidR="0018212E">
        <w:rPr>
          <w:rFonts w:hAnsi="Times New Roman" w:ascii="Times New Roman"/>
          <w:lang w:val="hr-HR"/>
        </w:rPr>
        <w:t>1</w:t>
      </w:r>
      <w:r w:rsidR="0018212E" w:rsidRPr="00A15EE7">
        <w:rPr>
          <w:rFonts w:hAnsi="Times New Roman" w:ascii="Times New Roman"/>
          <w:lang w:val="hr-HR"/>
        </w:rPr>
        <w:t>.9.2015</w:t>
      </w:r>
      <w:r w:rsidR="00384433" w:rsidRPr="00A15EE7">
        <w:rPr>
          <w:rFonts w:hAnsi="Times New Roman" w:ascii="Times New Roman"/>
          <w:lang w:val="hr-HR"/>
        </w:rPr>
        <w:t>.</w:t>
      </w:r>
    </w:p>
    <w:p w:rsidRDefault="004351E1" w:rsidP="004351E1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A15EE7">
        <w:rPr>
          <w:rFonts w:hAnsi="Times New Roman" w:ascii="Times New Roman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Stoga je sud Rješenjem od </w:t>
      </w:r>
      <w:r w:rsidR="00DF08C9">
        <w:rPr>
          <w:rFonts w:hAnsi="Times New Roman" w:ascii="Times New Roman"/>
          <w:lang w:val="hr-HR"/>
        </w:rPr>
        <w:t>25</w:t>
      </w:r>
      <w:r>
        <w:rPr>
          <w:rFonts w:hAnsi="Times New Roman" w:ascii="Times New Roman"/>
          <w:lang w:val="hr-HR"/>
        </w:rPr>
        <w:t>.</w:t>
      </w:r>
      <w:r w:rsidR="00C82E77">
        <w:rPr>
          <w:rFonts w:hAnsi="Times New Roman" w:ascii="Times New Roman"/>
          <w:lang w:val="hr-HR"/>
        </w:rPr>
        <w:t xml:space="preserve"> veljače</w:t>
      </w:r>
      <w:r>
        <w:rPr>
          <w:rFonts w:hAnsi="Times New Roman" w:ascii="Times New Roman"/>
          <w:lang w:val="hr-HR"/>
        </w:rPr>
        <w:t xml:space="preserve"> 201</w:t>
      </w:r>
      <w:r w:rsidR="00C82E77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>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</w:t>
      </w:r>
      <w:r w:rsidR="005E6DDF">
        <w:rPr>
          <w:rFonts w:hAnsi="Times New Roman" w:ascii="Times New Roman"/>
          <w:lang w:val="hr-HR"/>
        </w:rPr>
        <w:t>dostavile su prokazni popis imovine iz kojeg je vidljivo kako dužnik nema imovine.</w:t>
      </w:r>
      <w:r w:rsidRPr="00ED171E">
        <w:rPr>
          <w:rFonts w:hAnsi="Times New Roman" w:ascii="Times New Roman"/>
          <w:lang w:val="hr-HR"/>
        </w:rPr>
        <w:t xml:space="preserve"> </w:t>
      </w:r>
      <w:r w:rsidR="005E6DDF">
        <w:rPr>
          <w:rFonts w:hAnsi="Times New Roman" w:ascii="Times New Roman"/>
          <w:lang w:val="hr-HR"/>
        </w:rPr>
        <w:t>V</w:t>
      </w:r>
      <w:r w:rsidRPr="00ED171E">
        <w:rPr>
          <w:rFonts w:hAnsi="Times New Roman" w:ascii="Times New Roman"/>
          <w:lang w:val="hr-HR"/>
        </w:rPr>
        <w:t xml:space="preserve">jerovnici dužnika u ostavljenom roku od 45 dana </w:t>
      </w:r>
      <w:r w:rsidR="005E6DDF">
        <w:rPr>
          <w:rFonts w:hAnsi="Times New Roman" w:ascii="Times New Roman"/>
          <w:lang w:val="hr-HR"/>
        </w:rPr>
        <w:t xml:space="preserve">nisu </w:t>
      </w:r>
      <w:r w:rsidRPr="00ED171E">
        <w:rPr>
          <w:rFonts w:hAnsi="Times New Roman" w:ascii="Times New Roman"/>
          <w:lang w:val="hr-HR"/>
        </w:rPr>
        <w:t xml:space="preserve">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C82E77">
        <w:rPr>
          <w:rFonts w:hAnsi="Times New Roman" w:ascii="Times New Roman"/>
          <w:lang w:val="hr-HR"/>
        </w:rPr>
        <w:t>16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svibnja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AA02B8" w:rsidP="00E91121" w:rsidR="00AA02B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A02B8" w:rsidP="00E91121" w:rsidR="00AA02B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A02B8" w:rsidP="00E91121" w:rsidR="00AA02B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A02B8" w:rsidP="00E91121" w:rsidR="00AA02B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A02B8" w:rsidP="00E91121" w:rsidR="00AA02B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A02B8" w:rsidP="00E91121" w:rsidR="00AA02B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A02B8" w:rsidP="00E91121" w:rsidR="00AA02B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A5ACF" w:rsidP="00567821" w:rsidR="00AA5AC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AA5ACF" w:rsidP="004874DA" w:rsidR="00AA5ACF">
      <w:pPr>
        <w:jc w:val="both"/>
        <w:rPr>
          <w:rFonts w:hAnsi="Times New Roman" w:ascii="Times New Roman"/>
          <w:szCs w:val="24"/>
          <w:lang w:val="hr-HR"/>
        </w:rPr>
      </w:pPr>
    </w:p>
    <w:p w:rsidRDefault="00AA02B8" w:rsidP="004874DA" w:rsidR="00AA02B8">
      <w:pPr>
        <w:jc w:val="both"/>
        <w:rPr>
          <w:rFonts w:hAnsi="Times New Roman" w:ascii="Times New Roman"/>
          <w:szCs w:val="24"/>
          <w:lang w:val="hr-HR"/>
        </w:rPr>
      </w:pPr>
    </w:p>
    <w:p w:rsidRDefault="00AA02B8" w:rsidP="004874DA" w:rsidR="00AA02B8">
      <w:pPr>
        <w:jc w:val="both"/>
        <w:rPr>
          <w:rFonts w:hAnsi="Times New Roman" w:ascii="Times New Roman"/>
          <w:szCs w:val="24"/>
          <w:lang w:val="hr-HR"/>
        </w:rPr>
      </w:pPr>
    </w:p>
    <w:p w:rsidRDefault="00AA02B8" w:rsidP="004874DA" w:rsidR="00AA02B8">
      <w:pPr>
        <w:jc w:val="both"/>
        <w:rPr>
          <w:rFonts w:hAnsi="Times New Roman" w:ascii="Times New Roman"/>
          <w:szCs w:val="24"/>
          <w:lang w:val="hr-HR"/>
        </w:rPr>
      </w:pPr>
    </w:p>
    <w:p w:rsidRDefault="00AA02B8" w:rsidP="004874DA" w:rsidR="00AA02B8">
      <w:pPr>
        <w:jc w:val="both"/>
        <w:rPr>
          <w:rFonts w:hAnsi="Times New Roman" w:ascii="Times New Roman"/>
          <w:szCs w:val="24"/>
          <w:lang w:val="hr-HR"/>
        </w:rPr>
      </w:pPr>
    </w:p>
    <w:p w:rsidRDefault="00AA02B8" w:rsidP="004874DA" w:rsidR="00AA02B8">
      <w:pPr>
        <w:jc w:val="both"/>
        <w:rPr>
          <w:rFonts w:hAnsi="Times New Roman" w:ascii="Times New Roman"/>
          <w:szCs w:val="24"/>
          <w:lang w:val="hr-HR"/>
        </w:rPr>
      </w:pPr>
    </w:p>
    <w:p w:rsidRDefault="00AA02B8" w:rsidP="004874DA" w:rsidR="00AA02B8">
      <w:pPr>
        <w:jc w:val="both"/>
        <w:rPr>
          <w:rFonts w:hAnsi="Times New Roman" w:ascii="Times New Roman"/>
          <w:szCs w:val="24"/>
          <w:lang w:val="hr-HR"/>
        </w:rPr>
      </w:pPr>
    </w:p>
    <w:p w:rsidRDefault="00AA02B8" w:rsidP="004874DA" w:rsidR="00AA02B8">
      <w:pPr>
        <w:jc w:val="both"/>
        <w:rPr>
          <w:rFonts w:hAnsi="Times New Roman" w:ascii="Times New Roman"/>
          <w:szCs w:val="24"/>
          <w:lang w:val="hr-HR"/>
        </w:rPr>
      </w:pPr>
    </w:p>
    <w:p w:rsidRDefault="00AA02B8" w:rsidP="004874DA" w:rsidR="00AA02B8">
      <w:pPr>
        <w:jc w:val="both"/>
        <w:rPr>
          <w:rFonts w:hAnsi="Times New Roman" w:ascii="Times New Roman"/>
          <w:szCs w:val="24"/>
          <w:lang w:val="hr-HR"/>
        </w:rPr>
      </w:pPr>
    </w:p>
    <w:p w:rsidRDefault="00AA02B8" w:rsidP="004874DA" w:rsidR="00AA02B8">
      <w:pPr>
        <w:jc w:val="both"/>
        <w:rPr>
          <w:rFonts w:hAnsi="Times New Roman" w:ascii="Times New Roman"/>
          <w:szCs w:val="24"/>
          <w:lang w:val="hr-HR"/>
        </w:rPr>
      </w:pPr>
    </w:p>
    <w:p w:rsidRDefault="00AA02B8" w:rsidP="004874DA" w:rsidR="00AA02B8">
      <w:pPr>
        <w:jc w:val="both"/>
        <w:rPr>
          <w:rFonts w:hAnsi="Times New Roman" w:ascii="Times New Roman"/>
          <w:szCs w:val="24"/>
          <w:lang w:val="hr-HR"/>
        </w:rPr>
      </w:pPr>
    </w:p>
    <w:p w:rsidRDefault="00AA02B8" w:rsidP="004874DA" w:rsidR="00AA02B8">
      <w:pPr>
        <w:jc w:val="both"/>
        <w:rPr>
          <w:rFonts w:hAnsi="Times New Roman" w:ascii="Times New Roman"/>
          <w:szCs w:val="24"/>
          <w:lang w:val="hr-HR"/>
        </w:rPr>
      </w:pPr>
    </w:p>
    <w:p w:rsidRDefault="00AA02B8" w:rsidP="004874DA" w:rsidR="00AA02B8">
      <w:pPr>
        <w:jc w:val="both"/>
        <w:rPr>
          <w:rFonts w:hAnsi="Times New Roman" w:ascii="Times New Roman"/>
          <w:szCs w:val="24"/>
          <w:lang w:val="hr-HR"/>
        </w:rPr>
      </w:pPr>
    </w:p>
    <w:p w:rsidRDefault="00AA02B8" w:rsidP="004874DA" w:rsidR="00AA02B8">
      <w:pPr>
        <w:jc w:val="both"/>
        <w:rPr>
          <w:rFonts w:hAnsi="Times New Roman" w:ascii="Times New Roman"/>
          <w:szCs w:val="24"/>
          <w:lang w:val="hr-HR"/>
        </w:rPr>
      </w:pPr>
    </w:p>
    <w:p w:rsidRDefault="00AA02B8" w:rsidP="004874DA" w:rsidR="00AA02B8">
      <w:pPr>
        <w:jc w:val="both"/>
        <w:rPr>
          <w:rFonts w:hAnsi="Times New Roman" w:ascii="Times New Roman"/>
          <w:szCs w:val="24"/>
          <w:lang w:val="hr-HR"/>
        </w:rPr>
      </w:pPr>
    </w:p>
    <w:p w:rsidRDefault="00AA02B8" w:rsidP="004874DA" w:rsidR="00AA02B8">
      <w:pPr>
        <w:jc w:val="both"/>
        <w:rPr>
          <w:rFonts w:hAnsi="Times New Roman" w:ascii="Times New Roman"/>
          <w:szCs w:val="24"/>
          <w:lang w:val="hr-HR"/>
        </w:rPr>
      </w:pPr>
    </w:p>
    <w:p w:rsidRDefault="00AA02B8" w:rsidP="004874DA" w:rsidR="00AA02B8">
      <w:pPr>
        <w:jc w:val="both"/>
        <w:rPr>
          <w:rFonts w:hAnsi="Times New Roman" w:ascii="Times New Roman"/>
          <w:szCs w:val="24"/>
          <w:lang w:val="hr-HR"/>
        </w:rPr>
      </w:pPr>
    </w:p>
    <w:p w:rsidRDefault="00AA02B8" w:rsidP="004874DA" w:rsidR="00AA02B8">
      <w:pPr>
        <w:jc w:val="both"/>
        <w:rPr>
          <w:rFonts w:hAnsi="Times New Roman" w:ascii="Times New Roman"/>
          <w:szCs w:val="24"/>
          <w:lang w:val="hr-HR"/>
        </w:rPr>
      </w:pPr>
    </w:p>
    <w:p w:rsidRDefault="00AA02B8" w:rsidP="004874DA" w:rsidR="00AA02B8">
      <w:pPr>
        <w:jc w:val="both"/>
        <w:rPr>
          <w:rFonts w:hAnsi="Times New Roman" w:ascii="Times New Roman"/>
          <w:szCs w:val="24"/>
          <w:lang w:val="hr-HR"/>
        </w:rPr>
      </w:pPr>
    </w:p>
    <w:p w:rsidRDefault="00AA02B8" w:rsidP="004874DA" w:rsidR="00AA02B8">
      <w:pPr>
        <w:jc w:val="both"/>
        <w:rPr>
          <w:rFonts w:hAnsi="Times New Roman" w:ascii="Times New Roman"/>
          <w:szCs w:val="24"/>
          <w:lang w:val="hr-HR"/>
        </w:rPr>
      </w:pPr>
    </w:p>
    <w:p w:rsidRDefault="00AA02B8" w:rsidP="004874DA" w:rsidR="00AA02B8">
      <w:pPr>
        <w:jc w:val="both"/>
        <w:rPr>
          <w:rFonts w:hAnsi="Times New Roman" w:ascii="Times New Roman"/>
          <w:szCs w:val="24"/>
          <w:lang w:val="hr-HR"/>
        </w:rPr>
      </w:pPr>
    </w:p>
    <w:p w:rsidRDefault="00AA02B8" w:rsidP="004874DA" w:rsidR="00AA02B8">
      <w:pPr>
        <w:jc w:val="both"/>
        <w:rPr>
          <w:rFonts w:hAnsi="Times New Roman" w:ascii="Times New Roman"/>
          <w:szCs w:val="24"/>
          <w:lang w:val="hr-HR"/>
        </w:rPr>
      </w:pPr>
    </w:p>
    <w:p w:rsidRDefault="00AA02B8" w:rsidP="004874DA" w:rsidR="00AA02B8">
      <w:pPr>
        <w:jc w:val="both"/>
        <w:rPr>
          <w:rFonts w:hAnsi="Times New Roman" w:ascii="Times New Roman"/>
          <w:szCs w:val="24"/>
          <w:lang w:val="hr-HR"/>
        </w:rPr>
      </w:pPr>
    </w:p>
    <w:p w:rsidRDefault="00AA02B8" w:rsidP="004874DA" w:rsidR="00AA02B8">
      <w:pPr>
        <w:jc w:val="both"/>
        <w:rPr>
          <w:rFonts w:hAnsi="Times New Roman" w:ascii="Times New Roman"/>
          <w:szCs w:val="24"/>
          <w:lang w:val="hr-HR"/>
        </w:rPr>
      </w:pPr>
    </w:p>
    <w:p w:rsidRDefault="00AA02B8" w:rsidP="004874DA" w:rsidR="00AA02B8">
      <w:pPr>
        <w:jc w:val="both"/>
        <w:rPr>
          <w:rFonts w:hAnsi="Times New Roman" w:ascii="Times New Roman"/>
          <w:szCs w:val="24"/>
          <w:lang w:val="hr-HR"/>
        </w:rPr>
      </w:pPr>
    </w:p>
    <w:p w:rsidRDefault="00AA02B8" w:rsidP="004874DA" w:rsidR="00AA02B8">
      <w:pPr>
        <w:jc w:val="both"/>
        <w:rPr>
          <w:rFonts w:hAnsi="Times New Roman" w:ascii="Times New Roman"/>
          <w:szCs w:val="24"/>
          <w:lang w:val="hr-HR"/>
        </w:rPr>
      </w:pPr>
    </w:p>
    <w:p w:rsidRDefault="00AA02B8" w:rsidP="004874DA" w:rsidR="00AA02B8">
      <w:pPr>
        <w:jc w:val="both"/>
        <w:rPr>
          <w:rFonts w:hAnsi="Times New Roman" w:ascii="Times New Roman"/>
          <w:szCs w:val="24"/>
          <w:lang w:val="hr-HR"/>
        </w:rPr>
      </w:pPr>
    </w:p>
    <w:p w:rsidRDefault="00AA02B8" w:rsidP="004874DA" w:rsidR="00AA02B8">
      <w:pPr>
        <w:jc w:val="both"/>
        <w:rPr>
          <w:rFonts w:hAnsi="Times New Roman" w:ascii="Times New Roman"/>
          <w:szCs w:val="24"/>
          <w:lang w:val="hr-HR"/>
        </w:rPr>
      </w:pPr>
    </w:p>
    <w:p w:rsidRDefault="00AA02B8" w:rsidP="004874DA" w:rsidR="00AA02B8">
      <w:pPr>
        <w:jc w:val="both"/>
        <w:rPr>
          <w:rFonts w:hAnsi="Times New Roman" w:ascii="Times New Roman"/>
          <w:szCs w:val="24"/>
          <w:lang w:val="hr-HR"/>
        </w:rPr>
      </w:pPr>
    </w:p>
    <w:p w:rsidRDefault="00AA02B8" w:rsidP="004874DA" w:rsidR="00AA02B8">
      <w:pPr>
        <w:jc w:val="both"/>
        <w:rPr>
          <w:rFonts w:hAnsi="Times New Roman" w:ascii="Times New Roman"/>
          <w:szCs w:val="24"/>
          <w:lang w:val="hr-HR"/>
        </w:rPr>
      </w:pPr>
    </w:p>
    <w:p w:rsidRDefault="00AA02B8" w:rsidP="004874DA" w:rsidR="00AA02B8">
      <w:pPr>
        <w:jc w:val="both"/>
        <w:rPr>
          <w:rFonts w:hAnsi="Times New Roman" w:ascii="Times New Roman"/>
          <w:szCs w:val="24"/>
          <w:lang w:val="hr-HR"/>
        </w:rPr>
      </w:pPr>
    </w:p>
    <w:p w:rsidRDefault="00AA02B8" w:rsidP="004874DA" w:rsidR="00AA02B8">
      <w:pPr>
        <w:jc w:val="both"/>
        <w:rPr>
          <w:rFonts w:hAnsi="Times New Roman" w:ascii="Times New Roman"/>
          <w:szCs w:val="24"/>
          <w:lang w:val="hr-HR"/>
        </w:rPr>
      </w:pPr>
    </w:p>
    <w:p w:rsidRDefault="00DE3651" w:rsidR="00DE3651"/>
    <w:sectPr w:rsidSect="007F4163" w:rsidR="00DE3651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55635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403035">
      <w:rPr>
        <w:rFonts w:hAnsi="Times New Roman" w:ascii="Times New Roman"/>
        <w:lang w:val="hr-HR"/>
      </w:rPr>
      <w:t>9</w:t>
    </w:r>
    <w:r w:rsidR="0018212E">
      <w:rPr>
        <w:rFonts w:hAnsi="Times New Roman" w:ascii="Times New Roman"/>
        <w:lang w:val="hr-HR"/>
      </w:rPr>
      <w:t>399</w:t>
    </w:r>
    <w:r w:rsidR="00403035">
      <w:rPr>
        <w:rFonts w:hAnsi="Times New Roman" w:ascii="Times New Roman"/>
        <w:lang w:val="hr-HR"/>
      </w:rPr>
      <w:t>/</w:t>
    </w:r>
    <w:r w:rsidR="00C82E77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5635" w:rsidP="00840E3D" w:rsidR="00840E3D">
    <w:pPr>
      <w:pStyle w:val="Zaglavlje"/>
      <w:rPr>
        <w:rFonts w:hAnsi="Times New Roman" w:ascii="Times New Roman"/>
        <w:lang w:val="hr-HR"/>
      </w:rPr>
    </w:pPr>
  </w:p>
  <w:p w:rsidRDefault="00355635" w:rsidP="00772BC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74178"/>
    <w:rsid w:val="0018212E"/>
    <w:rsid w:val="001E0AD0"/>
    <w:rsid w:val="001F33BC"/>
    <w:rsid w:val="00217C60"/>
    <w:rsid w:val="00287A20"/>
    <w:rsid w:val="002B446B"/>
    <w:rsid w:val="00355635"/>
    <w:rsid w:val="003742ED"/>
    <w:rsid w:val="00384433"/>
    <w:rsid w:val="00403035"/>
    <w:rsid w:val="004351E1"/>
    <w:rsid w:val="004874DA"/>
    <w:rsid w:val="004B3248"/>
    <w:rsid w:val="00567821"/>
    <w:rsid w:val="005C2720"/>
    <w:rsid w:val="005E6DDF"/>
    <w:rsid w:val="00737210"/>
    <w:rsid w:val="00770B13"/>
    <w:rsid w:val="00771118"/>
    <w:rsid w:val="00772BCE"/>
    <w:rsid w:val="00791143"/>
    <w:rsid w:val="00820848"/>
    <w:rsid w:val="009B1AB7"/>
    <w:rsid w:val="009E11B2"/>
    <w:rsid w:val="009F0D91"/>
    <w:rsid w:val="00AA02B8"/>
    <w:rsid w:val="00AA5ACF"/>
    <w:rsid w:val="00B30EDF"/>
    <w:rsid w:val="00B41490"/>
    <w:rsid w:val="00C82E77"/>
    <w:rsid w:val="00C84192"/>
    <w:rsid w:val="00CE7AC4"/>
    <w:rsid w:val="00DE3651"/>
    <w:rsid w:val="00DE4A13"/>
    <w:rsid w:val="00DE4E0B"/>
    <w:rsid w:val="00DE7FDB"/>
    <w:rsid w:val="00DF08C9"/>
    <w:rsid w:val="00E2099E"/>
    <w:rsid w:val="00F117C9"/>
    <w:rsid w:val="00F8547D"/>
    <w:rsid w:val="00FF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44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46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46B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46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46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44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46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46B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46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46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9399</izvorni_sadrzaj>
    <derivirana_varijabla naziv="DomainObject.Predmet.Broj_1">9399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St-9399/2015</izvorni_sadrzaj>
    <derivirana_varijabla naziv="DomainObject.Predmet.OznakaBroj_1">St-9399/2015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KBR-Konzalting d.o.o.</izvorni_sadrzaj>
    <derivirana_varijabla naziv="DomainObject.Predmet.ProtustrankaFormated_1">  KBR-Konzalting d.o.o.</derivirana_varijabla>
  </DomainObject.Predmet.ProtustrankaFormated>
  <DomainObject.Predmet.ProtustrankaFormatedOIB>
    <izvorni_sadrzaj>  KBR-Konzalting d.o.o., OIB 97071542338</izvorni_sadrzaj>
    <derivirana_varijabla naziv="DomainObject.Predmet.ProtustrankaFormatedOIB_1">  KBR-Konzalting d.o.o., OIB 97071542338</derivirana_varijabla>
  </DomainObject.Predmet.ProtustrankaFormatedOIB>
  <DomainObject.Predmet.ProtustrankaFormatedWithAdress>
    <izvorni_sadrzaj> KBR-Konzalting d.o.o., Hrvatske bratske zajednice 24, 10410 Velika Gorica</izvorni_sadrzaj>
    <derivirana_varijabla naziv="DomainObject.Predmet.ProtustrankaFormatedWithAdress_1"> KBR-Konzalting d.o.o., Hrvatske bratske zajednice 24, 10410 Velika Gorica</derivirana_varijabla>
  </DomainObject.Predmet.ProtustrankaFormatedWithAdress>
  <DomainObject.Predmet.ProtustrankaFormatedWithAdressOIB>
    <izvorni_sadrzaj> KBR-Konzalting d.o.o., OIB 97071542338, Hrvatske bratske zajednice 24, 10410 Velika Gorica</izvorni_sadrzaj>
    <derivirana_varijabla naziv="DomainObject.Predmet.ProtustrankaFormatedWithAdressOIB_1"> KBR-Konzalting d.o.o., OIB 97071542338, Hrvatske bratske zajednice 24, 10410 Velika Gorica</derivirana_varijabla>
  </DomainObject.Predmet.ProtustrankaFormatedWithAdressOIB>
  <DomainObject.Predmet.ProtustrankaWithAdress>
    <izvorni_sadrzaj>KBR-Konzalting d.o.o. Hrvatske bratske zajednice 24, 10410 Velika Gorica</izvorni_sadrzaj>
    <derivirana_varijabla naziv="DomainObject.Predmet.ProtustrankaWithAdress_1">KBR-Konzalting d.o.o. Hrvatske bratske zajednice 24, 10410 Velika Gorica</derivirana_varijabla>
  </DomainObject.Predmet.ProtustrankaWithAdress>
  <DomainObject.Predmet.ProtustrankaWithAdressOIB>
    <izvorni_sadrzaj>KBR-Konzalting d.o.o., OIB 97071542338, Hrvatske bratske zajednice 24, 10410 Velika Gorica</izvorni_sadrzaj>
    <derivirana_varijabla naziv="DomainObject.Predmet.ProtustrankaWithAdressOIB_1">KBR-Konzalting d.o.o., OIB 97071542338, Hrvatske bratske zajednice 24, 10410 Velika Gorica</derivirana_varijabla>
  </DomainObject.Predmet.ProtustrankaWithAdressOIB>
  <DomainObject.Predmet.ProtustrankaNazivFormated>
    <izvorni_sadrzaj>KBR-Konzalting d.o.o.</izvorni_sadrzaj>
    <derivirana_varijabla naziv="DomainObject.Predmet.ProtustrankaNazivFormated_1">KBR-Konzalting d.o.o.</derivirana_varijabla>
  </DomainObject.Predmet.ProtustrankaNazivFormated>
  <DomainObject.Predmet.ProtustrankaNazivFormatedOIB>
    <izvorni_sadrzaj>KBR-Konzalting d.o.o., OIB 97071542338</izvorni_sadrzaj>
    <derivirana_varijabla naziv="DomainObject.Predmet.ProtustrankaNazivFormatedOIB_1">KBR-Konzalting d.o.o., OIB 97071542338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KBR-Konzalting d.o.o.</item>
    </izvorni_sadrzaj>
    <derivirana_varijabla naziv="DomainObject.Predmet.ProtuStrankaListFormated_1">
      <item>KBR-Konzalting d.o.o.</item>
    </derivirana_varijabla>
  </DomainObject.Predmet.ProtuStrankaListFormated>
  <DomainObject.Predmet.ProtuStrankaListFormatedOIB>
    <izvorni_sadrzaj>
      <item>KBR-Konzalting d.o.o., OIB 97071542338</item>
    </izvorni_sadrzaj>
    <derivirana_varijabla naziv="DomainObject.Predmet.ProtuStrankaListFormatedOIB_1">
      <item>KBR-Konzalting d.o.o., OIB 97071542338</item>
    </derivirana_varijabla>
  </DomainObject.Predmet.ProtuStrankaListFormatedOIB>
  <DomainObject.Predmet.ProtuStrankaListFormatedWithAdress>
    <izvorni_sadrzaj>
      <item>KBR-Konzalting d.o.o., Hrvatske bratske zajednice 24, 10410 Velika Gorica</item>
    </izvorni_sadrzaj>
    <derivirana_varijabla naziv="DomainObject.Predmet.ProtuStrankaListFormatedWithAdress_1">
      <item>KBR-Konzalting d.o.o., Hrvatske bratske zajednice 24, 10410 Velika Gorica</item>
    </derivirana_varijabla>
  </DomainObject.Predmet.ProtuStrankaListFormatedWithAdress>
  <DomainObject.Predmet.ProtuStrankaListFormatedWithAdressOIB>
    <izvorni_sadrzaj>
      <item>KBR-Konzalting d.o.o., OIB 97071542338, Hrvatske bratske zajednice 24, 10410 Velika Gorica</item>
    </izvorni_sadrzaj>
    <derivirana_varijabla naziv="DomainObject.Predmet.ProtuStrankaListFormatedWithAdressOIB_1">
      <item>KBR-Konzalting d.o.o., OIB 97071542338, Hrvatske bratske zajednice 24, 10410 Velika Gorica</item>
    </derivirana_varijabla>
  </DomainObject.Predmet.ProtuStrankaListFormatedWithAdressOIB>
  <DomainObject.Predmet.ProtuStrankaListNazivFormated>
    <izvorni_sadrzaj>
      <item>KBR-Konzalting d.o.o.</item>
    </izvorni_sadrzaj>
    <derivirana_varijabla naziv="DomainObject.Predmet.ProtuStrankaListNazivFormated_1">
      <item>KBR-Konzalting d.o.o.</item>
    </derivirana_varijabla>
  </DomainObject.Predmet.ProtuStrankaListNazivFormated>
  <DomainObject.Predmet.ProtuStrankaListNazivFormatedOIB>
    <izvorni_sadrzaj>
      <item>KBR-Konzalting d.o.o., OIB 97071542338</item>
    </izvorni_sadrzaj>
    <derivirana_varijabla naziv="DomainObject.Predmet.ProtuStrankaListNazivFormatedOIB_1">
      <item>KBR-Konzalting d.o.o., OIB 97071542338</item>
    </derivirana_varijabla>
  </DomainObject.Predmet.ProtuStrankaListNazivFormatedOIB>
  <DomainObject.Predmet.OstaliListFormated>
    <izvorni_sadrzaj>
      <item>HRVATSKI ZAVOD ZA MIROVINSKO OSIGURANJE</item>
      <item>Financijska agencija</item>
      <item>Daniel Gudek</item>
    </izvorni_sadrzaj>
    <derivirana_varijabla naziv="DomainObject.Predmet.OstaliListFormated_1">
      <item>HRVATSKI ZAVOD ZA MIROVINSKO OSIGURANJE</item>
      <item>Financijska agencija</item>
      <item>Daniel Gudek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Daniel Gudek, OIB 07949288581</item>
    </izvorni_sadrzaj>
    <derivirana_varijabla naziv="DomainObject.Predmet.OstaliListFormatedOIB_1">
      <item>HRVATSKI ZAVOD ZA MIROVINSKO OSIGURANJE, OIB 84397956623</item>
      <item>Financijska agencija, OIB 85821130368</item>
      <item>Daniel Gudek, OIB 07949288581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Daniel Gudek, Hrvatske Bratske Zajednice 24, 10410 Velika Gorica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Daniel Gudek, Hrvatske Bratske Zajednice 24, 10410 Velika Gorica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Daniel Gudek, OIB 07949288581, Hrvatske Bratske Zajednice 24, 10410 Velika Gorica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Daniel Gudek, OIB 07949288581, Hrvatske Bratske Zajednice 24, 10410 Velika Gorica</item>
    </derivirana_varijabla>
  </DomainObject.Predmet.OstaliListFormatedWithAdressOIB>
  <DomainObject.Predmet.OstaliListNazivFormated>
    <izvorni_sadrzaj>
      <item>HRVATSKI ZAVOD ZA MIROVINSKO OSIGURANJE</item>
      <item>Financijska agencija</item>
      <item>Daniel Gudek</item>
    </izvorni_sadrzaj>
    <derivirana_varijabla naziv="DomainObject.Predmet.OstaliListNazivFormated_1">
      <item>HRVATSKI ZAVOD ZA MIROVINSKO OSIGURANJE</item>
      <item>Financijska agencija</item>
      <item>Daniel Gudek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Daniel Gudek, OIB 07949288581</item>
    </izvorni_sadrzaj>
    <derivirana_varijabla naziv="DomainObject.Predmet.OstaliListNazivFormatedOIB_1">
      <item>HRVATSKI ZAVOD ZA MIROVINSKO OSIGURANJE, OIB 84397956623</item>
      <item>Financijska agencija, OIB 85821130368</item>
      <item>Daniel Gudek, OIB 07949288581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KBR-Konzalting d.o.o.</izvorni_sadrzaj>
    <derivirana_varijabla naziv="DomainObject.Predmet.ProtustrankaIDrugi_1">KBR-Konzalting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KBR-Konzalting d.o.o., OIB 97071542338, Hrvatske bratske zajednice 24, 10410 Velika Gorica</izvorni_sadrzaj>
    <derivirana_varijabla naziv="DomainObject.Predmet.ProtustrankaIDrugiAdressOIB_1">KBR-Konzalting d.o.o., OIB 97071542338, Hrvatske bratske zajednice 24,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KBR-Konzalting d.o.o.</item>
      <item>HRVATSKI ZAVOD ZA MIROVINSKO OSIGURANJE</item>
      <item>Financijska agencija</item>
      <item>Daniel Gudek</item>
    </izvorni_sadrzaj>
    <derivirana_varijabla naziv="DomainObject.Predmet.SudioniciListNaziv_1">
      <item>FINA Regionalni centar Zagreb</item>
      <item>KBR-Konzalting d.o.o.</item>
      <item>HRVATSKI ZAVOD ZA MIROVINSKO OSIGURANJE</item>
      <item>Financijska agencija</item>
      <item>Daniel Gudek</item>
    </derivirana_varijabla>
  </DomainObject.Predmet.SudioniciListNaziv>
  <DomainObject.Predmet.SudioniciListAdressOIB>
    <izvorni_sadrzaj>
      <item>FINA Regionalni centar Zagreb, OIB 85821130368, Trg svibanjskih žrtava 1995. 1,10000 Zagreb</item>
      <item>KBR-Konzalting d.o.o., OIB 97071542338, Hrvatske bratske zajednice 24,10410 Velika Gorica</item>
      <item>HRVATSKI ZAVOD ZA MIROVINSKO OSIGURANJE, OIB 84397956623, Trpimirova 4,10000 Zagreb</item>
      <item>Financijska agencija, OIB 85821130368, Ulica grada Vukovara 70,10000 Zagreb</item>
      <item>Daniel Gudek, OIB 07949288581, Hrvatske Bratske Zajednice 24,10410 Velika Gorica</item>
    </izvorni_sadrzaj>
    <derivirana_varijabla naziv="DomainObject.Predmet.SudioniciListAdressOIB_1">
      <item>FINA Regionalni centar Zagreb, OIB 85821130368, Trg svibanjskih žrtava 1995. 1,10000 Zagreb</item>
      <item>KBR-Konzalting d.o.o., OIB 97071542338, Hrvatske bratske zajednice 24,10410 Velika Gorica</item>
      <item>HRVATSKI ZAVOD ZA MIROVINSKO OSIGURANJE, OIB 84397956623, Trpimirova 4,10000 Zagreb</item>
      <item>Financijska agencija, OIB 85821130368, Ulica grada Vukovara 70,10000 Zagreb</item>
      <item>Daniel Gudek, OIB 07949288581, Hrvatske Bratske Zajednice 24,10410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97071542338</item>
      <item>, OIB 84397956623</item>
      <item>, OIB 85821130368</item>
      <item>, OIB 07949288581</item>
    </izvorni_sadrzaj>
    <derivirana_varijabla naziv="DomainObject.Predmet.SudioniciListNazivOIB_1">
      <item>, OIB 85821130368</item>
      <item>, OIB 97071542338</item>
      <item>, OIB 84397956623</item>
      <item>, OIB 85821130368</item>
      <item>, OIB 07949288581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572</properties:Words>
  <properties:Characters>3169</properties:Characters>
  <properties:Lines>107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2016-05-16T11:53:00Z</dcterms:created>
  <dc:creator>Nikola Ribarić</dc:creator>
  <cp:lastModifiedBy>Jadranka Zelić</cp:lastModifiedBy>
  <cp:lastPrinted>2016-05-16T12:04:00Z</cp:lastPrinted>
  <dcterms:modified xmlns:xsi="http://www.w3.org/2001/XMLSchema-instance" xsi:type="dcterms:W3CDTF">2016-05-16T12:05:00Z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