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7d0f14" w14:paraId="57d0f14" w:rsidRDefault="000973EF"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1607820</wp:posOffset>
            </wp:positionH>
            <wp:positionV relativeFrom="page">
              <wp:posOffset>728345</wp:posOffset>
            </wp:positionV>
            <wp:extent cy="772795" cx="579120"/>
            <wp:effectExtent b="8255" r="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772795" cx="579120"/>
                    </a:xfrm>
                    <a:prstGeom prst="rect">
                      <a:avLst/>
                    </a:prstGeom>
                  </pic:spPr>
                </pic:pic>
              </a:graphicData>
            </a:graphic>
          </wp:anchor>
        </w:drawing>
      </w:r>
    </w:p>
    <w:p w:rsidRDefault="00AE649C" w:rsidP="004F27AE" w:rsidR="00AE649C" w:rsidRPr="00B76F3C">
      <w:pPr>
        <w:pStyle w:val="NormaleSPIS"/>
      </w:pPr>
    </w:p>
    <w:p w:rsidRDefault="000973EF" w:rsidP="000973EF" w:rsidR="000973EF">
      <w:pPr>
        <w:spacing w:after="0"/>
        <w:jc w:val="both"/>
      </w:pPr>
      <w:r>
        <w:t xml:space="preserve">           Republika Hrvatska</w:t>
      </w:r>
    </w:p>
    <w:p w:rsidRDefault="000973EF" w:rsidP="000973EF" w:rsidR="000973EF">
      <w:pPr>
        <w:tabs>
          <w:tab w:pos="3338" w:val="left"/>
        </w:tabs>
        <w:spacing w:after="0"/>
        <w:jc w:val="both"/>
      </w:pPr>
      <w:r>
        <w:t xml:space="preserve">     Trgovački sud u Bjelovaru</w:t>
      </w:r>
      <w:r>
        <w:tab/>
      </w:r>
    </w:p>
    <w:p w:rsidRDefault="000973EF" w:rsidP="000973EF" w:rsidR="000973EF">
      <w:pPr>
        <w:spacing w:after="0"/>
        <w:jc w:val="both"/>
      </w:pPr>
      <w:r>
        <w:t xml:space="preserve">Bjelovar, Šetalište dr. I. </w:t>
      </w:r>
      <w:proofErr w:type="spellStart"/>
      <w:r>
        <w:t>Lebovića</w:t>
      </w:r>
      <w:proofErr w:type="spellEnd"/>
      <w:r>
        <w:t xml:space="preserve"> 42</w:t>
      </w:r>
    </w:p>
    <w:p w:rsidRDefault="000973EF" w:rsidP="000973EF" w:rsidR="000973EF" w:rsidRPr="000973EF">
      <w:pPr>
        <w:overflowPunct w:val="false"/>
        <w:autoSpaceDE w:val="false"/>
        <w:autoSpaceDN w:val="false"/>
        <w:adjustRightInd w:val="false"/>
        <w:spacing w:after="0"/>
        <w:jc w:val="right"/>
        <w:rPr>
          <w:rFonts w:cs="Times New Roman" w:eastAsia="Times New Roman"/>
          <w:noProof/>
          <w:szCs w:val="20"/>
          <w:lang w:eastAsia="hr-HR"/>
        </w:rPr>
      </w:pPr>
      <w:r w:rsidRPr="000973EF">
        <w:rPr>
          <w:rFonts w:cs="Times New Roman" w:eastAsia="Times New Roman"/>
          <w:lang w:eastAsia="hr-HR"/>
        </w:rPr>
        <w:t xml:space="preserve">  Poslovni broj: </w:t>
      </w:r>
      <w:r w:rsidRPr="000973EF">
        <w:rPr>
          <w:rFonts w:cs="Times New Roman" w:eastAsia="Times New Roman"/>
          <w:noProof/>
          <w:szCs w:val="20"/>
          <w:lang w:eastAsia="hr-HR"/>
        </w:rPr>
        <w:t>5. St-396/2017-33</w:t>
      </w:r>
    </w:p>
    <w:p w:rsidRDefault="000973EF" w:rsidP="000973EF" w:rsidR="000973EF" w:rsidRPr="000973EF">
      <w:pPr>
        <w:overflowPunct w:val="false"/>
        <w:autoSpaceDE w:val="false"/>
        <w:autoSpaceDN w:val="false"/>
        <w:adjustRightInd w:val="false"/>
        <w:spacing w:after="0"/>
        <w:jc w:val="right"/>
        <w:rPr>
          <w:rFonts w:cs="Times New Roman" w:eastAsia="Times New Roman"/>
          <w:noProof/>
          <w:szCs w:val="20"/>
          <w:lang w:eastAsia="hr-HR"/>
        </w:rPr>
      </w:pPr>
    </w:p>
    <w:p w:rsidRDefault="000973EF" w:rsidP="000973EF" w:rsidR="000973EF" w:rsidRPr="000973EF">
      <w:pPr>
        <w:overflowPunct w:val="false"/>
        <w:autoSpaceDE w:val="false"/>
        <w:autoSpaceDN w:val="false"/>
        <w:adjustRightInd w:val="false"/>
        <w:spacing w:after="0"/>
        <w:rPr>
          <w:rFonts w:cs="Times New Roman" w:eastAsia="Times New Roman"/>
          <w:noProof/>
          <w:szCs w:val="20"/>
          <w:lang w:eastAsia="hr-HR"/>
        </w:rPr>
      </w:pPr>
    </w:p>
    <w:p w:rsidRDefault="000973EF" w:rsidP="000973EF" w:rsidR="000973EF" w:rsidRPr="000973EF">
      <w:pPr>
        <w:overflowPunct w:val="false"/>
        <w:autoSpaceDE w:val="false"/>
        <w:autoSpaceDN w:val="false"/>
        <w:adjustRightInd w:val="false"/>
        <w:spacing w:after="0"/>
        <w:rPr>
          <w:rFonts w:cs="Times New Roman" w:eastAsia="Times New Roman"/>
          <w:noProof/>
          <w:szCs w:val="20"/>
          <w:lang w:eastAsia="hr-HR"/>
        </w:rPr>
      </w:pPr>
    </w:p>
    <w:p w:rsidRDefault="000973EF" w:rsidP="000973EF" w:rsidR="000973EF" w:rsidRPr="000973EF">
      <w:pPr>
        <w:overflowPunct w:val="false"/>
        <w:autoSpaceDE w:val="false"/>
        <w:autoSpaceDN w:val="false"/>
        <w:adjustRightInd w:val="false"/>
        <w:spacing w:after="0"/>
        <w:jc w:val="center"/>
        <w:rPr>
          <w:rFonts w:cs="Times New Roman" w:eastAsia="Times New Roman"/>
          <w:noProof/>
          <w:szCs w:val="20"/>
          <w:lang w:eastAsia="hr-HR"/>
        </w:rPr>
      </w:pPr>
      <w:r w:rsidRPr="000973EF">
        <w:rPr>
          <w:rFonts w:cs="Times New Roman" w:eastAsia="Times New Roman"/>
          <w:noProof/>
          <w:szCs w:val="20"/>
          <w:lang w:eastAsia="hr-HR"/>
        </w:rPr>
        <w:t>U  I M E  R E P U B L I K E  H R V A T S K E</w:t>
      </w:r>
    </w:p>
    <w:p w:rsidRDefault="000973EF" w:rsidP="000973EF" w:rsidR="000973EF" w:rsidRPr="000973EF">
      <w:pPr>
        <w:overflowPunct w:val="false"/>
        <w:autoSpaceDE w:val="false"/>
        <w:autoSpaceDN w:val="false"/>
        <w:adjustRightInd w:val="false"/>
        <w:spacing w:after="0"/>
        <w:jc w:val="right"/>
        <w:rPr>
          <w:rFonts w:cs="Times New Roman" w:eastAsia="Times New Roman"/>
          <w:b/>
          <w:noProof/>
          <w:szCs w:val="20"/>
          <w:lang w:eastAsia="hr-HR"/>
        </w:rPr>
      </w:pPr>
    </w:p>
    <w:p w:rsidRDefault="000973EF" w:rsidP="000973EF" w:rsidR="000973EF" w:rsidRPr="000973EF">
      <w:pPr>
        <w:overflowPunct w:val="false"/>
        <w:autoSpaceDE w:val="false"/>
        <w:autoSpaceDN w:val="false"/>
        <w:adjustRightInd w:val="false"/>
        <w:spacing w:after="0"/>
        <w:jc w:val="center"/>
        <w:rPr>
          <w:rFonts w:cs="Times New Roman" w:eastAsia="Times New Roman"/>
          <w:noProof/>
          <w:szCs w:val="20"/>
          <w:lang w:eastAsia="hr-HR"/>
        </w:rPr>
      </w:pPr>
      <w:r w:rsidRPr="000973EF">
        <w:rPr>
          <w:rFonts w:cs="Times New Roman" w:eastAsia="Times New Roman"/>
          <w:noProof/>
          <w:szCs w:val="20"/>
          <w:lang w:eastAsia="hr-HR"/>
        </w:rPr>
        <w:t>R J E Š E N J E</w:t>
      </w:r>
    </w:p>
    <w:p w:rsidRDefault="000973EF" w:rsidP="000973EF" w:rsidR="000973EF" w:rsidRPr="000973EF">
      <w:pPr>
        <w:overflowPunct w:val="false"/>
        <w:autoSpaceDE w:val="false"/>
        <w:autoSpaceDN w:val="false"/>
        <w:adjustRightInd w:val="false"/>
        <w:spacing w:after="0"/>
        <w:jc w:val="center"/>
        <w:rPr>
          <w:rFonts w:cs="Times New Roman" w:eastAsia="Times New Roman"/>
          <w:noProof/>
          <w:szCs w:val="20"/>
          <w:lang w:eastAsia="hr-HR"/>
        </w:rPr>
      </w:pPr>
    </w:p>
    <w:p w:rsidRDefault="000973EF" w:rsidP="000973EF" w:rsidR="000973EF" w:rsidRPr="000973EF">
      <w:pPr>
        <w:overflowPunct w:val="false"/>
        <w:autoSpaceDE w:val="false"/>
        <w:autoSpaceDN w:val="false"/>
        <w:adjustRightInd w:val="false"/>
        <w:spacing w:after="0"/>
        <w:ind w:firstLine="708"/>
        <w:jc w:val="both"/>
        <w:rPr>
          <w:rFonts w:cs="Times New Roman" w:eastAsia="Calibri"/>
          <w:szCs w:val="20"/>
          <w:lang w:eastAsia="hr-HR"/>
        </w:rPr>
      </w:pPr>
      <w:r w:rsidRPr="000973EF">
        <w:rPr>
          <w:rFonts w:cs="Times New Roman" w:eastAsia="Times New Roman"/>
          <w:noProof/>
          <w:szCs w:val="20"/>
          <w:lang w:eastAsia="hr-HR"/>
        </w:rPr>
        <w:t xml:space="preserve">Trgovački sud u Bjelovaru, po sutkinji pojedincu Mariji Petrina Kubica, u </w:t>
      </w:r>
      <w:proofErr w:type="spellStart"/>
      <w:r w:rsidRPr="000973EF">
        <w:rPr>
          <w:rFonts w:cs="Times New Roman" w:eastAsia="Times New Roman"/>
          <w:szCs w:val="20"/>
          <w:lang w:eastAsia="hr-HR"/>
        </w:rPr>
        <w:t>predstečajnom</w:t>
      </w:r>
      <w:proofErr w:type="spellEnd"/>
      <w:r w:rsidRPr="000973EF">
        <w:rPr>
          <w:rFonts w:cs="Times New Roman" w:eastAsia="Times New Roman"/>
          <w:szCs w:val="20"/>
          <w:lang w:eastAsia="hr-HR"/>
        </w:rPr>
        <w:t xml:space="preserve"> postupku nad dužnikom THEA TEMIDA d.o.o. za trgovinu i usluge, Bjelovar, Augusta Šenoe 7, OIB: 52834659523, MBS: 081081376, kojeg zastupaju punomoćnici, odvjetnici iz Odvjetničkog društva </w:t>
      </w:r>
      <w:proofErr w:type="spellStart"/>
      <w:r w:rsidRPr="000973EF">
        <w:rPr>
          <w:rFonts w:cs="Times New Roman" w:eastAsia="Times New Roman"/>
          <w:szCs w:val="20"/>
          <w:lang w:eastAsia="hr-HR"/>
        </w:rPr>
        <w:t>Jujnović</w:t>
      </w:r>
      <w:proofErr w:type="spellEnd"/>
      <w:r w:rsidRPr="000973EF">
        <w:rPr>
          <w:rFonts w:cs="Times New Roman" w:eastAsia="Times New Roman"/>
          <w:szCs w:val="20"/>
          <w:lang w:eastAsia="hr-HR"/>
        </w:rPr>
        <w:t xml:space="preserve"> Lučić Marković j.t.d. Zagreb, 20. travnja 2</w:t>
      </w:r>
      <w:r w:rsidRPr="000973EF">
        <w:rPr>
          <w:rFonts w:cs="Times New Roman" w:eastAsia="Calibri"/>
          <w:szCs w:val="20"/>
          <w:lang w:eastAsia="hr-HR"/>
        </w:rPr>
        <w:t>018.</w:t>
      </w:r>
    </w:p>
    <w:p w:rsidRDefault="000973EF" w:rsidP="000973EF" w:rsidR="000973EF" w:rsidRPr="000973EF">
      <w:pPr>
        <w:overflowPunct w:val="false"/>
        <w:autoSpaceDE w:val="false"/>
        <w:autoSpaceDN w:val="false"/>
        <w:adjustRightInd w:val="false"/>
        <w:spacing w:after="0"/>
        <w:jc w:val="center"/>
        <w:rPr>
          <w:rFonts w:cs="Times New Roman" w:eastAsia="Calibri"/>
          <w:b/>
          <w:szCs w:val="20"/>
          <w:lang w:eastAsia="hr-HR"/>
        </w:rPr>
      </w:pPr>
    </w:p>
    <w:p w:rsidRDefault="000973EF" w:rsidP="000973EF" w:rsidR="000973EF" w:rsidRPr="000973EF">
      <w:pPr>
        <w:overflowPunct w:val="false"/>
        <w:autoSpaceDE w:val="false"/>
        <w:autoSpaceDN w:val="false"/>
        <w:adjustRightInd w:val="false"/>
        <w:spacing w:after="0"/>
        <w:jc w:val="center"/>
        <w:rPr>
          <w:rFonts w:cs="Times New Roman" w:eastAsia="Calibri"/>
          <w:szCs w:val="20"/>
          <w:lang w:eastAsia="hr-HR"/>
        </w:rPr>
      </w:pPr>
      <w:r w:rsidRPr="000973EF">
        <w:rPr>
          <w:rFonts w:cs="Times New Roman" w:eastAsia="Calibri"/>
          <w:szCs w:val="20"/>
          <w:lang w:eastAsia="hr-HR"/>
        </w:rPr>
        <w:t>r i j e š i o  j e</w:t>
      </w:r>
    </w:p>
    <w:p w:rsidRDefault="000973EF" w:rsidP="000973EF" w:rsidR="000973EF" w:rsidRPr="000973EF">
      <w:pPr>
        <w:overflowPunct w:val="false"/>
        <w:autoSpaceDE w:val="false"/>
        <w:autoSpaceDN w:val="false"/>
        <w:adjustRightInd w:val="false"/>
        <w:spacing w:after="0"/>
        <w:jc w:val="center"/>
        <w:rPr>
          <w:rFonts w:cs="Times New Roman" w:eastAsia="Calibri"/>
          <w:szCs w:val="20"/>
          <w:lang w:eastAsia="hr-HR"/>
        </w:rPr>
      </w:pPr>
    </w:p>
    <w:p w:rsidRDefault="000973EF" w:rsidP="000973EF" w:rsidR="000973EF" w:rsidRPr="000973EF">
      <w:pPr>
        <w:overflowPunct w:val="false"/>
        <w:autoSpaceDE w:val="false"/>
        <w:autoSpaceDN w:val="false"/>
        <w:adjustRightInd w:val="false"/>
        <w:spacing w:after="0"/>
        <w:ind w:firstLine="851"/>
        <w:jc w:val="both"/>
        <w:rPr>
          <w:rFonts w:cs="Times New Roman" w:eastAsia="Calibri"/>
          <w:szCs w:val="20"/>
          <w:lang w:eastAsia="hr-HR"/>
        </w:rPr>
      </w:pPr>
      <w:r w:rsidRPr="000973EF">
        <w:rPr>
          <w:rFonts w:cs="Times New Roman" w:eastAsia="Calibri"/>
          <w:szCs w:val="20"/>
          <w:lang w:eastAsia="hr-HR"/>
        </w:rPr>
        <w:t xml:space="preserve">1. Utvrđuje se da vjerovnici nisu prihvatili izmijenjeni Plan financijskog restrukturiranja dužnika, koji je objavljen na mrežnoj stranici e-oglasna ploča Trgovačkog suda u Bjelovaru. </w:t>
      </w:r>
    </w:p>
    <w:p w:rsidRDefault="000973EF" w:rsidP="000973EF" w:rsidR="000973EF" w:rsidRPr="000973EF">
      <w:pPr>
        <w:overflowPunct w:val="false"/>
        <w:autoSpaceDE w:val="false"/>
        <w:autoSpaceDN w:val="false"/>
        <w:adjustRightInd w:val="false"/>
        <w:spacing w:after="0"/>
        <w:ind w:firstLine="851"/>
        <w:jc w:val="both"/>
        <w:rPr>
          <w:rFonts w:cs="Times New Roman" w:eastAsia="Calibri"/>
          <w:szCs w:val="20"/>
          <w:lang w:eastAsia="hr-HR"/>
        </w:rPr>
      </w:pPr>
    </w:p>
    <w:p w:rsidRDefault="000973EF" w:rsidP="000973EF" w:rsidR="000973EF" w:rsidRPr="000973EF">
      <w:pPr>
        <w:overflowPunct w:val="false"/>
        <w:autoSpaceDE w:val="false"/>
        <w:autoSpaceDN w:val="false"/>
        <w:adjustRightInd w:val="false"/>
        <w:spacing w:after="0"/>
        <w:ind w:firstLine="851"/>
        <w:jc w:val="both"/>
        <w:rPr>
          <w:rFonts w:cs="Times New Roman" w:eastAsia="Times New Roman"/>
          <w:szCs w:val="20"/>
          <w:lang w:eastAsia="hr-HR"/>
        </w:rPr>
      </w:pPr>
      <w:r w:rsidRPr="000973EF">
        <w:rPr>
          <w:rFonts w:cs="Times New Roman" w:eastAsia="Calibri"/>
          <w:szCs w:val="20"/>
          <w:lang w:eastAsia="hr-HR"/>
        </w:rPr>
        <w:t>2</w:t>
      </w:r>
      <w:r w:rsidRPr="000973EF">
        <w:rPr>
          <w:rFonts w:cs="Times New Roman" w:eastAsia="Times New Roman"/>
          <w:szCs w:val="20"/>
          <w:lang w:eastAsia="hr-HR"/>
        </w:rPr>
        <w:t xml:space="preserve">. </w:t>
      </w:r>
      <w:proofErr w:type="spellStart"/>
      <w:r w:rsidRPr="000973EF">
        <w:rPr>
          <w:rFonts w:cs="Times New Roman" w:eastAsia="Times New Roman"/>
          <w:szCs w:val="20"/>
          <w:lang w:eastAsia="hr-HR"/>
        </w:rPr>
        <w:t>Predstečajni</w:t>
      </w:r>
      <w:proofErr w:type="spellEnd"/>
      <w:r w:rsidRPr="000973EF">
        <w:rPr>
          <w:rFonts w:cs="Times New Roman" w:eastAsia="Times New Roman"/>
          <w:szCs w:val="20"/>
          <w:lang w:eastAsia="hr-HR"/>
        </w:rPr>
        <w:t xml:space="preserve"> postupak se obustavlja. </w:t>
      </w:r>
    </w:p>
    <w:p w:rsidRDefault="000973EF" w:rsidP="000973EF" w:rsidR="000973EF" w:rsidRPr="000973EF">
      <w:pPr>
        <w:overflowPunct w:val="false"/>
        <w:autoSpaceDE w:val="false"/>
        <w:autoSpaceDN w:val="false"/>
        <w:adjustRightInd w:val="false"/>
        <w:spacing w:after="0"/>
        <w:ind w:firstLine="851"/>
        <w:jc w:val="both"/>
        <w:rPr>
          <w:rFonts w:cs="Times New Roman" w:eastAsia="Times New Roman"/>
          <w:szCs w:val="20"/>
          <w:lang w:eastAsia="hr-HR"/>
        </w:rPr>
      </w:pPr>
    </w:p>
    <w:p w:rsidRDefault="000973EF" w:rsidP="000973EF" w:rsidR="000973EF" w:rsidRPr="000973EF">
      <w:pPr>
        <w:overflowPunct w:val="false"/>
        <w:autoSpaceDE w:val="false"/>
        <w:autoSpaceDN w:val="false"/>
        <w:adjustRightInd w:val="false"/>
        <w:spacing w:after="0"/>
        <w:ind w:firstLine="851"/>
        <w:jc w:val="both"/>
        <w:rPr>
          <w:rFonts w:cs="Times New Roman" w:eastAsia="Times New Roman"/>
          <w:szCs w:val="20"/>
          <w:lang w:eastAsia="hr-HR"/>
        </w:rPr>
      </w:pPr>
      <w:r w:rsidRPr="000973EF">
        <w:rPr>
          <w:rFonts w:cs="Times New Roman" w:eastAsia="Times New Roman"/>
          <w:szCs w:val="20"/>
          <w:lang w:eastAsia="hr-HR"/>
        </w:rPr>
        <w:t>3. Nakon pravomoćnosti ovog rješenja sud će po službenoj dužnosti nastaviti postupak kao da je podnesen prijedlog za otvaranje stečajnog postupka nad dužnikom, osim ako utvrdi da je dužnik sposoban za plaćanje i da je ispunio sve obveze prema vjerovnicima.</w:t>
      </w:r>
    </w:p>
    <w:p w:rsidRDefault="000973EF" w:rsidP="000973EF" w:rsidR="000973EF" w:rsidRPr="000973EF">
      <w:pPr>
        <w:overflowPunct w:val="false"/>
        <w:autoSpaceDE w:val="false"/>
        <w:autoSpaceDN w:val="false"/>
        <w:adjustRightInd w:val="false"/>
        <w:spacing w:after="0"/>
        <w:ind w:firstLine="851"/>
        <w:jc w:val="both"/>
        <w:rPr>
          <w:rFonts w:cs="Times New Roman" w:eastAsia="Times New Roman"/>
          <w:szCs w:val="20"/>
          <w:lang w:eastAsia="hr-HR"/>
        </w:rPr>
      </w:pPr>
    </w:p>
    <w:p w:rsidRDefault="000973EF" w:rsidP="000973EF" w:rsidR="000973EF" w:rsidRPr="000973EF">
      <w:pPr>
        <w:overflowPunct w:val="false"/>
        <w:autoSpaceDE w:val="false"/>
        <w:autoSpaceDN w:val="false"/>
        <w:adjustRightInd w:val="false"/>
        <w:spacing w:after="0"/>
        <w:ind w:firstLine="851"/>
        <w:jc w:val="both"/>
        <w:rPr>
          <w:rFonts w:cs="Times New Roman" w:eastAsia="Times New Roman"/>
          <w:szCs w:val="20"/>
          <w:lang w:eastAsia="hr-HR"/>
        </w:rPr>
      </w:pPr>
      <w:r w:rsidRPr="000973EF">
        <w:rPr>
          <w:rFonts w:cs="Times New Roman" w:eastAsia="Times New Roman"/>
          <w:szCs w:val="20"/>
          <w:lang w:eastAsia="hr-HR"/>
        </w:rPr>
        <w:t xml:space="preserve">4. Pravomoćno rješenje o obustavi </w:t>
      </w:r>
      <w:proofErr w:type="spellStart"/>
      <w:r w:rsidRPr="000973EF">
        <w:rPr>
          <w:rFonts w:cs="Times New Roman" w:eastAsia="Times New Roman"/>
          <w:szCs w:val="20"/>
          <w:lang w:eastAsia="hr-HR"/>
        </w:rPr>
        <w:t>predstečajnog</w:t>
      </w:r>
      <w:proofErr w:type="spellEnd"/>
      <w:r w:rsidRPr="000973EF">
        <w:rPr>
          <w:rFonts w:cs="Times New Roman" w:eastAsia="Times New Roman"/>
          <w:szCs w:val="20"/>
          <w:lang w:eastAsia="hr-HR"/>
        </w:rPr>
        <w:t xml:space="preserve"> postupka sud će dostaviti Financijskoj agenciji.</w:t>
      </w:r>
    </w:p>
    <w:p w:rsidRDefault="000973EF" w:rsidP="000973EF" w:rsidR="000973EF" w:rsidRPr="000973EF">
      <w:pPr>
        <w:overflowPunct w:val="false"/>
        <w:autoSpaceDE w:val="false"/>
        <w:autoSpaceDN w:val="false"/>
        <w:adjustRightInd w:val="false"/>
        <w:spacing w:after="0"/>
        <w:rPr>
          <w:rFonts w:cs="Times New Roman" w:eastAsia="Calibri"/>
          <w:szCs w:val="20"/>
          <w:lang w:eastAsia="hr-HR"/>
        </w:rPr>
      </w:pPr>
    </w:p>
    <w:p w:rsidRDefault="000973EF" w:rsidP="000973EF" w:rsidR="000973EF" w:rsidRPr="000973EF">
      <w:pPr>
        <w:overflowPunct w:val="false"/>
        <w:autoSpaceDE w:val="false"/>
        <w:autoSpaceDN w:val="false"/>
        <w:adjustRightInd w:val="false"/>
        <w:spacing w:after="0"/>
        <w:jc w:val="center"/>
        <w:rPr>
          <w:rFonts w:cs="Times New Roman" w:eastAsia="Calibri"/>
          <w:szCs w:val="20"/>
          <w:lang w:eastAsia="hr-HR"/>
        </w:rPr>
      </w:pPr>
      <w:r w:rsidRPr="000973EF">
        <w:rPr>
          <w:rFonts w:cs="Times New Roman" w:eastAsia="Calibri"/>
          <w:szCs w:val="20"/>
          <w:lang w:eastAsia="hr-HR"/>
        </w:rPr>
        <w:t>Obrazloženje</w:t>
      </w:r>
    </w:p>
    <w:p w:rsidRDefault="000973EF" w:rsidP="000973EF" w:rsidR="000973EF" w:rsidRPr="000973EF">
      <w:pPr>
        <w:overflowPunct w:val="false"/>
        <w:autoSpaceDE w:val="false"/>
        <w:autoSpaceDN w:val="false"/>
        <w:adjustRightInd w:val="false"/>
        <w:spacing w:after="0"/>
        <w:rPr>
          <w:rFonts w:cs="Times New Roman" w:eastAsia="Times New Roman"/>
          <w:szCs w:val="20"/>
          <w:lang w:eastAsia="hr-HR"/>
        </w:rPr>
      </w:pPr>
    </w:p>
    <w:p w:rsidRDefault="000973EF" w:rsidP="000973EF" w:rsidR="000973EF" w:rsidRPr="000973EF">
      <w:pPr>
        <w:overflowPunct w:val="false"/>
        <w:autoSpaceDE w:val="false"/>
        <w:autoSpaceDN w:val="false"/>
        <w:adjustRightInd w:val="false"/>
        <w:spacing w:after="0"/>
        <w:ind w:firstLine="851"/>
        <w:jc w:val="both"/>
        <w:rPr>
          <w:rFonts w:cs="Times New Roman" w:eastAsia="Times New Roman"/>
          <w:szCs w:val="20"/>
          <w:lang w:eastAsia="hr-HR"/>
        </w:rPr>
      </w:pPr>
      <w:r w:rsidRPr="000973EF">
        <w:rPr>
          <w:rFonts w:cs="Times New Roman" w:eastAsia="Times New Roman"/>
          <w:szCs w:val="20"/>
          <w:lang w:eastAsia="hr-HR"/>
        </w:rPr>
        <w:t xml:space="preserve">Dužnik je podnio ovome sudu prijedlog za otvaranje </w:t>
      </w:r>
      <w:proofErr w:type="spellStart"/>
      <w:r w:rsidRPr="000973EF">
        <w:rPr>
          <w:rFonts w:cs="Times New Roman" w:eastAsia="Times New Roman"/>
          <w:szCs w:val="20"/>
          <w:lang w:eastAsia="hr-HR"/>
        </w:rPr>
        <w:t>predstečajnog</w:t>
      </w:r>
      <w:proofErr w:type="spellEnd"/>
      <w:r w:rsidRPr="000973EF">
        <w:rPr>
          <w:rFonts w:cs="Times New Roman" w:eastAsia="Times New Roman"/>
          <w:szCs w:val="20"/>
          <w:lang w:eastAsia="hr-HR"/>
        </w:rPr>
        <w:t xml:space="preserve"> postupka, na temelju odredbe čl.25. st.1. Stečajnog zakona </w:t>
      </w:r>
      <w:r w:rsidRPr="000973EF">
        <w:rPr>
          <w:rFonts w:cs="Times New Roman" w:eastAsia="Times New Roman"/>
          <w:noProof/>
          <w:szCs w:val="20"/>
          <w:lang w:eastAsia="hr-HR"/>
        </w:rPr>
        <w:t xml:space="preserve">("Narodne novine" broj 71/15 i 104/17, dalje: SZ), nakon čega je ovaj sud donio rješenje o otvaranju </w:t>
      </w:r>
      <w:proofErr w:type="spellStart"/>
      <w:r w:rsidRPr="000973EF">
        <w:rPr>
          <w:rFonts w:cs="Times New Roman" w:eastAsia="Times New Roman"/>
          <w:szCs w:val="20"/>
          <w:lang w:eastAsia="hr-HR"/>
        </w:rPr>
        <w:t>predstečajnog</w:t>
      </w:r>
      <w:proofErr w:type="spellEnd"/>
      <w:r w:rsidRPr="000973EF">
        <w:rPr>
          <w:rFonts w:cs="Times New Roman" w:eastAsia="Times New Roman"/>
          <w:szCs w:val="20"/>
          <w:lang w:eastAsia="hr-HR"/>
        </w:rPr>
        <w:t xml:space="preserve"> postupka od 21. srpnja 2017., kojim je između ostalog imenovao povjerenika i odredio ročište radi ispitivanja tražbina.  </w:t>
      </w:r>
    </w:p>
    <w:p w:rsidRDefault="000973EF" w:rsidP="000973EF" w:rsidR="000973EF" w:rsidRPr="000973EF">
      <w:pPr>
        <w:overflowPunct w:val="false"/>
        <w:autoSpaceDE w:val="false"/>
        <w:autoSpaceDN w:val="false"/>
        <w:adjustRightInd w:val="false"/>
        <w:spacing w:after="0"/>
        <w:ind w:firstLine="851"/>
        <w:jc w:val="both"/>
        <w:rPr>
          <w:rFonts w:cs="Times New Roman" w:eastAsia="Times New Roman"/>
          <w:szCs w:val="20"/>
          <w:lang w:eastAsia="hr-HR"/>
        </w:rPr>
      </w:pPr>
    </w:p>
    <w:p w:rsidRDefault="000973EF" w:rsidP="000973EF" w:rsidR="000973EF" w:rsidRPr="000973EF">
      <w:pPr>
        <w:overflowPunct w:val="false"/>
        <w:autoSpaceDE w:val="false"/>
        <w:autoSpaceDN w:val="false"/>
        <w:adjustRightInd w:val="false"/>
        <w:spacing w:after="0"/>
        <w:ind w:firstLine="851"/>
        <w:jc w:val="both"/>
        <w:rPr>
          <w:rFonts w:cs="Times New Roman" w:eastAsia="Times New Roman"/>
          <w:szCs w:val="20"/>
          <w:lang w:eastAsia="hr-HR"/>
        </w:rPr>
      </w:pPr>
      <w:r w:rsidRPr="000973EF">
        <w:rPr>
          <w:rFonts w:cs="Times New Roman" w:eastAsia="Times New Roman"/>
          <w:szCs w:val="20"/>
          <w:lang w:eastAsia="hr-HR"/>
        </w:rPr>
        <w:t xml:space="preserve">Na ročištu radi ispitivanja tražbina održanom 15. rujna 2017. sud je sastavio tablicu ispitanih tražbina (čl.49. st.1. SZ-a) i na temelju te tablice 18. listopada 2017. donio rješenje o utvrđenim i osporenim tražbinama. </w:t>
      </w:r>
    </w:p>
    <w:p w:rsidRDefault="000973EF" w:rsidP="000973EF" w:rsidR="000973EF" w:rsidRPr="000973EF">
      <w:pPr>
        <w:overflowPunct w:val="false"/>
        <w:autoSpaceDE w:val="false"/>
        <w:autoSpaceDN w:val="false"/>
        <w:adjustRightInd w:val="false"/>
        <w:spacing w:after="0"/>
        <w:ind w:firstLine="851"/>
        <w:jc w:val="both"/>
        <w:rPr>
          <w:rFonts w:cs="Times New Roman" w:eastAsia="Times New Roman"/>
          <w:szCs w:val="20"/>
          <w:lang w:eastAsia="hr-HR"/>
        </w:rPr>
      </w:pPr>
    </w:p>
    <w:p w:rsidRDefault="000973EF" w:rsidP="000973EF" w:rsidR="000973EF" w:rsidRPr="000973EF">
      <w:pPr>
        <w:overflowPunct w:val="false"/>
        <w:autoSpaceDE w:val="false"/>
        <w:autoSpaceDN w:val="false"/>
        <w:adjustRightInd w:val="false"/>
        <w:spacing w:after="0"/>
        <w:ind w:firstLine="851"/>
        <w:jc w:val="both"/>
        <w:rPr>
          <w:rFonts w:cs="Times New Roman" w:eastAsia="Calibri"/>
          <w:szCs w:val="20"/>
          <w:lang w:eastAsia="hr-HR"/>
        </w:rPr>
      </w:pPr>
      <w:r w:rsidRPr="000973EF">
        <w:rPr>
          <w:rFonts w:cs="Times New Roman" w:eastAsia="Calibri"/>
          <w:szCs w:val="20"/>
          <w:lang w:eastAsia="hr-HR"/>
        </w:rPr>
        <w:t xml:space="preserve">Dužnik je 15. ožujka 2018. dostavio sudu izmijenjeni Plan restrukturiranja, koji je istog dana objavljen na e-oglasnoj ploči ovog suda. </w:t>
      </w:r>
    </w:p>
    <w:p w:rsidRDefault="000973EF" w:rsidP="000973EF" w:rsidR="000973EF" w:rsidRPr="000973EF">
      <w:pPr>
        <w:overflowPunct w:val="false"/>
        <w:autoSpaceDE w:val="false"/>
        <w:autoSpaceDN w:val="false"/>
        <w:adjustRightInd w:val="false"/>
        <w:spacing w:after="0"/>
        <w:ind w:firstLine="851"/>
        <w:jc w:val="both"/>
        <w:rPr>
          <w:rFonts w:cs="Times New Roman" w:eastAsia="Calibri"/>
          <w:szCs w:val="20"/>
          <w:lang w:eastAsia="hr-HR"/>
        </w:rPr>
      </w:pPr>
    </w:p>
    <w:p w:rsidRDefault="000973EF" w:rsidP="000973EF" w:rsidR="000973EF" w:rsidRPr="000973EF">
      <w:pPr>
        <w:overflowPunct w:val="false"/>
        <w:autoSpaceDE w:val="false"/>
        <w:autoSpaceDN w:val="false"/>
        <w:adjustRightInd w:val="false"/>
        <w:spacing w:after="0"/>
        <w:ind w:firstLine="851"/>
        <w:jc w:val="both"/>
        <w:rPr>
          <w:rFonts w:cs="Times New Roman" w:eastAsia="Calibri"/>
          <w:szCs w:val="20"/>
          <w:lang w:eastAsia="hr-HR"/>
        </w:rPr>
      </w:pPr>
      <w:r w:rsidRPr="000973EF">
        <w:rPr>
          <w:rFonts w:cs="Times New Roman" w:eastAsia="Calibri"/>
          <w:szCs w:val="20"/>
          <w:lang w:eastAsia="hr-HR"/>
        </w:rPr>
        <w:lastRenderedPageBreak/>
        <w:t xml:space="preserve">Na ročište za glasovanje 21. ožujka 2018. zakonska zastupnica dužnika Mirjana </w:t>
      </w:r>
      <w:proofErr w:type="spellStart"/>
      <w:r w:rsidRPr="000973EF">
        <w:rPr>
          <w:rFonts w:cs="Times New Roman" w:eastAsia="Calibri"/>
          <w:szCs w:val="20"/>
          <w:lang w:eastAsia="hr-HR"/>
        </w:rPr>
        <w:t>Lipić</w:t>
      </w:r>
      <w:proofErr w:type="spellEnd"/>
      <w:r w:rsidRPr="000973EF">
        <w:rPr>
          <w:rFonts w:cs="Times New Roman" w:eastAsia="Calibri"/>
          <w:szCs w:val="20"/>
          <w:lang w:eastAsia="hr-HR"/>
        </w:rPr>
        <w:t xml:space="preserve"> nije pristupila.</w:t>
      </w:r>
    </w:p>
    <w:p w:rsidRDefault="000973EF" w:rsidP="000973EF" w:rsidR="000973EF" w:rsidRPr="000973EF">
      <w:pPr>
        <w:overflowPunct w:val="false"/>
        <w:autoSpaceDE w:val="false"/>
        <w:autoSpaceDN w:val="false"/>
        <w:adjustRightInd w:val="false"/>
        <w:spacing w:after="0"/>
        <w:ind w:firstLine="851"/>
        <w:jc w:val="both"/>
        <w:rPr>
          <w:rFonts w:cs="Times New Roman" w:eastAsia="Calibri"/>
          <w:szCs w:val="20"/>
          <w:lang w:eastAsia="hr-HR"/>
        </w:rPr>
      </w:pPr>
      <w:r w:rsidRPr="000973EF">
        <w:rPr>
          <w:rFonts w:cs="Times New Roman" w:eastAsia="Calibri"/>
          <w:szCs w:val="20"/>
          <w:lang w:eastAsia="hr-HR"/>
        </w:rPr>
        <w:t xml:space="preserve">Punomoćnik dužnika je usmeno iznio Izmijenjeni plan restrukturiranja i zamolio vjerovnike da Plan prihvate. </w:t>
      </w:r>
    </w:p>
    <w:p w:rsidRDefault="000973EF" w:rsidP="000973EF" w:rsidR="000973EF" w:rsidRPr="000973EF">
      <w:pPr>
        <w:overflowPunct w:val="false"/>
        <w:autoSpaceDE w:val="false"/>
        <w:autoSpaceDN w:val="false"/>
        <w:adjustRightInd w:val="false"/>
        <w:spacing w:after="0"/>
        <w:ind w:firstLine="851"/>
        <w:jc w:val="both"/>
        <w:rPr>
          <w:rFonts w:cs="Times New Roman" w:eastAsia="Times New Roman"/>
          <w:szCs w:val="20"/>
          <w:lang w:eastAsia="hr-HR"/>
        </w:rPr>
      </w:pPr>
      <w:r w:rsidRPr="000973EF">
        <w:rPr>
          <w:rFonts w:cs="Times New Roman" w:eastAsia="Calibri"/>
          <w:szCs w:val="20"/>
          <w:lang w:eastAsia="hr-HR"/>
        </w:rPr>
        <w:t xml:space="preserve">Na ročištu je utvrđeno </w:t>
      </w:r>
      <w:r w:rsidRPr="000973EF">
        <w:rPr>
          <w:rFonts w:cs="Times New Roman" w:eastAsia="Times New Roman"/>
          <w:szCs w:val="20"/>
          <w:lang w:eastAsia="hr-HR"/>
        </w:rPr>
        <w:t xml:space="preserve">da pravo glasa imaju vjerovnici čije tražbine su utvrđene pravomoćnim rješenjem ovoga suda od 18. listopada 2017., s pravom glasa u visini utvrđene tražbine. Ukupan broj vjerovnika s pravom glasa bio je 80, a ukupan zbroj njihovih tražbina 2.675.126,78 kn. </w:t>
      </w:r>
    </w:p>
    <w:p w:rsidRDefault="000973EF" w:rsidP="000973EF" w:rsidR="000973EF" w:rsidRPr="000973EF">
      <w:pPr>
        <w:overflowPunct w:val="false"/>
        <w:autoSpaceDE w:val="false"/>
        <w:autoSpaceDN w:val="false"/>
        <w:adjustRightInd w:val="false"/>
        <w:spacing w:after="0"/>
        <w:jc w:val="both"/>
        <w:rPr>
          <w:rFonts w:cs="Times New Roman" w:eastAsia="Calibri"/>
          <w:szCs w:val="20"/>
          <w:lang w:eastAsia="hr-HR"/>
        </w:rPr>
      </w:pPr>
    </w:p>
    <w:p w:rsidRDefault="000973EF" w:rsidP="000973EF" w:rsidR="000973EF" w:rsidRPr="000973EF">
      <w:pPr>
        <w:overflowPunct w:val="false"/>
        <w:autoSpaceDE w:val="false"/>
        <w:autoSpaceDN w:val="false"/>
        <w:adjustRightInd w:val="false"/>
        <w:spacing w:after="0"/>
        <w:ind w:firstLine="851"/>
        <w:jc w:val="both"/>
        <w:rPr>
          <w:rFonts w:cs="Times New Roman" w:eastAsia="Times New Roman"/>
          <w:szCs w:val="20"/>
          <w:lang w:eastAsia="hr-HR"/>
        </w:rPr>
      </w:pPr>
      <w:r w:rsidRPr="000973EF">
        <w:rPr>
          <w:rFonts w:cs="Times New Roman" w:eastAsia="Times New Roman"/>
          <w:szCs w:val="20"/>
          <w:lang w:eastAsia="hr-HR"/>
        </w:rPr>
        <w:t>Do dana održavanja ročišta zaprimljen je na spis samo obrazac za glasovanje vjerovnika Republike Hrvatske, Ministarstvo financija, koji vjerovnik je glasovao ZA plan restrukturiranja. Na ročištu je punomoćnik dužnika predao obrasce za glasovanje vjerovnika ECOLAB d.o.o. Zagreb i BE-LUX OPREMA d.o.o. Zagreb, koji su glasovali ZA plan restrukturiranja.</w:t>
      </w:r>
    </w:p>
    <w:p w:rsidRDefault="000973EF" w:rsidP="000973EF" w:rsidR="000973EF" w:rsidRPr="000973EF">
      <w:pPr>
        <w:overflowPunct w:val="false"/>
        <w:autoSpaceDE w:val="false"/>
        <w:autoSpaceDN w:val="false"/>
        <w:adjustRightInd w:val="false"/>
        <w:spacing w:after="0"/>
        <w:ind w:firstLine="851"/>
        <w:jc w:val="both"/>
        <w:rPr>
          <w:rFonts w:cs="Times New Roman" w:eastAsia="Times New Roman"/>
          <w:szCs w:val="20"/>
          <w:lang w:eastAsia="hr-HR"/>
        </w:rPr>
      </w:pPr>
    </w:p>
    <w:p w:rsidRDefault="000973EF" w:rsidP="000973EF" w:rsidR="000973EF" w:rsidRPr="000973EF">
      <w:pPr>
        <w:overflowPunct w:val="false"/>
        <w:autoSpaceDE w:val="false"/>
        <w:autoSpaceDN w:val="false"/>
        <w:adjustRightInd w:val="false"/>
        <w:spacing w:after="0"/>
        <w:ind w:firstLine="851"/>
        <w:jc w:val="both"/>
        <w:rPr>
          <w:rFonts w:cs="Times New Roman" w:eastAsia="Times New Roman"/>
          <w:szCs w:val="20"/>
          <w:lang w:eastAsia="hr-HR"/>
        </w:rPr>
      </w:pPr>
      <w:r w:rsidRPr="000973EF">
        <w:rPr>
          <w:rFonts w:cs="Times New Roman" w:eastAsia="Times New Roman"/>
          <w:szCs w:val="20"/>
          <w:lang w:eastAsia="hr-HR"/>
        </w:rPr>
        <w:t>Sukladno odredbi čl.58. st.1. SZ-a, za vjerovnike čije su tražbine utvrđene rješenjem o utvrđenim tražbinama, a nisu pristupili na ročište za glasovanje, sud je smatrao da su glasovali protiv Plana restrukturiranja.</w:t>
      </w:r>
    </w:p>
    <w:p w:rsidRDefault="000973EF" w:rsidP="000973EF" w:rsidR="000973EF" w:rsidRPr="000973EF">
      <w:pPr>
        <w:overflowPunct w:val="false"/>
        <w:autoSpaceDE w:val="false"/>
        <w:autoSpaceDN w:val="false"/>
        <w:adjustRightInd w:val="false"/>
        <w:spacing w:after="0"/>
        <w:ind w:firstLine="851"/>
        <w:jc w:val="both"/>
        <w:rPr>
          <w:rFonts w:cs="Times New Roman" w:eastAsia="Times New Roman"/>
          <w:szCs w:val="20"/>
          <w:lang w:eastAsia="hr-HR"/>
        </w:rPr>
      </w:pPr>
      <w:r w:rsidRPr="000973EF">
        <w:rPr>
          <w:rFonts w:cs="Times New Roman" w:eastAsia="Times New Roman"/>
          <w:szCs w:val="20"/>
          <w:lang w:eastAsia="hr-HR"/>
        </w:rPr>
        <w:t xml:space="preserve">Vjerovnik Erste &amp; </w:t>
      </w:r>
      <w:proofErr w:type="spellStart"/>
      <w:r w:rsidRPr="000973EF">
        <w:rPr>
          <w:rFonts w:cs="Times New Roman" w:eastAsia="Times New Roman"/>
          <w:szCs w:val="20"/>
          <w:lang w:eastAsia="hr-HR"/>
        </w:rPr>
        <w:t>Steiermarkische</w:t>
      </w:r>
      <w:proofErr w:type="spellEnd"/>
      <w:r w:rsidRPr="000973EF">
        <w:rPr>
          <w:rFonts w:cs="Times New Roman" w:eastAsia="Times New Roman"/>
          <w:szCs w:val="20"/>
          <w:lang w:eastAsia="hr-HR"/>
        </w:rPr>
        <w:t xml:space="preserve"> </w:t>
      </w:r>
      <w:proofErr w:type="spellStart"/>
      <w:r w:rsidRPr="000973EF">
        <w:rPr>
          <w:rFonts w:cs="Times New Roman" w:eastAsia="Times New Roman"/>
          <w:szCs w:val="20"/>
          <w:lang w:eastAsia="hr-HR"/>
        </w:rPr>
        <w:t>bank</w:t>
      </w:r>
      <w:proofErr w:type="spellEnd"/>
      <w:r w:rsidRPr="000973EF">
        <w:rPr>
          <w:rFonts w:cs="Times New Roman" w:eastAsia="Times New Roman"/>
          <w:szCs w:val="20"/>
          <w:lang w:eastAsia="hr-HR"/>
        </w:rPr>
        <w:t xml:space="preserve"> je na ročištu za glasovanje naveo da je protiv Izmijenjenog plana restrukturiranja.</w:t>
      </w:r>
    </w:p>
    <w:p w:rsidRDefault="000973EF" w:rsidP="000973EF" w:rsidR="000973EF" w:rsidRPr="000973EF">
      <w:pPr>
        <w:overflowPunct w:val="false"/>
        <w:autoSpaceDE w:val="false"/>
        <w:autoSpaceDN w:val="false"/>
        <w:adjustRightInd w:val="false"/>
        <w:spacing w:after="0"/>
        <w:ind w:firstLine="851"/>
        <w:jc w:val="both"/>
        <w:rPr>
          <w:rFonts w:cs="Times New Roman" w:eastAsia="Times New Roman"/>
          <w:szCs w:val="20"/>
          <w:lang w:eastAsia="hr-HR"/>
        </w:rPr>
      </w:pPr>
    </w:p>
    <w:p w:rsidRDefault="000973EF" w:rsidP="000973EF" w:rsidR="000973EF" w:rsidRPr="000973EF">
      <w:pPr>
        <w:overflowPunct w:val="false"/>
        <w:autoSpaceDE w:val="false"/>
        <w:autoSpaceDN w:val="false"/>
        <w:adjustRightInd w:val="false"/>
        <w:spacing w:after="0"/>
        <w:ind w:firstLine="851"/>
        <w:jc w:val="both"/>
        <w:rPr>
          <w:rFonts w:cs="Times New Roman" w:eastAsia="Times New Roman"/>
          <w:szCs w:val="20"/>
          <w:lang w:eastAsia="hr-HR"/>
        </w:rPr>
      </w:pPr>
      <w:r w:rsidRPr="000973EF">
        <w:rPr>
          <w:rFonts w:cs="Times New Roman" w:eastAsia="Times New Roman"/>
          <w:szCs w:val="20"/>
          <w:lang w:eastAsia="hr-HR"/>
        </w:rPr>
        <w:t xml:space="preserve">Nakon provedenog glasovanja sud je utvrdio da su ZA Plan glasovala 3 vjerovnika, čije tražbine ukupno iznose 1.028.832,76 kn, što je 38,46%, dok je PROTIV Plana glasovalo 77 vjerovnika, čije tražbine ukupno iznose 1.646.294,02 kn, što je 61,54% ukupnih tražbina. Budući da glasovanjem nisu postignute potrebne većine iz čl.59. st.1. i 2. SZ-a, smatra se da vjerovnici nisu prihvatili Plan restrukturiranja. </w:t>
      </w:r>
    </w:p>
    <w:p w:rsidRDefault="000973EF" w:rsidP="000973EF" w:rsidR="000973EF" w:rsidRPr="000973EF">
      <w:pPr>
        <w:overflowPunct w:val="false"/>
        <w:autoSpaceDE w:val="false"/>
        <w:autoSpaceDN w:val="false"/>
        <w:adjustRightInd w:val="false"/>
        <w:spacing w:after="0"/>
        <w:ind w:firstLine="851"/>
        <w:jc w:val="both"/>
        <w:rPr>
          <w:rFonts w:cs="Times New Roman" w:eastAsia="Calibri"/>
          <w:szCs w:val="20"/>
          <w:lang w:eastAsia="hr-HR"/>
        </w:rPr>
      </w:pPr>
    </w:p>
    <w:p w:rsidRDefault="000973EF" w:rsidP="000973EF" w:rsidR="000973EF" w:rsidRPr="000973EF">
      <w:pPr>
        <w:overflowPunct w:val="false"/>
        <w:autoSpaceDE w:val="false"/>
        <w:autoSpaceDN w:val="false"/>
        <w:adjustRightInd w:val="false"/>
        <w:spacing w:after="0"/>
        <w:ind w:firstLine="851"/>
        <w:jc w:val="both"/>
        <w:rPr>
          <w:rFonts w:cs="Times New Roman" w:eastAsia="Calibri"/>
          <w:szCs w:val="20"/>
          <w:lang w:eastAsia="hr-HR"/>
        </w:rPr>
      </w:pPr>
      <w:r w:rsidRPr="000973EF">
        <w:rPr>
          <w:rFonts w:cs="Times New Roman" w:eastAsia="Calibri"/>
          <w:szCs w:val="20"/>
          <w:lang w:eastAsia="hr-HR"/>
        </w:rPr>
        <w:t>Slijedom navedenog sud je utvrdio da vjerovnici nisu prihvatili Izmijenjeni  Plan financijskog restrukturiranja dužnika, koji je objavljen 15. ožujka 2018. na mrežnoj stranici e-oglasna ploča Trgovačkog suda u Bjelovaru te je temeljem čl.61. st.2. SZ-a postupak obustavio (toč.2. izreke).</w:t>
      </w:r>
    </w:p>
    <w:p w:rsidRDefault="000973EF" w:rsidP="000973EF" w:rsidR="000973EF" w:rsidRPr="000973EF">
      <w:pPr>
        <w:overflowPunct w:val="false"/>
        <w:autoSpaceDE w:val="false"/>
        <w:autoSpaceDN w:val="false"/>
        <w:adjustRightInd w:val="false"/>
        <w:spacing w:after="0"/>
        <w:ind w:firstLine="851"/>
        <w:jc w:val="both"/>
        <w:rPr>
          <w:rFonts w:cs="Times New Roman" w:eastAsia="Calibri"/>
          <w:szCs w:val="20"/>
          <w:lang w:eastAsia="hr-HR"/>
        </w:rPr>
      </w:pPr>
    </w:p>
    <w:p w:rsidRDefault="000973EF" w:rsidP="000973EF" w:rsidR="000973EF" w:rsidRPr="000973EF">
      <w:pPr>
        <w:overflowPunct w:val="false"/>
        <w:autoSpaceDE w:val="false"/>
        <w:autoSpaceDN w:val="false"/>
        <w:adjustRightInd w:val="false"/>
        <w:spacing w:after="0"/>
        <w:ind w:firstLine="851"/>
        <w:jc w:val="both"/>
        <w:rPr>
          <w:rFonts w:cs="Times New Roman" w:eastAsia="Times New Roman"/>
          <w:szCs w:val="20"/>
          <w:lang w:eastAsia="hr-HR"/>
        </w:rPr>
      </w:pPr>
      <w:r w:rsidRPr="000973EF">
        <w:rPr>
          <w:rFonts w:cs="Times New Roman" w:eastAsia="Times New Roman"/>
          <w:szCs w:val="20"/>
          <w:lang w:eastAsia="hr-HR"/>
        </w:rPr>
        <w:t>Točka 3. izreke temelji se na odredbi čl.64. st.2. SZ-a, a toč.4. izreke na odredbi čl.3. istog članka.</w:t>
      </w:r>
    </w:p>
    <w:p w:rsidRDefault="000973EF" w:rsidP="000973EF" w:rsidR="000973EF" w:rsidRPr="000973EF">
      <w:pPr>
        <w:overflowPunct w:val="false"/>
        <w:autoSpaceDE w:val="false"/>
        <w:autoSpaceDN w:val="false"/>
        <w:adjustRightInd w:val="false"/>
        <w:spacing w:after="0"/>
        <w:ind w:firstLine="708"/>
        <w:jc w:val="both"/>
        <w:rPr>
          <w:rFonts w:cs="Times New Roman" w:eastAsia="Calibri"/>
          <w:szCs w:val="20"/>
          <w:lang w:eastAsia="hr-HR"/>
        </w:rPr>
      </w:pPr>
    </w:p>
    <w:p w:rsidRDefault="000973EF" w:rsidP="000973EF" w:rsidR="000973EF" w:rsidRPr="000973EF">
      <w:pPr>
        <w:overflowPunct w:val="false"/>
        <w:autoSpaceDE w:val="false"/>
        <w:autoSpaceDN w:val="false"/>
        <w:adjustRightInd w:val="false"/>
        <w:spacing w:after="0"/>
        <w:jc w:val="center"/>
        <w:rPr>
          <w:rFonts w:cs="Times New Roman" w:eastAsia="Calibri"/>
          <w:szCs w:val="20"/>
          <w:lang w:eastAsia="hr-HR"/>
        </w:rPr>
      </w:pPr>
      <w:r w:rsidRPr="000973EF">
        <w:rPr>
          <w:rFonts w:cs="Times New Roman" w:eastAsia="Calibri"/>
          <w:szCs w:val="20"/>
          <w:lang w:eastAsia="hr-HR"/>
        </w:rPr>
        <w:t>U Bjelovaru 20. travnja 2018.</w:t>
      </w:r>
    </w:p>
    <w:p w:rsidRDefault="000973EF" w:rsidP="000973EF" w:rsidR="000973EF" w:rsidRPr="000973EF">
      <w:pPr>
        <w:overflowPunct w:val="false"/>
        <w:autoSpaceDE w:val="false"/>
        <w:autoSpaceDN w:val="false"/>
        <w:adjustRightInd w:val="false"/>
        <w:spacing w:after="0"/>
        <w:jc w:val="both"/>
        <w:rPr>
          <w:rFonts w:cs="Times New Roman" w:eastAsia="Calibri"/>
          <w:szCs w:val="20"/>
          <w:lang w:eastAsia="hr-HR"/>
        </w:rPr>
      </w:pPr>
    </w:p>
    <w:p w:rsidRDefault="000973EF" w:rsidP="000973EF" w:rsidR="000973EF" w:rsidRPr="000973EF">
      <w:pPr>
        <w:overflowPunct w:val="false"/>
        <w:autoSpaceDE w:val="false"/>
        <w:autoSpaceDN w:val="false"/>
        <w:adjustRightInd w:val="false"/>
        <w:spacing w:after="0"/>
        <w:ind w:firstLine="5103"/>
        <w:jc w:val="both"/>
        <w:rPr>
          <w:rFonts w:cs="Times New Roman" w:eastAsia="Calibri"/>
          <w:szCs w:val="20"/>
          <w:lang w:eastAsia="hr-HR"/>
        </w:rPr>
      </w:pPr>
      <w:r w:rsidRPr="000973EF">
        <w:rPr>
          <w:rFonts w:cs="Times New Roman" w:eastAsia="Calibri"/>
          <w:szCs w:val="20"/>
          <w:lang w:eastAsia="hr-HR"/>
        </w:rPr>
        <w:t xml:space="preserve">        Sutkinja </w:t>
      </w:r>
    </w:p>
    <w:p w:rsidRDefault="000973EF" w:rsidP="000973EF" w:rsidR="000973EF" w:rsidRPr="000973EF">
      <w:pPr>
        <w:overflowPunct w:val="false"/>
        <w:autoSpaceDE w:val="false"/>
        <w:autoSpaceDN w:val="false"/>
        <w:adjustRightInd w:val="false"/>
        <w:spacing w:after="0"/>
        <w:ind w:firstLine="5103"/>
        <w:jc w:val="both"/>
        <w:rPr>
          <w:rFonts w:cs="Times New Roman" w:eastAsia="Calibri"/>
          <w:szCs w:val="20"/>
          <w:lang w:eastAsia="hr-HR"/>
        </w:rPr>
      </w:pPr>
      <w:r w:rsidRPr="000973EF">
        <w:rPr>
          <w:rFonts w:cs="Times New Roman" w:eastAsia="Calibri"/>
          <w:szCs w:val="20"/>
          <w:lang w:eastAsia="hr-HR"/>
        </w:rPr>
        <w:t>Marija Petrina Kubica v.r.</w:t>
      </w:r>
    </w:p>
    <w:p w:rsidRDefault="000973EF" w:rsidP="000973EF" w:rsidR="000973EF" w:rsidRPr="000973EF">
      <w:pPr>
        <w:tabs>
          <w:tab w:pos="2676" w:val="left"/>
        </w:tabs>
        <w:overflowPunct w:val="false"/>
        <w:autoSpaceDE w:val="false"/>
        <w:autoSpaceDN w:val="false"/>
        <w:adjustRightInd w:val="false"/>
        <w:spacing w:after="0"/>
        <w:ind w:left="4253"/>
        <w:rPr>
          <w:rFonts w:cs="Times New Roman" w:eastAsia="Times New Roman"/>
          <w:noProof/>
          <w:szCs w:val="20"/>
          <w:lang w:eastAsia="hr-HR"/>
        </w:rPr>
      </w:pPr>
      <w:r w:rsidRPr="000973EF">
        <w:rPr>
          <w:rFonts w:cs="Times New Roman" w:eastAsia="Times New Roman"/>
          <w:noProof/>
          <w:szCs w:val="20"/>
          <w:lang w:eastAsia="hr-HR"/>
        </w:rPr>
        <w:t>Za točnost otpravka - ovlašteni službenik</w:t>
      </w:r>
    </w:p>
    <w:p w:rsidRDefault="000973EF" w:rsidP="000973EF" w:rsidR="000973EF" w:rsidRPr="000973EF">
      <w:pPr>
        <w:tabs>
          <w:tab w:pos="2676" w:val="left"/>
        </w:tabs>
        <w:overflowPunct w:val="false"/>
        <w:autoSpaceDE w:val="false"/>
        <w:autoSpaceDN w:val="false"/>
        <w:adjustRightInd w:val="false"/>
        <w:spacing w:after="0"/>
        <w:ind w:left="4253"/>
        <w:rPr>
          <w:rFonts w:cs="Times New Roman" w:eastAsia="Times New Roman"/>
          <w:noProof/>
          <w:szCs w:val="20"/>
          <w:lang w:eastAsia="hr-HR"/>
        </w:rPr>
      </w:pPr>
      <w:r w:rsidRPr="000973EF">
        <w:rPr>
          <w:rFonts w:cs="Times New Roman" w:eastAsia="Times New Roman"/>
          <w:noProof/>
          <w:szCs w:val="20"/>
          <w:lang w:eastAsia="hr-HR"/>
        </w:rPr>
        <w:t xml:space="preserve">                  Željka Vitez</w:t>
      </w:r>
    </w:p>
    <w:p w:rsidRDefault="000973EF" w:rsidP="000973EF" w:rsidR="000973EF" w:rsidRPr="000973EF">
      <w:pPr>
        <w:overflowPunct w:val="false"/>
        <w:autoSpaceDE w:val="false"/>
        <w:autoSpaceDN w:val="false"/>
        <w:adjustRightInd w:val="false"/>
        <w:spacing w:after="0"/>
        <w:jc w:val="both"/>
        <w:rPr>
          <w:rFonts w:cs="Times New Roman" w:eastAsia="Calibri"/>
          <w:szCs w:val="20"/>
          <w:lang w:eastAsia="hr-HR"/>
        </w:rPr>
      </w:pPr>
    </w:p>
    <w:p w:rsidRDefault="000973EF" w:rsidP="000973EF" w:rsidR="000973EF" w:rsidRPr="000973EF">
      <w:pPr>
        <w:overflowPunct w:val="false"/>
        <w:autoSpaceDE w:val="false"/>
        <w:autoSpaceDN w:val="false"/>
        <w:adjustRightInd w:val="false"/>
        <w:spacing w:after="0"/>
        <w:jc w:val="both"/>
        <w:rPr>
          <w:rFonts w:cs="Times New Roman" w:eastAsia="Calibri"/>
          <w:szCs w:val="20"/>
          <w:lang w:eastAsia="hr-HR"/>
        </w:rPr>
      </w:pPr>
      <w:r w:rsidRPr="000973EF">
        <w:rPr>
          <w:rFonts w:cs="Times New Roman" w:eastAsia="Calibri"/>
          <w:szCs w:val="20"/>
          <w:lang w:eastAsia="hr-HR"/>
        </w:rPr>
        <w:t>Uputa o pravnom lijeku: Protiv ovog rješenja može se podnijeti žalba u roku od 8 dana od dostave rješenja, na Visoki trgovački sud RH u Zagrebu, a putem ovoga suda (čl.19. st.1. i 2. SZ). Dostava se smatra obavljenom istekom osmog dana od dana objave ovog rješenja na e-oglasnoj ploči suda (čl.12. st.1. SZ). Žalba se podnosi u tri primjerka.</w:t>
      </w:r>
    </w:p>
    <w:p w:rsidRDefault="00AE649C" w:rsidP="004F27AE" w:rsidR="00AE649C" w:rsidRPr="00B76F3C">
      <w:pPr>
        <w:pStyle w:val="NormaleSPIS"/>
      </w:pPr>
      <w:bookmarkStart w:name="_GoBack" w:id="0"/>
      <w:bookmarkEnd w:id="0"/>
    </w:p>
    <w:sectPr w:rsidSect="000973EF"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27536933"/>
      <w:docPartObj>
        <w:docPartGallery w:val="Page Numbers (Top of Page)"/>
        <w:docPartUnique/>
      </w:docPartObj>
    </w:sdtPr>
    <w:sdtContent>
      <w:p w:rsidRDefault="000973EF" w:rsidP="000973EF" w:rsidR="000973EF">
        <w:pPr>
          <w:pStyle w:val="Zaglavlje"/>
          <w:spacing w:after="0"/>
          <w:jc w:val="center"/>
        </w:pPr>
        <w:r>
          <w:fldChar w:fldCharType="begin"/>
        </w:r>
        <w:r>
          <w:instrText>PAGE   \* MERGEFORMAT</w:instrText>
        </w:r>
        <w:r>
          <w:fldChar w:fldCharType="separate"/>
        </w:r>
        <w:r>
          <w:t>2</w:t>
        </w:r>
        <w:r>
          <w:fldChar w:fldCharType="end"/>
        </w:r>
      </w:p>
    </w:sdtContent>
  </w:sdt>
  <w:p w:rsidRDefault="000973EF" w:rsidP="000973EF" w:rsidR="008333A9">
    <w:pPr>
      <w:overflowPunct w:val="false"/>
      <w:autoSpaceDE w:val="false"/>
      <w:autoSpaceDN w:val="false"/>
      <w:adjustRightInd w:val="false"/>
      <w:spacing w:after="0"/>
      <w:jc w:val="right"/>
      <w:rPr>
        <w:rFonts w:cs="Times New Roman" w:eastAsia="Times New Roman"/>
        <w:noProof/>
        <w:szCs w:val="20"/>
        <w:lang w:eastAsia="hr-HR"/>
      </w:rPr>
    </w:pPr>
    <w:r w:rsidRPr="000973EF">
      <w:rPr>
        <w:rFonts w:cs="Times New Roman" w:eastAsia="Times New Roman"/>
        <w:lang w:eastAsia="hr-HR"/>
      </w:rPr>
      <w:t xml:space="preserve">Poslovni broj: </w:t>
    </w:r>
    <w:r w:rsidRPr="000973EF">
      <w:rPr>
        <w:rFonts w:cs="Times New Roman" w:eastAsia="Times New Roman"/>
        <w:noProof/>
        <w:szCs w:val="20"/>
        <w:lang w:eastAsia="hr-HR"/>
      </w:rPr>
      <w:t>5. St-396/2017-33</w:t>
    </w:r>
  </w:p>
  <w:p w:rsidRDefault="000973EF" w:rsidP="000973EF" w:rsidR="000973EF" w:rsidRPr="000973EF">
    <w:pPr>
      <w:overflowPunct w:val="false"/>
      <w:autoSpaceDE w:val="false"/>
      <w:autoSpaceDN w:val="false"/>
      <w:adjustRightInd w:val="false"/>
      <w:spacing w:after="0"/>
      <w:jc w:val="right"/>
      <w:rPr>
        <w:rFonts w:cs="Times New Roman" w:eastAsia="Times New Roman"/>
        <w:noProof/>
        <w:szCs w:val="20"/>
        <w:lang w:eastAsia="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973EF"/>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259867541">
      <w:bodyDiv w:val="true"/>
      <w:marLeft w:val="0"/>
      <w:marRight w:val="0"/>
      <w:marTop w:val="0"/>
      <w:marBottom w:val="0"/>
      <w:divBdr>
        <w:top w:space="0" w:sz="0" w:color="auto" w:val="none"/>
        <w:left w:space="0" w:sz="0" w:color="auto" w:val="none"/>
        <w:bottom w:space="0" w:sz="0" w:color="auto" w:val="none"/>
        <w:right w:space="0" w:sz="0" w:color="auto" w:val="none"/>
      </w:divBdr>
    </w:div>
    <w:div w:id="169719321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travnja 2018.</izvorni_sadrzaj>
    <derivirana_varijabla naziv="DomainObject.DatumDonosenjaOdluke_1">20.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St-396/2017-33</izvorni_sadrzaj>
    <derivirana_varijabla naziv="DomainObject.Oznaka_1">St-396/2017-33</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396</izvorni_sadrzaj>
    <derivirana_varijabla naziv="DomainObject.Predmet.Broj_1">396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srpnja 2017.</izvorni_sadrzaj>
    <derivirana_varijabla naziv="DomainObject.Predmet.DatumOsnivanja_1">3.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St-396/2017</izvorni_sadrzaj>
    <derivirana_varijabla naziv="DomainObject.Predmet.OznakaBroj_1">St-396/2017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THEA TEMIDA d.o.o. za trgovinu i usluge</izvorni_sadrzaj>
    <derivirana_varijabla naziv="DomainObject.Predmet.StrankaFormated_1">  THEA TEMIDA d.o.o. za trgovinu i usluge</derivirana_varijabla>
  </DomainObject.Predmet.StrankaFormated>
  <DomainObject.Predmet.StrankaFormatedOIB>
    <izvorni_sadrzaj>  THEA TEMIDA d.o.o. za trgovinu i usluge, OIB 52834659523</izvorni_sadrzaj>
    <derivirana_varijabla naziv="DomainObject.Predmet.StrankaFormatedOIB_1">  THEA TEMIDA d.o.o. za trgovinu i usluge, OIB 52834659523</derivirana_varijabla>
  </DomainObject.Predmet.StrankaFormatedOIB>
  <DomainObject.Predmet.StrankaFormatedWithAdress>
    <izvorni_sadrzaj> THEA TEMIDA d.o.o. za trgovinu i usluge, Augusta Šenoe 7, 43000 Bjelovar</izvorni_sadrzaj>
    <derivirana_varijabla naziv="DomainObject.Predmet.StrankaFormatedWithAdress_1"> THEA TEMIDA d.o.o. za trgovinu i usluge, Augusta Šenoe 7, 43000 Bjelovar</derivirana_varijabla>
  </DomainObject.Predmet.StrankaFormatedWithAdress>
  <DomainObject.Predmet.StrankaFormatedWithAdressOIB>
    <izvorni_sadrzaj> THEA TEMIDA d.o.o. za trgovinu i usluge, OIB 52834659523, Augusta Šenoe 7, 43000 Bjelovar</izvorni_sadrzaj>
    <derivirana_varijabla naziv="DomainObject.Predmet.StrankaFormatedWithAdressOIB_1"> THEA TEMIDA d.o.o. za trgovinu i usluge, OIB 52834659523, Augusta Šenoe 7, 43000 Bjelovar</derivirana_varijabla>
  </DomainObject.Predmet.StrankaFormatedWithAdressOIB>
  <DomainObject.Predmet.StrankaWithAdress>
    <izvorni_sadrzaj>THEA TEMIDA d.o.o. za trgovinu i usluge Augusta Šenoe 7,43000 Bjelovar</izvorni_sadrzaj>
    <derivirana_varijabla naziv="DomainObject.Predmet.StrankaWithAdress_1">THEA TEMIDA d.o.o. za trgovinu i usluge Augusta Šenoe 7,43000 Bjelovar</derivirana_varijabla>
  </DomainObject.Predmet.StrankaWithAdress>
  <DomainObject.Predmet.StrankaWithAdressOIB>
    <izvorni_sadrzaj>THEA TEMIDA d.o.o. za trgovinu i usluge, OIB 52834659523, Augusta Šenoe 7,43000 Bjelovar</izvorni_sadrzaj>
    <derivirana_varijabla naziv="DomainObject.Predmet.StrankaWithAdressOIB_1">THEA TEMIDA d.o.o. za trgovinu i usluge, OIB 52834659523, Augusta Šenoe 7,43000 Bjelovar</derivirana_varijabla>
  </DomainObject.Predmet.StrankaWithAdressOIB>
  <DomainObject.Predmet.StrankaNazivFormated>
    <izvorni_sadrzaj>THEA TEMIDA d.o.o. za trgovinu i usluge</izvorni_sadrzaj>
    <derivirana_varijabla naziv="DomainObject.Predmet.StrankaNazivFormated_1">THEA TEMIDA d.o.o. za trgovinu i usluge</derivirana_varijabla>
  </DomainObject.Predmet.StrankaNazivFormated>
  <DomainObject.Predmet.StrankaNazivFormatedOIB>
    <izvorni_sadrzaj>THEA TEMIDA d.o.o. za trgovinu i usluge, OIB 52834659523</izvorni_sadrzaj>
    <derivirana_varijabla naziv="DomainObject.Predmet.StrankaNazivFormatedOIB_1">THEA TEMIDA d.o.o. za trgovinu i usluge, OIB 52834659523</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THEA TEMIDA d.o.o. za trgovinu i usluge</item>
    </izvorni_sadrzaj>
    <derivirana_varijabla naziv="DomainObject.Predmet.StrankaListFormated_1">
      <item>THEA TEMIDA d.o.o. za trgovinu i usluge</item>
    </derivirana_varijabla>
  </DomainObject.Predmet.StrankaListFormated>
  <DomainObject.Predmet.StrankaListFormatedOIB>
    <izvorni_sadrzaj>
      <item>THEA TEMIDA d.o.o. za trgovinu i usluge, OIB 52834659523</item>
    </izvorni_sadrzaj>
    <derivirana_varijabla naziv="DomainObject.Predmet.StrankaListFormatedOIB_1">
      <item>THEA TEMIDA d.o.o. za trgovinu i usluge, OIB 52834659523</item>
    </derivirana_varijabla>
  </DomainObject.Predmet.StrankaListFormatedOIB>
  <DomainObject.Predmet.StrankaListFormatedWithAdress>
    <izvorni_sadrzaj>
      <item>THEA TEMIDA d.o.o. za trgovinu i usluge, Augusta Šenoe 7, 43000 Bjelovar</item>
    </izvorni_sadrzaj>
    <derivirana_varijabla naziv="DomainObject.Predmet.StrankaListFormatedWithAdress_1">
      <item>THEA TEMIDA d.o.o. za trgovinu i usluge, Augusta Šenoe 7, 43000 Bjelovar</item>
    </derivirana_varijabla>
  </DomainObject.Predmet.StrankaListFormatedWithAdress>
  <DomainObject.Predmet.StrankaListFormatedWithAdressOIB>
    <izvorni_sadrzaj>
      <item>THEA TEMIDA d.o.o. za trgovinu i usluge, OIB 52834659523, Augusta Šenoe 7, 43000 Bjelovar</item>
    </izvorni_sadrzaj>
    <derivirana_varijabla naziv="DomainObject.Predmet.StrankaListFormatedWithAdressOIB_1">
      <item>THEA TEMIDA d.o.o. za trgovinu i usluge, OIB 52834659523, Augusta Šenoe 7, 43000 Bjelovar</item>
    </derivirana_varijabla>
  </DomainObject.Predmet.StrankaListFormatedWithAdressOIB>
  <DomainObject.Predmet.StrankaListNazivFormated>
    <izvorni_sadrzaj>
      <item>THEA TEMIDA d.o.o. za trgovinu i usluge</item>
    </izvorni_sadrzaj>
    <derivirana_varijabla naziv="DomainObject.Predmet.StrankaListNazivFormated_1">
      <item>THEA TEMIDA d.o.o. za trgovinu i usluge</item>
    </derivirana_varijabla>
  </DomainObject.Predmet.StrankaListNazivFormated>
  <DomainObject.Predmet.StrankaListNazivFormatedOIB>
    <izvorni_sadrzaj>
      <item>THEA TEMIDA d.o.o. za trgovinu i usluge, OIB 52834659523</item>
    </izvorni_sadrzaj>
    <derivirana_varijabla naziv="DomainObject.Predmet.StrankaListNazivFormatedOIB_1">
      <item>THEA TEMIDA d.o.o. za trgovinu i usluge, OIB 52834659523</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Financijska agencija Zagreb</item>
      <item>JUJNOVIĆ LUČIĆ MARKOVIĆ Odvjetničko društvo javno trgovačko društvo</item>
      <item>Vanda Kovačević Gelenčer</item>
    </izvorni_sadrzaj>
    <derivirana_varijabla naziv="DomainObject.Predmet.OstaliListFormated_1">
      <item>Financijska agencija Zagreb</item>
      <item>JUJNOVIĆ LUČIĆ MARKOVIĆ Odvjetničko društvo javno trgovačko društvo</item>
      <item>Vanda Kovačević Gelenčer</item>
    </derivirana_varijabla>
  </DomainObject.Predmet.OstaliListFormated>
  <DomainObject.Predmet.OstaliListFormatedOIB>
    <izvorni_sadrzaj>
      <item>Financijska agencija Zagreb</item>
      <item>JUJNOVIĆ LUČIĆ MARKOVIĆ Odvjetničko društvo javno trgovačko društvo, OIB 46736017727</item>
      <item>Vanda Kovačević Gelenčer, OIB 48951193011</item>
    </izvorni_sadrzaj>
    <derivirana_varijabla naziv="DomainObject.Predmet.OstaliListFormatedOIB_1">
      <item>Financijska agencija Zagreb</item>
      <item>JUJNOVIĆ LUČIĆ MARKOVIĆ Odvjetničko društvo javno trgovačko društvo, OIB 46736017727</item>
      <item>Vanda Kovačević Gelenčer, OIB 48951193011</item>
    </derivirana_varijabla>
  </DomainObject.Predmet.OstaliListFormatedOIB>
  <DomainObject.Predmet.OstaliListFormatedWithAdress>
    <izvorni_sadrzaj>
      <item>Financijska agencija Zagreb, Ulica grada Vukovara 70, 10000 Zagreb</item>
      <item>JUJNOVIĆ LUČIĆ MARKOVIĆ Odvjetničko društvo javno trgovačko društvo, Strojarska cesta 20, 10000 Zagreb</item>
      <item>Vanda Kovačević Gelenčer, A. Mihanovića 1/3, 33000 Virovitica</item>
    </izvorni_sadrzaj>
    <derivirana_varijabla naziv="DomainObject.Predmet.OstaliListFormatedWithAdress_1">
      <item>Financijska agencija Zagreb, Ulica grada Vukovara 70, 10000 Zagreb</item>
      <item>JUJNOVIĆ LUČIĆ MARKOVIĆ Odvjetničko društvo javno trgovačko društvo, Strojarska cesta 20, 10000 Zagreb</item>
      <item>Vanda Kovačević Gelenčer, A. Mihanovića 1/3, 33000 Virovitica</item>
    </derivirana_varijabla>
  </DomainObject.Predmet.OstaliListFormatedWithAdress>
  <DomainObject.Predmet.OstaliListFormatedWithAdressOIB>
    <izvorni_sadrzaj>
      <item>Financijska agencija Zagreb, Ulica grada Vukovara 70, 10000 Zagreb</item>
      <item>JUJNOVIĆ LUČIĆ MARKOVIĆ Odvjetničko društvo javno trgovačko društvo, OIB 46736017727, Strojarska cesta 20, 10000 Zagreb</item>
      <item>Vanda Kovačević Gelenčer, OIB 48951193011, A. Mihanovića 1/3, 33000 Virovitica</item>
    </izvorni_sadrzaj>
    <derivirana_varijabla naziv="DomainObject.Predmet.OstaliListFormatedWithAdressOIB_1">
      <item>Financijska agencija Zagreb, Ulica grada Vukovara 70, 10000 Zagreb</item>
      <item>JUJNOVIĆ LUČIĆ MARKOVIĆ Odvjetničko društvo javno trgovačko društvo, OIB 46736017727, Strojarska cesta 20, 10000 Zagreb</item>
      <item>Vanda Kovačević Gelenčer, OIB 48951193011, A. Mihanovića 1/3, 33000 Virovitica</item>
    </derivirana_varijabla>
  </DomainObject.Predmet.OstaliListFormatedWithAdressOIB>
  <DomainObject.Predmet.OstaliListNazivFormated>
    <izvorni_sadrzaj>
      <item>Financijska agencija Zagreb</item>
      <item>JUJNOVIĆ LUČIĆ MARKOVIĆ Odvjetničko društvo javno trgovačko društvo</item>
      <item>Vanda Kovačević Gelenčer</item>
    </izvorni_sadrzaj>
    <derivirana_varijabla naziv="DomainObject.Predmet.OstaliListNazivFormated_1">
      <item>Financijska agencija Zagreb</item>
      <item>JUJNOVIĆ LUČIĆ MARKOVIĆ Odvjetničko društvo javno trgovačko društvo</item>
      <item>Vanda Kovačević Gelenčer</item>
    </derivirana_varijabla>
  </DomainObject.Predmet.OstaliListNazivFormated>
  <DomainObject.Predmet.OstaliListNazivFormatedOIB>
    <izvorni_sadrzaj>
      <item>Financijska agencija Zagreb</item>
      <item>JUJNOVIĆ LUČIĆ MARKOVIĆ Odvjetničko društvo javno trgovačko društvo, OIB 46736017727</item>
      <item>Vanda Kovačević Gelenčer, OIB 48951193011</item>
    </izvorni_sadrzaj>
    <derivirana_varijabla naziv="DomainObject.Predmet.OstaliListNazivFormatedOIB_1">
      <item>Financijska agencija Zagreb</item>
      <item>JUJNOVIĆ LUČIĆ MARKOVIĆ Odvjetničko društvo javno trgovačko društvo, OIB 46736017727</item>
      <item>Vanda Kovačević Gelenčer, OIB 48951193011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travnja 2018.</izvorni_sadrzaj>
    <derivirana_varijabla naziv="DomainObject.Datum_1">20. travnja 2018.</derivirana_varijabla>
  </DomainObject.Datum>
  <DomainObject.PoslovniBrojDokumenta>
    <izvorni_sadrzaj>St-396/2017-33</izvorni_sadrzaj>
    <derivirana_varijabla naziv="DomainObject.PoslovniBrojDokumenta_1">St-396/2017-33</derivirana_varijabla>
  </DomainObject.PoslovniBrojDokumenta>
  <DomainObject.Predmet.StrankaIDrugi>
    <izvorni_sadrzaj>THEA TEMIDA d.o.o. za trgovinu i usluge</izvorni_sadrzaj>
    <derivirana_varijabla naziv="DomainObject.Predmet.StrankaIDrugi_1">THEA TEMIDA d.o.o. za trgovinu i usluge</derivirana_varijabla>
  </DomainObject.Predmet.StrankaIDrugi>
  <DomainObject.Predmet.ProtustrankaIDrugi>
    <izvorni_sadrzaj/>
    <derivirana_varijabla naziv="DomainObject.Predmet.ProtustrankaIDrugi_1"/>
  </DomainObject.Predmet.ProtustrankaIDrugi>
  <DomainObject.Predmet.StrankaIDrugiAdressOIB>
    <izvorni_sadrzaj>THEA TEMIDA d.o.o. za trgovinu i usluge, OIB 52834659523, Augusta Šenoe 7, 43000 Bjelovar</izvorni_sadrzaj>
    <derivirana_varijabla naziv="DomainObject.Predmet.StrankaIDrugiAdressOIB_1">THEA TEMIDA d.o.o. za trgovinu i usluge, OIB 52834659523, Augusta Šenoe 7, 43000 Bjelovar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THEA TEMIDA d.o.o. za trgovinu i usluge</item>
      <item>Financijska agencija Zagreb</item>
      <item>JUJNOVIĆ LUČIĆ MARKOVIĆ Odvjetničko društvo javno trgovačko društvo</item>
      <item>Vanda Kovačević Gelenčer</item>
    </izvorni_sadrzaj>
    <derivirana_varijabla naziv="DomainObject.Predmet.SudioniciListNaziv_1">
      <item>THEA TEMIDA d.o.o. za trgovinu i usluge</item>
      <item>Financijska agencija Zagreb</item>
      <item>JUJNOVIĆ LUČIĆ MARKOVIĆ Odvjetničko društvo javno trgovačko društvo</item>
      <item>Vanda Kovačević Gelenčer</item>
    </derivirana_varijabla>
  </DomainObject.Predmet.SudioniciListNaziv>
  <DomainObject.Predmet.SudioniciListAdressOIB>
    <izvorni_sadrzaj>
      <item>THEA TEMIDA d.o.o. za trgovinu i usluge, OIB 52834659523, Augusta Šenoe 7,43000 Bjelovar</item>
      <item>Financijska agencija Zagreb, Ulica grada Vukovara 70,10000 Zagreb</item>
      <item>JUJNOVIĆ LUČIĆ MARKOVIĆ Odvjetničko društvo javno trgovačko društvo, OIB 46736017727, Strojarska cesta 20,10000 Zagreb</item>
      <item>Vanda Kovačević Gelenčer, OIB 48951193011, A. Mihanovića 1/3,33000 Virovitica</item>
    </izvorni_sadrzaj>
    <derivirana_varijabla naziv="DomainObject.Predmet.SudioniciListAdressOIB_1">
      <item>THEA TEMIDA d.o.o. za trgovinu i usluge, OIB 52834659523, Augusta Šenoe 7,43000 Bjelovar</item>
      <item>Financijska agencija Zagreb, Ulica grada Vukovara 70,10000 Zagreb</item>
      <item>JUJNOVIĆ LUČIĆ MARKOVIĆ Odvjetničko društvo javno trgovačko društvo, OIB 46736017727, Strojarska cesta 20,10000 Zagreb</item>
      <item>Vanda Kovačević Gelenčer, OIB 48951193011, A. Mihanovića 1/3,33000 Virovitica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E166FD7-E950-4356-A570-E4FABCB8E63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650</properties:Words>
  <properties:Characters>3626</properties:Characters>
  <properties:Lines>94</properties:Lines>
  <properties:Paragraphs>31</properties:Paragraphs>
  <properties:TotalTime>4</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4305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2018-04-20T07:41:00Z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St-396/2017-33 / Odluka - Rješenje o obustavi predstečajnog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