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3fd1" w14:paraId="e833fd1" w:rsidRDefault="009A280B" w:rsidP="001F35DF" w:rsidR="001F35DF" w:rsidRPr="00716B10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716B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716B10">
      <w:pPr>
        <w:jc w:val="center"/>
        <w:rPr>
          <w:color w:val="000000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716B10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716B10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630E6C" w:rsidRPr="00716B10">
        <w:rPr>
          <w:rFonts w:hAnsi="Times New Roman" w:ascii="Times New Roman"/>
          <w:color w:val="000000"/>
          <w:szCs w:val="24"/>
          <w:lang w:val="hr-HR"/>
        </w:rPr>
        <w:t>SEKUNDA TT d.o.o., za usluge, Zagreb, Vrisnička 14, OIB:71581709542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1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ožujka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2017</w:t>
      </w:r>
      <w:r w:rsidRPr="00716B10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F004A3" w:rsidP="001F35DF" w:rsidR="00F004A3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716B10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630E6C" w:rsidR="003500A5" w:rsidRPr="00716B10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630E6C" w:rsidRPr="00716B10">
        <w:rPr>
          <w:rFonts w:hAnsi="Times New Roman" w:ascii="Times New Roman"/>
          <w:color w:val="000000"/>
          <w:szCs w:val="24"/>
          <w:lang w:val="hr-HR"/>
        </w:rPr>
        <w:t xml:space="preserve">SEKUNDA TT d.o.o., za usluge, Zagreb, Vrisnička 14, OIB:71581709542, 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za privremenog stečajnog upravitelja imenuje se </w:t>
      </w:r>
      <w:r w:rsidR="00630E6C" w:rsidRPr="00716B10">
        <w:rPr>
          <w:rFonts w:hAnsi="Times New Roman" w:ascii="Times New Roman"/>
          <w:color w:val="000000"/>
          <w:szCs w:val="24"/>
          <w:lang w:val="hr-HR"/>
        </w:rPr>
        <w:t>Krešimir Panjaković, Osijek, Gornjodravska obala 89a, OIB:39814088271.</w:t>
      </w:r>
    </w:p>
    <w:p w:rsidRDefault="004045BE" w:rsidP="004045BE" w:rsidR="004045BE" w:rsidRPr="00716B10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3500A5" w:rsidRPr="00716B10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716B10">
        <w:rPr>
          <w:rFonts w:hAnsi="Times New Roman" w:ascii="Times New Roman"/>
          <w:color w:val="000000"/>
          <w:szCs w:val="24"/>
          <w:lang w:val="hr-HR"/>
        </w:rPr>
        <w:t>i kazna zatvora, sukladno čl. 11</w:t>
      </w:r>
      <w:r w:rsidRPr="00716B10">
        <w:rPr>
          <w:rFonts w:hAnsi="Times New Roman" w:ascii="Times New Roman"/>
          <w:color w:val="000000"/>
          <w:szCs w:val="24"/>
          <w:lang w:val="hr-HR"/>
        </w:rPr>
        <w:t>7.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>,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>a u svezi s čl. 177. i 178.</w:t>
      </w:r>
      <w:r w:rsidR="004045BE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16B10">
        <w:rPr>
          <w:rFonts w:hAnsi="Times New Roman" w:ascii="Times New Roman"/>
          <w:color w:val="000000"/>
          <w:szCs w:val="24"/>
          <w:lang w:val="hr-HR"/>
        </w:rPr>
        <w:t>Stečajnog zakona.</w:t>
      </w:r>
    </w:p>
    <w:p w:rsidRDefault="003500A5" w:rsidP="003500A5" w:rsidR="003500A5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3500A5" w:rsidRPr="00716B10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716B10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u roku od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20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dana ispitati da li kod dužnika i nadalje 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716B10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716B10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716B10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3500A5" w:rsidR="001F35DF" w:rsidRPr="00716B10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716B10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716B10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D12560" w:rsidR="00D12560" w:rsidRPr="00716B10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26932" w:rsidP="001F35DF" w:rsidR="001F35DF" w:rsidRPr="00716B10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>18</w:t>
      </w:r>
      <w:r w:rsidR="00B13BA9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>travnja</w:t>
      </w:r>
      <w:r w:rsidR="004045BE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2017</w:t>
      </w:r>
      <w:r w:rsidR="00776BF7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r w:rsidR="00630E6C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r w:rsidR="00B13BA9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="00630E6C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>15</w:t>
      </w:r>
      <w:r w:rsidR="00776BF7" w:rsidRPr="00716B10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1F35DF" w:rsidP="001F35DF" w:rsidR="001F35DF" w:rsidRPr="00716B10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6F415A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716B10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>, soba 91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716B10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716B10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716B10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716B10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BB0552" w:rsidP="003500A5" w:rsidR="00BB0552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3500A5" w:rsidR="003500A5" w:rsidRPr="00716B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716B10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3500A5" w:rsidRPr="00716B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716B10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3500A5" w:rsidRPr="00716B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716B10">
        <w:rPr>
          <w:rFonts w:hAnsi="Times New Roman" w:ascii="Times New Roman"/>
          <w:color w:val="000000"/>
          <w:szCs w:val="24"/>
          <w:lang w:val="hr-HR"/>
        </w:rPr>
        <w:t>užnik</w:t>
      </w:r>
    </w:p>
    <w:p w:rsidRDefault="00826932" w:rsidP="003500A5" w:rsidR="008942A6" w:rsidRPr="00716B10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Zakonski zastupnik dužnika</w:t>
      </w:r>
      <w:r w:rsidR="003500A5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1855A6" w:rsidP="001F35DF" w:rsidR="001855A6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Obrazloženje:</w:t>
      </w:r>
    </w:p>
    <w:p w:rsidRDefault="00497EED" w:rsidP="001F35DF" w:rsidR="00497EED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630E6C" w:rsidR="00630E6C" w:rsidRPr="00716B10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="00630E6C" w:rsidRPr="00716B10">
        <w:rPr>
          <w:rFonts w:hAnsi="Times New Roman" w:ascii="Times New Roman"/>
          <w:color w:val="000000"/>
          <w:szCs w:val="24"/>
          <w:lang w:val="hr-HR"/>
        </w:rPr>
        <w:t>Financijska agencija, Regionalni centar Zagreb, podnijela je ovom sudu prijedlog za otvaranje stečajnog postupka nad dužnikom SEKUNDA TT d.o.o., za usluge, Zagreb, Vrisnička 14, OIB:71581709542.</w:t>
      </w:r>
    </w:p>
    <w:p w:rsidRDefault="00630E6C" w:rsidP="00630E6C" w:rsidR="00630E6C" w:rsidRPr="00716B10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30E6C" w:rsidP="00630E6C" w:rsidR="00630E6C" w:rsidRPr="00716B10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 xml:space="preserve">Financijska agencija, kao predlagatelj, navela je u prijedlogu za otvaranje stečajnog postupka kako dužnik na dan 24. prosinca 2015. u Očevidniku redoslijeda osnova za plaćanje ima evidentirane neizvršene osnove za plaćanje u neprekinutom razdoblju od 120 dana, u ukupnom iznosu od 2.540,00 kn, kao i da dužnik ima 3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D01C1" w:rsidP="00630E6C" w:rsidR="006D01C1" w:rsidRPr="00716B10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Člankom 2. st.</w:t>
      </w:r>
      <w:r w:rsidR="00630E6C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716B10">
        <w:rPr>
          <w:rFonts w:hAnsi="Times New Roman" w:ascii="Times New Roman"/>
          <w:color w:val="000000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D01C1" w:rsidP="006D01C1" w:rsidR="00826932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 nitko od uredno pozvanih osoba nije pristupio, a zakonski zastupnik dužnika nije postupio po nalogu iz Zaključka od 30. siječnja 2017., odnosno, nije dostavio pisano izvješće o financijsko gospodarskom stanju dužnika, kao ni ovjerovljeni prokazni popis imovine.</w:t>
      </w:r>
    </w:p>
    <w:p w:rsidRDefault="00826932" w:rsidP="00826932" w:rsidR="00826932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 xml:space="preserve"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</w:t>
      </w:r>
      <w:r w:rsidR="006D01C1" w:rsidRPr="00716B10">
        <w:rPr>
          <w:rFonts w:hAnsi="Times New Roman" w:ascii="Times New Roman"/>
          <w:color w:val="000000"/>
          <w:szCs w:val="24"/>
          <w:lang w:val="hr-HR"/>
        </w:rPr>
        <w:t xml:space="preserve">sukladno čl. 132. SZ-a, </w:t>
      </w:r>
      <w:r w:rsidRPr="00716B10">
        <w:rPr>
          <w:rFonts w:hAnsi="Times New Roman" w:ascii="Times New Roman"/>
          <w:color w:val="000000"/>
          <w:szCs w:val="24"/>
          <w:lang w:val="hr-HR"/>
        </w:rPr>
        <w:t>odnosno odlučiti o daljnjem tijeku ovog postupka.</w:t>
      </w:r>
    </w:p>
    <w:p w:rsidRDefault="00826932" w:rsidP="00826932" w:rsidR="00826932" w:rsidRPr="00716B10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527EF" w:rsidP="001F35DF" w:rsidR="00F527EF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716B10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01</w:t>
      </w:r>
      <w:r w:rsidR="002178F1" w:rsidRPr="00716B10">
        <w:rPr>
          <w:rFonts w:hAnsi="Times New Roman" w:ascii="Times New Roman"/>
          <w:color w:val="000000"/>
          <w:szCs w:val="24"/>
          <w:lang w:val="hr-HR"/>
        </w:rPr>
        <w:t>.</w:t>
      </w:r>
      <w:r w:rsidR="003A4AEA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ožujka</w:t>
      </w:r>
      <w:r w:rsidR="003A4AEA" w:rsidRPr="00716B10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42A6" w:rsidRPr="00716B10">
        <w:rPr>
          <w:rFonts w:hAnsi="Times New Roman" w:ascii="Times New Roman"/>
          <w:color w:val="000000"/>
          <w:szCs w:val="24"/>
          <w:lang w:val="hr-HR"/>
        </w:rPr>
        <w:t>201</w:t>
      </w:r>
      <w:r w:rsidR="00826932" w:rsidRPr="00716B10">
        <w:rPr>
          <w:rFonts w:hAnsi="Times New Roman" w:ascii="Times New Roman"/>
          <w:color w:val="000000"/>
          <w:szCs w:val="24"/>
          <w:lang w:val="hr-HR"/>
        </w:rPr>
        <w:t>7</w:t>
      </w:r>
      <w:r w:rsidRPr="00716B10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B0552" w:rsidP="00776BF7" w:rsidR="00BB0552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BB0552" w:rsidP="00776BF7" w:rsidR="00BB0552" w:rsidRPr="00716B1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1F35DF" w:rsidR="007D4412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716B10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="00762EAC" w:rsidRPr="00716B10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Pr="00716B10">
        <w:rPr>
          <w:rFonts w:hAnsi="Times New Roman" w:ascii="Times New Roman"/>
          <w:color w:val="000000"/>
          <w:szCs w:val="24"/>
          <w:lang w:val="hr-HR"/>
        </w:rPr>
        <w:t>SUDAC:</w:t>
      </w:r>
    </w:p>
    <w:p w:rsidRDefault="00103721" w:rsidP="00BB0552" w:rsidR="00762EAC" w:rsidRPr="00716B10">
      <w:pPr>
        <w:jc w:val="both"/>
        <w:rPr>
          <w:rFonts w:hAnsi="Times New Roman" w:ascii="Times New Roman"/>
          <w:color w:val="000000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</w:r>
      <w:r w:rsidRPr="00716B10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762EAC" w:rsidRPr="00716B10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5D0406" w:rsidRPr="00716B10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7158AD" w:rsidRPr="00716B10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840182" w:rsidP="001F35DF" w:rsidR="00840182" w:rsidRPr="00716B1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58AD" w:rsidP="007F0C2B" w:rsidR="007158AD" w:rsidRPr="00716B10">
      <w:pPr>
        <w:ind w:left="4332"/>
        <w:rPr>
          <w:rFonts w:hAnsi="Times New Roman" w:ascii="Times New Roman"/>
          <w:color w:val="000000"/>
        </w:rPr>
      </w:pPr>
      <w:r w:rsidRPr="00716B10">
        <w:rPr>
          <w:rFonts w:hAnsi="Times New Roman" w:ascii="Times New Roman"/>
          <w:color w:val="000000"/>
        </w:rPr>
        <w:t xml:space="preserve">              Za točnost otpravka-ovlašteni službenik:</w:t>
      </w:r>
    </w:p>
    <w:p w:rsidRDefault="007158AD" w:rsidP="007F0C2B" w:rsidR="007158AD" w:rsidRPr="00716B10">
      <w:pPr>
        <w:jc w:val="both"/>
        <w:rPr>
          <w:rFonts w:hAnsi="Times New Roman" w:ascii="Times New Roman"/>
          <w:color w:val="000000"/>
        </w:rPr>
      </w:pPr>
      <w:r w:rsidRPr="00716B10">
        <w:rPr>
          <w:rFonts w:hAnsi="Times New Roman" w:ascii="Times New Roman"/>
          <w:color w:val="000000"/>
        </w:rPr>
        <w:t xml:space="preserve">  </w:t>
      </w:r>
      <w:r w:rsidRPr="00716B10">
        <w:rPr>
          <w:rFonts w:hAnsi="Times New Roman" w:ascii="Times New Roman"/>
          <w:color w:val="000000"/>
        </w:rPr>
        <w:tab/>
      </w:r>
      <w:r w:rsidRPr="00716B10">
        <w:rPr>
          <w:rFonts w:hAnsi="Times New Roman" w:ascii="Times New Roman"/>
          <w:color w:val="000000"/>
        </w:rPr>
        <w:tab/>
      </w:r>
      <w:r w:rsidRPr="00716B10">
        <w:rPr>
          <w:rFonts w:hAnsi="Times New Roman" w:ascii="Times New Roman"/>
          <w:color w:val="000000"/>
        </w:rPr>
        <w:tab/>
      </w:r>
      <w:r w:rsidRPr="00716B10">
        <w:rPr>
          <w:rFonts w:hAnsi="Times New Roman" w:ascii="Times New Roman"/>
          <w:color w:val="000000"/>
        </w:rPr>
        <w:tab/>
      </w:r>
      <w:r w:rsidRPr="00716B10">
        <w:rPr>
          <w:rFonts w:hAnsi="Times New Roman" w:ascii="Times New Roman"/>
          <w:color w:val="000000"/>
        </w:rPr>
        <w:tab/>
        <w:t xml:space="preserve">                                             (Valentina Kranjčić)</w:t>
      </w:r>
    </w:p>
    <w:p w:rsidRDefault="00630E6C" w:rsidP="001F35DF" w:rsidR="00630E6C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705E5" w:rsidP="001F35DF" w:rsidR="00103721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716B10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716B1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716B10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716B10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716B10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716B10">
      <w:pPr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716B10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716B10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55491" w:rsidP="00BB0552" w:rsidR="00855491" w:rsidRPr="00716B10">
      <w:pPr>
        <w:ind w:left="142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B0552" w:rsidP="00BB0552" w:rsidR="00BB0552" w:rsidRPr="00716B10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716B10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630E6C" w:rsidP="00BB0552" w:rsidR="00630E6C" w:rsidRPr="00716B10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716B10">
        <w:rPr>
          <w:rFonts w:hAnsi="Times New Roman" w:ascii="Times New Roman"/>
          <w:color w:val="FFFFFF"/>
          <w:szCs w:val="24"/>
          <w:lang w:val="hr-HR"/>
        </w:rPr>
        <w:t xml:space="preserve">Ministarstvo pravosuđa RH </w:t>
      </w:r>
    </w:p>
    <w:p w:rsidRDefault="00BB0552" w:rsidP="00762EAC" w:rsidR="00BB0552" w:rsidRPr="00716B10">
      <w:pPr>
        <w:rPr>
          <w:rFonts w:hAnsi="Times New Roman" w:ascii="Times New Roman"/>
          <w:color w:val="FFFFFF"/>
          <w:szCs w:val="24"/>
          <w:lang w:val="hr-HR"/>
        </w:rPr>
      </w:pPr>
    </w:p>
    <w:sectPr w:rsidSect="00776BF7" w:rsidR="00BB0552" w:rsidRPr="00716B1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 w:rsidRPr="00716B10">
      <w:pPr>
        <w:rPr>
          <w:color w:val="000000"/>
        </w:rPr>
      </w:pPr>
      <w:r w:rsidRPr="00716B10">
        <w:rPr>
          <w:color w:val="000000"/>
        </w:rPr>
        <w:separator/>
      </w:r>
    </w:p>
  </w:endnote>
  <w:endnote w:id="0" w:type="continuationSeparator">
    <w:p w:rsidRDefault="00BF7CD1" w:rsidR="00BF7CD1" w:rsidRPr="00716B10">
      <w:pPr>
        <w:rPr>
          <w:color w:val="000000"/>
        </w:rPr>
      </w:pPr>
      <w:r w:rsidRPr="00716B1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 w:rsidRPr="00716B10">
      <w:pPr>
        <w:rPr>
          <w:color w:val="000000"/>
        </w:rPr>
      </w:pPr>
      <w:r w:rsidRPr="00716B10">
        <w:rPr>
          <w:color w:val="000000"/>
        </w:rPr>
        <w:separator/>
      </w:r>
    </w:p>
  </w:footnote>
  <w:footnote w:id="0" w:type="continuationSeparator">
    <w:p w:rsidRDefault="00BF7CD1" w:rsidR="00BF7CD1" w:rsidRPr="00716B10">
      <w:pPr>
        <w:rPr>
          <w:color w:val="000000"/>
        </w:rPr>
      </w:pPr>
      <w:r w:rsidRPr="00716B1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16B1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16B10">
      <w:rPr>
        <w:rStyle w:val="Brojstranice"/>
        <w:color w:val="000000"/>
      </w:rPr>
      <w:fldChar w:fldCharType="begin"/>
    </w:r>
    <w:r w:rsidRPr="00716B10">
      <w:rPr>
        <w:rStyle w:val="Brojstranice"/>
        <w:color w:val="000000"/>
      </w:rPr>
      <w:instrText xml:space="preserve">PAGE  </w:instrText>
    </w:r>
    <w:r w:rsidRPr="00716B10">
      <w:rPr>
        <w:rStyle w:val="Brojstranice"/>
        <w:color w:val="000000"/>
      </w:rPr>
      <w:fldChar w:fldCharType="end"/>
    </w:r>
  </w:p>
  <w:p w:rsidRDefault="00704B09" w:rsidR="00704B09" w:rsidRPr="00716B10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16B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716B10">
      <w:rPr>
        <w:rStyle w:val="Brojstranice"/>
        <w:rFonts w:hAnsi="Times New Roman" w:ascii="Times New Roman"/>
        <w:color w:val="000000"/>
      </w:rPr>
      <w:fldChar w:fldCharType="begin"/>
    </w:r>
    <w:r w:rsidRPr="00716B10">
      <w:rPr>
        <w:rStyle w:val="Brojstranice"/>
        <w:rFonts w:hAnsi="Times New Roman" w:ascii="Times New Roman"/>
        <w:color w:val="000000"/>
      </w:rPr>
      <w:instrText xml:space="preserve">PAGE  </w:instrText>
    </w:r>
    <w:r w:rsidRPr="00716B10">
      <w:rPr>
        <w:rStyle w:val="Brojstranice"/>
        <w:rFonts w:hAnsi="Times New Roman" w:ascii="Times New Roman"/>
        <w:color w:val="000000"/>
      </w:rPr>
      <w:fldChar w:fldCharType="separate"/>
    </w:r>
    <w:r w:rsidR="00716B10">
      <w:rPr>
        <w:rStyle w:val="Brojstranice"/>
        <w:rFonts w:hAnsi="Times New Roman" w:ascii="Times New Roman"/>
        <w:noProof/>
        <w:color w:val="000000"/>
      </w:rPr>
      <w:t>- 2 -</w:t>
    </w:r>
    <w:r w:rsidRPr="00716B10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716B10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r w:rsidRPr="00716B10">
      <w:rPr>
        <w:rFonts w:hAnsi="Times New Roman" w:ascii="Times New Roman"/>
        <w:color w:val="000000"/>
        <w:szCs w:val="24"/>
        <w:lang w:val="hr-HR"/>
      </w:rPr>
      <w:t>20</w:t>
    </w:r>
    <w:r w:rsidR="003500A5" w:rsidRPr="00716B10">
      <w:rPr>
        <w:rFonts w:hAnsi="Times New Roman" w:ascii="Times New Roman"/>
        <w:color w:val="000000"/>
        <w:szCs w:val="24"/>
        <w:lang w:val="hr-HR"/>
      </w:rPr>
      <w:t>. St-</w:t>
    </w:r>
    <w:r w:rsidR="00630E6C" w:rsidRPr="00716B10">
      <w:rPr>
        <w:rFonts w:hAnsi="Times New Roman" w:ascii="Times New Roman"/>
        <w:color w:val="000000"/>
        <w:szCs w:val="24"/>
        <w:lang w:val="hr-HR"/>
      </w:rPr>
      <w:t>9180</w:t>
    </w:r>
    <w:r w:rsidR="003500A5" w:rsidRPr="00716B10">
      <w:rPr>
        <w:rFonts w:hAnsi="Times New Roman" w:ascii="Times New Roman"/>
        <w:color w:val="000000"/>
        <w:szCs w:val="24"/>
        <w:lang w:val="hr-HR"/>
      </w:rPr>
      <w:t>/1</w:t>
    </w:r>
    <w:r w:rsidR="00D12560" w:rsidRPr="00716B10">
      <w:rPr>
        <w:rFonts w:hAnsi="Times New Roman" w:ascii="Times New Roman"/>
        <w:color w:val="000000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716B10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3500A5" w:rsidRPr="00716B10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716B10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716B10">
      <w:rPr>
        <w:rFonts w:hAnsi="Times New Roman" w:ascii="Times New Roman"/>
        <w:color w:val="000000"/>
        <w:szCs w:val="24"/>
        <w:lang w:val="hr-HR"/>
      </w:rPr>
      <w:tab/>
    </w:r>
    <w:r w:rsidRPr="00716B10">
      <w:rPr>
        <w:rFonts w:hAnsi="Times New Roman" w:ascii="Times New Roman"/>
        <w:color w:val="000000"/>
        <w:szCs w:val="24"/>
        <w:lang w:val="hr-HR"/>
      </w:rPr>
      <w:tab/>
    </w:r>
    <w:r w:rsidR="00AC404F" w:rsidRPr="00716B10">
      <w:rPr>
        <w:rFonts w:hAnsi="Times New Roman" w:ascii="Times New Roman"/>
        <w:color w:val="000000"/>
        <w:szCs w:val="24"/>
        <w:lang w:val="hr-HR"/>
      </w:rPr>
      <w:t>20.</w:t>
    </w:r>
    <w:r w:rsidR="00704B09" w:rsidRPr="00716B10">
      <w:rPr>
        <w:rFonts w:hAnsi="Times New Roman" w:ascii="Times New Roman"/>
        <w:color w:val="000000"/>
        <w:szCs w:val="24"/>
        <w:lang w:val="hr-HR"/>
      </w:rPr>
      <w:t>St-</w:t>
    </w:r>
    <w:r w:rsidR="00630E6C" w:rsidRPr="00716B10">
      <w:rPr>
        <w:rFonts w:hAnsi="Times New Roman" w:ascii="Times New Roman"/>
        <w:color w:val="000000"/>
        <w:szCs w:val="24"/>
        <w:lang w:val="hr-HR"/>
      </w:rPr>
      <w:t>9180</w:t>
    </w:r>
    <w:r w:rsidR="00606EE9" w:rsidRPr="00716B10">
      <w:rPr>
        <w:rFonts w:hAnsi="Times New Roman" w:ascii="Times New Roman"/>
        <w:color w:val="000000"/>
        <w:szCs w:val="24"/>
        <w:lang w:val="hr-HR"/>
      </w:rPr>
      <w:t>/</w:t>
    </w:r>
    <w:r w:rsidR="00D12560" w:rsidRPr="00716B10">
      <w:rPr>
        <w:rFonts w:hAnsi="Times New Roman" w:ascii="Times New Roman"/>
        <w:color w:val="000000"/>
        <w:szCs w:val="24"/>
        <w:lang w:val="hr-HR"/>
      </w:rPr>
      <w:t>15</w:t>
    </w:r>
  </w:p>
  <w:p w:rsidRDefault="00E95B51" w:rsidR="00E95B51" w:rsidRPr="00716B10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E95B51" w:rsidR="00E95B51" w:rsidRPr="00716B10">
    <w:pPr>
      <w:pStyle w:val="Zaglavlje"/>
      <w:rPr>
        <w:rFonts w:hAnsi="Times New Roman" w:ascii="Times New Roman"/>
        <w:color w:val="000000"/>
        <w:sz w:val="20"/>
        <w:lang w:val="hr-HR"/>
      </w:rPr>
    </w:pPr>
  </w:p>
  <w:p w:rsidRDefault="001855A6" w:rsidR="001855A6" w:rsidRPr="00716B10">
    <w:pPr>
      <w:rPr>
        <w:noProof/>
        <w:color w:val="000000"/>
        <w:lang w:val="hr-HR"/>
      </w:rPr>
    </w:pPr>
    <w:r w:rsidRPr="00716B1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716B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716B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716B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716B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716B10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716B10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716B10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716B10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716B10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716B10">
    <w:pPr>
      <w:pStyle w:val="Zaglavlje"/>
      <w:ind w:left="426"/>
      <w:rPr>
        <w:color w:val="000000"/>
        <w:sz w:val="20"/>
        <w:lang w:val="hr-HR"/>
      </w:rPr>
    </w:pPr>
    <w:r w:rsidRPr="00716B10">
      <w:rPr>
        <w:rFonts w:hAnsi="Times New Roman" w:ascii="Times New Roman"/>
        <w:color w:val="000000"/>
        <w:lang w:val="hr-HR"/>
      </w:rPr>
      <w:t>Zagreb</w:t>
    </w:r>
    <w:r w:rsidR="003500A5" w:rsidRPr="00716B10">
      <w:rPr>
        <w:rFonts w:hAnsi="Times New Roman" w:ascii="Times New Roman"/>
        <w:color w:val="000000"/>
        <w:lang w:val="hr-HR"/>
      </w:rPr>
      <w:t>, Amruševa 2/II, desno (p.p. 432</w:t>
    </w:r>
    <w:r w:rsidRPr="00716B10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158AD"/>
    <w:rsid w:val="00716B10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5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8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8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8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8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5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8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8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8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8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9180</izvorni_sadrzaj>
    <derivirana_varijabla naziv="DomainObject.Predmet.Broj_1">9180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St-9180/2015</izvorni_sadrzaj>
    <derivirana_varijabla naziv="DomainObject.Predmet.OznakaBroj_1">St-9180/2015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SEKUNDA TT d.o.o.</izvorni_sadrzaj>
    <derivirana_varijabla naziv="DomainObject.Predmet.ProtustrankaFormated_1">  SEKUNDA TT d.o.o.</derivirana_varijabla>
  </DomainObject.Predmet.ProtustrankaFormated>
  <DomainObject.Predmet.ProtustrankaFormatedOIB>
    <izvorni_sadrzaj>  SEKUNDA TT d.o.o., OIB 71581709542</izvorni_sadrzaj>
    <derivirana_varijabla naziv="DomainObject.Predmet.ProtustrankaFormatedOIB_1">  SEKUNDA TT d.o.o., OIB 71581709542</derivirana_varijabla>
  </DomainObject.Predmet.ProtustrankaFormatedOIB>
  <DomainObject.Predmet.ProtustrankaFormatedWithAdress>
    <izvorni_sadrzaj> SEKUNDA TT d.o.o., Vrisnička 14, 10000 Zagreb</izvorni_sadrzaj>
    <derivirana_varijabla naziv="DomainObject.Predmet.ProtustrankaFormatedWithAdress_1"> SEKUNDA TT d.o.o., Vrisnička 14, 10000 Zagreb</derivirana_varijabla>
  </DomainObject.Predmet.ProtustrankaFormatedWithAdress>
  <DomainObject.Predmet.ProtustrankaFormatedWithAdressOIB>
    <izvorni_sadrzaj> SEKUNDA TT d.o.o., OIB 71581709542, Vrisnička 14, 10000 Zagreb</izvorni_sadrzaj>
    <derivirana_varijabla naziv="DomainObject.Predmet.ProtustrankaFormatedWithAdressOIB_1"> SEKUNDA TT d.o.o., OIB 71581709542, Vrisnička 14, 10000 Zagreb</derivirana_varijabla>
  </DomainObject.Predmet.ProtustrankaFormatedWithAdressOIB>
  <DomainObject.Predmet.ProtustrankaWithAdress>
    <izvorni_sadrzaj>SEKUNDA TT d.o.o. Vrisnička 14, 10000 Zagreb</izvorni_sadrzaj>
    <derivirana_varijabla naziv="DomainObject.Predmet.ProtustrankaWithAdress_1">SEKUNDA TT d.o.o. Vrisnička 14, 10000 Zagreb</derivirana_varijabla>
  </DomainObject.Predmet.ProtustrankaWithAdress>
  <DomainObject.Predmet.ProtustrankaWithAdressOIB>
    <izvorni_sadrzaj>SEKUNDA TT d.o.o., OIB 71581709542, Vrisnička 14, 10000 Zagreb</izvorni_sadrzaj>
    <derivirana_varijabla naziv="DomainObject.Predmet.ProtustrankaWithAdressOIB_1">SEKUNDA TT d.o.o., OIB 71581709542, Vrisnička 14, 10000 Zagreb</derivirana_varijabla>
  </DomainObject.Predmet.ProtustrankaWithAdressOIB>
  <DomainObject.Predmet.ProtustrankaNazivFormated>
    <izvorni_sadrzaj>SEKUNDA TT d.o.o.</izvorni_sadrzaj>
    <derivirana_varijabla naziv="DomainObject.Predmet.ProtustrankaNazivFormated_1">SEKUNDA TT d.o.o.</derivirana_varijabla>
  </DomainObject.Predmet.ProtustrankaNazivFormated>
  <DomainObject.Predmet.ProtustrankaNazivFormatedOIB>
    <izvorni_sadrzaj>SEKUNDA TT d.o.o., OIB 71581709542</izvorni_sadrzaj>
    <derivirana_varijabla naziv="DomainObject.Predmet.ProtustrankaNazivFormatedOIB_1">SEKUNDA TT d.o.o., OIB 71581709542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TT d.o.o.</item>
    </izvorni_sadrzaj>
    <derivirana_varijabla naziv="DomainObject.Predmet.ProtuStrankaListFormated_1">
      <item>SEKUNDA TT d.o.o.</item>
    </derivirana_varijabla>
  </DomainObject.Predmet.ProtuStrankaListFormated>
  <DomainObject.Predmet.ProtuStrankaListFormatedOIB>
    <izvorni_sadrzaj>
      <item>SEKUNDA TT d.o.o., OIB 71581709542</item>
    </izvorni_sadrzaj>
    <derivirana_varijabla naziv="DomainObject.Predmet.ProtuStrankaListFormatedOIB_1">
      <item>SEKUNDA TT d.o.o., OIB 71581709542</item>
    </derivirana_varijabla>
  </DomainObject.Predmet.ProtuStrankaListFormatedOIB>
  <DomainObject.Predmet.ProtuStrankaListFormatedWithAdress>
    <izvorni_sadrzaj>
      <item>SEKUNDA TT d.o.o., Vrisnička 14, 10000 Zagreb</item>
    </izvorni_sadrzaj>
    <derivirana_varijabla naziv="DomainObject.Predmet.ProtuStrankaListFormatedWithAdress_1">
      <item>SEKUNDA TT d.o.o., Vrisnička 14, 10000 Zagreb</item>
    </derivirana_varijabla>
  </DomainObject.Predmet.ProtuStrankaListFormatedWithAdress>
  <DomainObject.Predmet.ProtuStrankaListFormatedWithAdressOIB>
    <izvorni_sadrzaj>
      <item>SEKUNDA TT d.o.o., OIB 71581709542, Vrisnička 14, 10000 Zagreb</item>
    </izvorni_sadrzaj>
    <derivirana_varijabla naziv="DomainObject.Predmet.ProtuStrankaListFormatedWithAdressOIB_1">
      <item>SEKUNDA TT d.o.o., OIB 71581709542, Vrisnička 14, 10000 Zagreb</item>
    </derivirana_varijabla>
  </DomainObject.Predmet.ProtuStrankaListFormatedWithAdressOIB>
  <DomainObject.Predmet.ProtuStrankaListNazivFormated>
    <izvorni_sadrzaj>
      <item>SEKUNDA TT d.o.o.</item>
    </izvorni_sadrzaj>
    <derivirana_varijabla naziv="DomainObject.Predmet.ProtuStrankaListNazivFormated_1">
      <item>SEKUNDA TT d.o.o.</item>
    </derivirana_varijabla>
  </DomainObject.Predmet.ProtuStrankaListNazivFormated>
  <DomainObject.Predmet.ProtuStrankaListNazivFormatedOIB>
    <izvorni_sadrzaj>
      <item>SEKUNDA TT d.o.o., OIB 71581709542</item>
    </izvorni_sadrzaj>
    <derivirana_varijabla naziv="DomainObject.Predmet.ProtuStrankaListNazivFormatedOIB_1">
      <item>SEKUNDA TT d.o.o., OIB 71581709542</item>
    </derivirana_varijabla>
  </DomainObject.Predmet.ProtuStrankaListNazivFormatedOIB>
  <DomainObject.Predmet.OstaliListFormated>
    <izvorni_sadrzaj>
      <item>Mirko Pick</item>
    </izvorni_sadrzaj>
    <derivirana_varijabla naziv="DomainObject.Predmet.OstaliListFormated_1">
      <item>Mirko Pick</item>
    </derivirana_varijabla>
  </DomainObject.Predmet.OstaliListFormated>
  <DomainObject.Predmet.OstaliListFormatedOIB>
    <izvorni_sadrzaj>
      <item>Mirko Pick, OIB 31315994445</item>
    </izvorni_sadrzaj>
    <derivirana_varijabla naziv="DomainObject.Predmet.OstaliListFormatedOIB_1">
      <item>Mirko Pick, OIB 31315994445</item>
    </derivirana_varijabla>
  </DomainObject.Predmet.OstaliListFormatedOIB>
  <DomainObject.Predmet.OstaliListFormatedWithAdress>
    <izvorni_sadrzaj>
      <item>Mirko Pick, Branimira Gušića 12, 10000 Zagreb</item>
    </izvorni_sadrzaj>
    <derivirana_varijabla naziv="DomainObject.Predmet.OstaliListFormatedWithAdress_1">
      <item>Mirko Pick, Branimira Gušića 12, 10000 Zagreb</item>
    </derivirana_varijabla>
  </DomainObject.Predmet.OstaliListFormatedWithAdress>
  <DomainObject.Predmet.OstaliListFormatedWithAdressOIB>
    <izvorni_sadrzaj>
      <item>Mirko Pick, OIB 31315994445, Branimira Gušića 12, 10000 Zagreb</item>
    </izvorni_sadrzaj>
    <derivirana_varijabla naziv="DomainObject.Predmet.OstaliListFormatedWithAdressOIB_1">
      <item>Mirko Pick, OIB 31315994445, Branimira Gušića 12, 10000 Zagreb</item>
    </derivirana_varijabla>
  </DomainObject.Predmet.OstaliListFormatedWithAdressOIB>
  <DomainObject.Predmet.OstaliListNazivFormated>
    <izvorni_sadrzaj>
      <item>Mirko Pick</item>
    </izvorni_sadrzaj>
    <derivirana_varijabla naziv="DomainObject.Predmet.OstaliListNazivFormated_1">
      <item>Mirko Pick</item>
    </derivirana_varijabla>
  </DomainObject.Predmet.OstaliListNazivFormated>
  <DomainObject.Predmet.OstaliListNazivFormatedOIB>
    <izvorni_sadrzaj>
      <item>Mirko Pick, OIB 31315994445</item>
    </izvorni_sadrzaj>
    <derivirana_varijabla naziv="DomainObject.Predmet.OstaliListNazivFormatedOIB_1">
      <item>Mirko Pick, OIB 31315994445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TT d.o.o.</izvorni_sadrzaj>
    <derivirana_varijabla naziv="DomainObject.Predmet.ProtustrankaIDrugi_1">SEKUNDA 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TT d.o.o., OIB 71581709542, Vrisnička 14, 10000 Zagreb</izvorni_sadrzaj>
    <derivirana_varijabla naziv="DomainObject.Predmet.ProtustrankaIDrugiAdressOIB_1">SEKUNDA TT d.o.o., OIB 71581709542, Vrisnička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 TT d.o.o.</item>
      <item>Mirko Pick</item>
    </izvorni_sadrzaj>
    <derivirana_varijabla naziv="DomainObject.Predmet.SudioniciListNaziv_1">
      <item>FINA Regionalni centar Zagreb</item>
      <item>SEKUNDA TT d.o.o.</item>
      <item>Mirko Pick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izvorni_sadrzaj>
    <derivirana_varijabla naziv="DomainObject.Predmet.SudioniciListAdressOIB_1"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71581709542</item>
      <item>, OIB 31315994445</item>
    </izvorni_sadrzaj>
    <derivirana_varijabla naziv="DomainObject.Predmet.SudioniciListNazivOIB_1">
      <item>, OIB 85821130368</item>
      <item>, OIB 71581709542</item>
      <item>, OIB 31315994445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733</properties:Words>
  <properties:Characters>4148</properties:Characters>
  <properties:Lines>99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2017-03-01T13:30:00Z</dcterms:created>
  <dc:creator>Sudsko vijeæe</dc:creator>
  <cp:lastModifiedBy>Valentina Kranjčić</cp:lastModifiedBy>
  <cp:lastPrinted>2017-03-01T13:39:00Z</cp:lastPrinted>
  <dcterms:modified xmlns:xsi="http://www.w3.org/2001/XMLSchema-instance" xsi:type="dcterms:W3CDTF">2017-03-01T13:40:00Z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