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F636B" w:rsidR="003F636B">
        <w:tc>
          <w:tcPr>
            <w:tcW w:type="dxa" w:w="2829"/>
            <w:hideMark/>
          </w:tcPr>
          <w:p w:rsidRDefault="003F636B" w:rsidR="003F636B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36B" w:rsidR="003F636B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3F636B" w:rsidR="003F636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3F636B" w:rsidR="003F636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949fa2a" w14:paraId="949fa2a" w:rsidRDefault="003F636B" w:rsidP="003F636B" w:rsidR="003F636B">
      <w:pPr>
        <w:pStyle w:val="SudSjedite"/>
        <w15:collapsed w:val="false"/>
      </w:pPr>
    </w:p>
    <w:p w:rsidRDefault="003F636B" w:rsidP="003F636B" w:rsidR="003F636B">
      <w:pPr>
        <w:pStyle w:val="SudSjedite"/>
      </w:pPr>
      <w:r>
        <w:tab/>
      </w:r>
    </w:p>
    <w:p w:rsidRDefault="003F636B" w:rsidP="003F636B" w:rsidR="003F636B">
      <w:pPr>
        <w:spacing w:after="0"/>
        <w:jc w:val="center"/>
      </w:pPr>
      <w:r>
        <w:t>R E P U B L I K A      H R V A T S K A</w:t>
      </w:r>
    </w:p>
    <w:p w:rsidRDefault="003F636B" w:rsidP="003F636B" w:rsidR="003F636B">
      <w:pPr>
        <w:spacing w:after="0"/>
      </w:pPr>
    </w:p>
    <w:p w:rsidRDefault="003F636B" w:rsidP="003F636B" w:rsidR="003F636B">
      <w:pPr>
        <w:spacing w:after="0"/>
        <w:jc w:val="center"/>
      </w:pPr>
      <w:r>
        <w:t xml:space="preserve">R J E Š E N J E </w:t>
      </w:r>
    </w:p>
    <w:p w:rsidRDefault="003F636B" w:rsidP="003F636B" w:rsidR="003F636B">
      <w:pPr>
        <w:spacing w:after="0"/>
        <w:jc w:val="center"/>
      </w:pPr>
    </w:p>
    <w:p w:rsidRDefault="003F636B" w:rsidP="003F636B" w:rsidR="003F636B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A81384" w:rsidP="00A81384" w:rsidR="00A81384">
      <w:pPr>
        <w:pStyle w:val="Odlomakpopisa"/>
        <w:ind w:firstLine="0" w:left="720"/>
      </w:pPr>
      <w:r>
        <w:t xml:space="preserve">- u </w:t>
      </w:r>
      <w:r w:rsidRPr="00C2698B">
        <w:t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</w:p>
    <w:p w:rsidRDefault="00A81384" w:rsidP="00A81384" w:rsidR="00A81384" w:rsidRPr="00C2698B">
      <w:pPr>
        <w:pStyle w:val="Odlomakpopisa"/>
        <w:ind w:firstLine="0" w:left="720"/>
      </w:pPr>
      <w:r w:rsidRPr="00A81384">
        <w:rPr>
          <w:b/>
        </w:rPr>
        <w:t>40. Suvlasnički dio: 136/5538 ETAŽNO VLASNIŠTVO (E-40) 1. STAN S1A-13</w:t>
      </w:r>
      <w:r w:rsidRPr="00C2698B">
        <w:t xml:space="preserve"> koji se nalazi u potkrovlju višestambene građevine dilatacija S1A u ul. Marije Jurić Zagorke 44 izgrađ. na čest. 376/6, a koji se sastoji od dnevnog boravka i kuhinje, kupaonice i izbe i na galeriji od predprostora sa stubištem, kupaonice i sobe neto korisne površine stambenog prostora P=62,90 m2 kojemu pripadaju sporedni dijelovi: lođa u potkrovlju neto korisne površine P=2,33 m2, nenatkriveni balkon u produžetku lođe u potkrovlju neto korisne površine P=1,04 m2 i spremište SpA-13 u podrumu neto korisne površine P=2,16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AC5116">
        <w:rPr>
          <w:rFonts w:cs="Times New Roman"/>
        </w:rPr>
        <w:t>356.25</w:t>
      </w:r>
      <w:r w:rsidR="00A81384">
        <w:rPr>
          <w:rFonts w:cs="Times New Roman"/>
        </w:rPr>
        <w:t>0</w:t>
      </w:r>
      <w:r w:rsidRPr="00302C3A">
        <w:rPr>
          <w:rFonts w:cs="Times New Roman"/>
        </w:rPr>
        <w:t>,00 kn.</w:t>
      </w:r>
    </w:p>
    <w:p w:rsidRDefault="00AC5116" w:rsidP="00AC5116" w:rsidR="00AC5116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AC5116">
        <w:rPr>
          <w:rFonts w:cs="Times New Roman"/>
        </w:rPr>
        <w:t>332.5</w:t>
      </w:r>
      <w:r w:rsidRPr="005F52AF">
        <w:rPr>
          <w:rFonts w:cs="Times New Roman"/>
        </w:rPr>
        <w:t xml:space="preserve">00,00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765</w:t>
      </w:r>
      <w:r w:rsidR="00CA1D4A">
        <w:rPr>
          <w:rFonts w:cs="Times New Roman"/>
        </w:rPr>
        <w:t>20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359</w:t>
      </w:r>
      <w:r w:rsidR="00CA1D4A">
        <w:rPr>
          <w:rFonts w:cs="Times New Roman"/>
        </w:rPr>
        <w:t>47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2935B2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3D2BC3">
        <w:rPr>
          <w:rFonts w:cs="Times New Roman"/>
        </w:rPr>
        <w:t>7652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3D2BC3">
        <w:rPr>
          <w:rFonts w:cs="Times New Roman"/>
        </w:rPr>
        <w:t>143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3D2BC3">
        <w:rPr>
          <w:rFonts w:cs="Times New Roman"/>
        </w:rPr>
        <w:t>356.250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3D2BC3">
        <w:rPr>
          <w:rFonts w:cs="Times New Roman"/>
        </w:rPr>
        <w:t>356.250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3D2BC3">
        <w:rPr>
          <w:rFonts w:cs="Times New Roman"/>
        </w:rPr>
        <w:t>23.750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3D2BC3">
        <w:rPr>
          <w:rFonts w:cs="Times New Roman"/>
        </w:rPr>
        <w:t>liku  kupovnine u  iznosu od 332.5</w:t>
      </w:r>
      <w:r w:rsidRPr="00FB365F">
        <w:rPr>
          <w:rFonts w:cs="Times New Roman"/>
        </w:rPr>
        <w:t>00,00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3D2BC3">
        <w:rPr>
          <w:rFonts w:cs="Times New Roman"/>
        </w:rPr>
        <w:t>332.500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3F636B" w:rsidP="003F636B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1C53FF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3F636B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 w:rsidRPr="00BA47D0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213351" w:rsidP="00213351" w:rsidR="00213351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213351" w:rsidP="00213351" w:rsidR="00213351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 sudu u Bjelovaru, Zemljišnoknjižni odjel Bjelovar, odmah radi zabilježbe rješenja o dosudi</w:t>
      </w:r>
    </w:p>
    <w:p w:rsidRDefault="00213351" w:rsidP="00213351" w:rsidR="00213351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Općinskom sudu u Bjelovaru, Zemljišnoknjižni odjel Bjelovar, po pravomoćnosti </w:t>
      </w:r>
    </w:p>
    <w:p w:rsidRDefault="00213351" w:rsidP="00564EDE" w:rsidR="00DA0242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</w:pPr>
      <w:r w:rsidRPr="003F636B">
        <w:rPr>
          <w:rFonts w:cs="Times New Roman"/>
        </w:rPr>
        <w:t>Financijska agencija Zagreb, Ulica grada Vukovara 70, nakon pravomoćnosti s klauzulom pravomoćnosti</w:t>
      </w:r>
    </w:p>
    <w:sectPr w:rsidSect="003F636B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8C21E9" w:rsidR="008C21E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5AF">
          <w:t>3</w:t>
        </w:r>
        <w:r>
          <w:fldChar w:fldCharType="end"/>
        </w:r>
      </w:p>
    </w:sdtContent>
  </w:sdt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9215598"/>
      <w:docPartObj>
        <w:docPartGallery w:val="Page Numbers (Top of Page)"/>
        <w:docPartUnique/>
      </w:docPartObj>
    </w:sdtPr>
    <w:sdtEndPr/>
    <w:sdtContent>
      <w:p w:rsidRDefault="003F636B" w:rsidR="003F63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5AF">
          <w:t>3</w:t>
        </w:r>
        <w:r>
          <w:fldChar w:fldCharType="end"/>
        </w:r>
      </w:p>
    </w:sdtContent>
  </w:sdt>
  <w:p w:rsidRDefault="003F636B" w:rsidR="008C21E9">
    <w:pPr>
      <w:pStyle w:val="Zaglavlje"/>
    </w:pPr>
    <w:r>
      <w:t>Poslovni broj: 4 St-252/16-145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3FF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335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5B2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BC3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36B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5AF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C43D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38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5116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D4A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57C79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6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E-40 - Stan potkrovlje</izvorni_sadrzaj>
    <derivirana_varijabla naziv="DomainObject.Primjedba_1">E-40 - Stan potkrovlje</derivirana_varijabla>
  </DomainObject.Primjedba>
  <DomainObject.Oznaka>
    <izvorni_sadrzaj>St-252/2016-145</izvorni_sadrzaj>
    <derivirana_varijabla naziv="DomainObject.Oznaka_1">St-252/2016-145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St-252/2016-145</izvorni_sadrzaj>
    <derivirana_varijabla naziv="DomainObject.PoslovniBrojDokumenta_1">St-252/2016-145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56E49-657C-44AB-BDB3-2746C19C2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1045</properties:Words>
  <properties:Characters>5623</properties:Characters>
  <properties:Lines>119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2018-07-11T11:00:00Z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2018-07-13T07:19:00Z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St-252/2016-145 / Odluka - Rješenje - dosuda (St-252-16-145-rješenje_o_dosudi_stan_u_potkrovlju_E-40__(t._1.g)-_11.7.18..docx)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