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2d64" w14:paraId="d442d64" w:rsidRDefault="009766F0" w:rsidP="009766F0" w:rsidR="009766F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66F0" w:rsidP="009766F0" w:rsidR="009766F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766F0" w:rsidP="009766F0" w:rsidR="009766F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766F0" w:rsidP="009766F0" w:rsidR="009766F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</w:t>
      </w:r>
    </w:p>
    <w:p w:rsidRDefault="009766F0" w:rsidP="009766F0" w:rsidR="009766F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766F0" w:rsidP="009766F0" w:rsidR="009766F0" w:rsidRPr="00A55F9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</w:rPr>
        <w:t>Trgovački sud u Zagrebu, po sudskoj savjetnici toga suda Tihani Božičević,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stečajnog postupka nad </w:t>
      </w:r>
      <w:r w:rsidRPr="00A55F9E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A55F9E" w:rsidRPr="00A55F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55F9E" w:rsidRPr="00A55F9E">
        <w:rPr>
          <w:rFonts w:cs="Times New Roman" w:hAnsi="Times New Roman" w:ascii="Times New Roman"/>
          <w:sz w:val="24"/>
          <w:szCs w:val="24"/>
        </w:rPr>
        <w:t>VK-AULAX d.o.o., Zagreb, Pičmanova 4, MBS: 080803213, OIB: 51482297682</w:t>
      </w:r>
      <w:r w:rsidRPr="00A55F9E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</w:t>
      </w:r>
      <w:r w:rsidR="00A55F9E" w:rsidRPr="00A55F9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A55F9E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2017. godine</w:t>
      </w: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766F0" w:rsidP="009766F0" w:rsidR="009766F0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Odbacuje se zahtjev za pokretanje skraćenog stečajnog postupka nad dužnikom</w:t>
      </w:r>
      <w:r w:rsidR="00A55F9E" w:rsidRPr="00A55F9E">
        <w:rPr>
          <w:rFonts w:cs="Times New Roman" w:hAnsi="Times New Roman" w:ascii="Times New Roman"/>
          <w:sz w:val="24"/>
          <w:szCs w:val="24"/>
        </w:rPr>
        <w:t xml:space="preserve"> VK-AULAX d.o.o., Zagreb, Pičmanova 4, MBS: 080803213, OIB: 51482297682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F80A76" w:rsidP="009766F0" w:rsidR="009766F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01</w:t>
      </w:r>
      <w:r w:rsidR="009766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prosinca</w:t>
      </w:r>
      <w:r w:rsidR="009766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9766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Financijska agencija (dalje: FINA) podnijela je ovom sudu zahtjev za provedbu skraćenog stečajnog postupka nad gore navedenom pravnom osobom, a temeljem čl. 429. i 444. Stečajnog zakona ("Narodne novine" broj: 71/15; dalje: SZ).</w:t>
      </w:r>
    </w:p>
    <w:p w:rsidRDefault="009766F0" w:rsidP="009766F0" w:rsidR="009766F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zahtjevu je navedeno kako dužnik na dan 1. rujna 2015., u Očevidniku redoslijeda osnova za plaćanje ima evidentirane neizvršene osnove za plaćan</w:t>
      </w:r>
      <w:r w:rsidR="00F80A7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u neprekinutom razdoblju od 596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dana u ukupnom iznosu od 1</w:t>
      </w:r>
      <w:r w:rsidR="00F80A7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80A7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338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F80A7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kao i da dužnik nema zaposlenih.</w:t>
      </w:r>
    </w:p>
    <w:p w:rsidRDefault="009766F0" w:rsidP="009766F0" w:rsidR="009766F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Uvidom u sudski registar, ovaj sud je utvrdio kako se nad dužnikom provodi postupak skupnog brisanja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čl. 70. st. 4. Zakona o sudskom registru ("Narodne novine" broj:  </w:t>
      </w:r>
      <w:hyperlink r:id="rId10" w:history="true" w:tooltip="zakon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57/1996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1/1998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30/1999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45/1999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54/2005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40/2007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91/2010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90/2011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148/2013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0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93/2014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110/2015</w:t>
        </w:r>
      </w:hyperlink>
      <w:r>
        <w:rPr>
          <w:rFonts w:cs="Times New Roman" w:hAnsi="Times New Roman" w:ascii="Times New Roman"/>
          <w:sz w:val="24"/>
          <w:szCs w:val="24"/>
        </w:rPr>
        <w:t>; dalje: ZSR)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odnosno pokrenut je drugi postupak radi brisanja dužnika iz sudskog registra. Zbog navedenog, nisu ispunjene pretpostavke za provedbu skraćenog stečajnog postupka nad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pa je ovaj sud riješio kao u izreci ovog rješenja.</w:t>
      </w: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</w:t>
      </w:r>
      <w:r w:rsidR="00A55F9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2017. godine</w:t>
      </w:r>
    </w:p>
    <w:p w:rsidRDefault="009766F0" w:rsidP="009766F0" w:rsidR="009766F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9766F0" w:rsidP="009766F0" w:rsidR="009766F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9766F0" w:rsidP="009766F0" w:rsidR="009766F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9766F0" w:rsidP="009766F0" w:rsidR="009766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766F0" w:rsidP="009766F0" w:rsidR="009766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766F0" w:rsidP="009766F0" w:rsidR="009766F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9766F0" w:rsidP="009766F0" w:rsidR="009766F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na adresu </w:t>
      </w:r>
    </w:p>
    <w:p w:rsidRDefault="009766F0" w:rsidP="009766F0" w:rsidR="009766F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- 15 dana</w:t>
      </w:r>
    </w:p>
    <w:p w:rsidRDefault="009766F0" w:rsidP="009766F0" w:rsidR="009766F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kal. 45 dana</w:t>
      </w:r>
    </w:p>
    <w:p w:rsidRDefault="000316FE" w:rsidR="000316FE"/>
    <w:sectPr w:rsidSect="00B01BD9" w:rsidR="000316FE">
      <w:headerReference w:type="default" r:id="rId22"/>
      <w:footerReference w:type="default" r:id="rId23"/>
      <w:headerReference w:type="first" r:id="rId24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F9E" w:rsidP="00A55F9E" w:rsidR="00A55F9E">
      <w:pPr>
        <w:spacing w:lineRule="auto" w:line="240" w:after="0"/>
      </w:pPr>
      <w:r>
        <w:separator/>
      </w:r>
    </w:p>
  </w:endnote>
  <w:endnote w:id="0" w:type="continuationSeparator">
    <w:p w:rsidRDefault="00A55F9E" w:rsidP="00A55F9E" w:rsidR="00A55F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686685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01BD9" w:rsidR="00B01BD9" w:rsidRPr="00B01BD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01BD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01BD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01BD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A258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01BD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01BD9" w:rsidR="00B01B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F9E" w:rsidP="00A55F9E" w:rsidR="00A55F9E">
      <w:pPr>
        <w:spacing w:lineRule="auto" w:line="240" w:after="0"/>
      </w:pPr>
      <w:r>
        <w:separator/>
      </w:r>
    </w:p>
  </w:footnote>
  <w:footnote w:id="0" w:type="continuationSeparator">
    <w:p w:rsidRDefault="00A55F9E" w:rsidP="00A55F9E" w:rsidR="00A55F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F9E" w:rsidP="00A55F9E" w:rsidR="00A55F9E" w:rsidRPr="00A55F9E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St-7476/2015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BD9" w:rsidP="00B01BD9" w:rsidR="00B01BD9" w:rsidRPr="00A55F9E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St-7476/2015</w:t>
    </w:r>
  </w:p>
  <w:p w:rsidRDefault="00B01BD9" w:rsidP="00B01BD9" w:rsidR="00B01BD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E529D5"/>
    <w:multiLevelType w:val="hybridMultilevel"/>
    <w:tmpl w:val="D32A9CB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69B7"/>
    <w:rsid w:val="000316FE"/>
    <w:rsid w:val="000669B7"/>
    <w:rsid w:val="000A2589"/>
    <w:rsid w:val="001D0364"/>
    <w:rsid w:val="002D3D38"/>
    <w:rsid w:val="00487127"/>
    <w:rsid w:val="005B1B4E"/>
    <w:rsid w:val="00845B4F"/>
    <w:rsid w:val="009766F0"/>
    <w:rsid w:val="00A1281B"/>
    <w:rsid w:val="00A55F9E"/>
    <w:rsid w:val="00B01BD9"/>
    <w:rsid w:val="00DC5853"/>
    <w:rsid w:val="00F8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66F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9766F0"/>
    <w:rPr>
      <w:strike w:val="false"/>
      <w:dstrike w:val="false"/>
      <w:color w:val="159BC4"/>
      <w:u w:val="none"/>
      <w:effect w:val="none"/>
    </w:rPr>
  </w:style>
  <w:style w:styleId="Bezproreda" w:type="paragraph">
    <w:name w:val="No Spacing"/>
    <w:uiPriority w:val="1"/>
    <w:qFormat/>
    <w:rsid w:val="009766F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766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66F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66F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5F9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55F9E"/>
  </w:style>
  <w:style w:styleId="Podnoje" w:type="paragraph">
    <w:name w:val="footer"/>
    <w:basedOn w:val="Normal"/>
    <w:link w:val="PodnojeChar"/>
    <w:uiPriority w:val="99"/>
    <w:unhideWhenUsed/>
    <w:rsid w:val="00A55F9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55F9E"/>
  </w:style>
  <w:style w:styleId="Tekstrezerviranogmjesta" w:type="character">
    <w:name w:val="Placeholder Text"/>
    <w:basedOn w:val="Zadanifontodlomka"/>
    <w:uiPriority w:val="99"/>
    <w:semiHidden/>
    <w:rsid w:val="000A2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5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A258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A25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A25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66F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9766F0"/>
    <w:rPr>
      <w:strike w:val="0"/>
      <w:dstrike w:val="0"/>
      <w:color w:val="159BC4"/>
      <w:u w:val="none"/>
      <w:effect w:val="none"/>
    </w:rPr>
  </w:style>
  <w:style w:styleId="Bezproreda" w:type="paragraph">
    <w:name w:val="No Spacing"/>
    <w:uiPriority w:val="1"/>
    <w:qFormat/>
    <w:rsid w:val="009766F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766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66F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66F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5F9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55F9E"/>
  </w:style>
  <w:style w:styleId="Podnoje" w:type="paragraph">
    <w:name w:val="footer"/>
    <w:basedOn w:val="Normal"/>
    <w:link w:val="PodnojeChar"/>
    <w:uiPriority w:val="99"/>
    <w:unhideWhenUsed/>
    <w:rsid w:val="00A55F9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55F9E"/>
  </w:style>
  <w:style w:styleId="Tekstrezerviranogmjesta" w:type="character">
    <w:name w:val="Placeholder Text"/>
    <w:basedOn w:val="Zadanifontodlomka"/>
    <w:uiPriority w:val="99"/>
    <w:semiHidden/>
    <w:rsid w:val="000A2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5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A25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A25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A25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7684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7476</izvorni_sadrzaj>
    <derivirana_varijabla naziv="DomainObject.Predmet.Broj_1">7476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St-7476/2015</izvorni_sadrzaj>
    <derivirana_varijabla naziv="DomainObject.Predmet.OznakaBroj_1">St-7476/2015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VK-AULAX d.o.o.</izvorni_sadrzaj>
    <derivirana_varijabla naziv="DomainObject.Predmet.ProtustrankaFormated_1">  VK-AULAX d.o.o.</derivirana_varijabla>
  </DomainObject.Predmet.ProtustrankaFormated>
  <DomainObject.Predmet.ProtustrankaFormatedOIB>
    <izvorni_sadrzaj>  VK-AULAX d.o.o., OIB 51482297682</izvorni_sadrzaj>
    <derivirana_varijabla naziv="DomainObject.Predmet.ProtustrankaFormatedOIB_1">  VK-AULAX d.o.o., OIB 51482297682</derivirana_varijabla>
  </DomainObject.Predmet.ProtustrankaFormatedOIB>
  <DomainObject.Predmet.ProtustrankaFormatedWithAdress>
    <izvorni_sadrzaj> VK-AULAX d.o.o., Pičmanova 4, 10000 Zagreb</izvorni_sadrzaj>
    <derivirana_varijabla naziv="DomainObject.Predmet.ProtustrankaFormatedWithAdress_1"> VK-AULAX d.o.o., Pičmanova 4, 10000 Zagreb</derivirana_varijabla>
  </DomainObject.Predmet.ProtustrankaFormatedWithAdress>
  <DomainObject.Predmet.ProtustrankaFormatedWithAdressOIB>
    <izvorni_sadrzaj> VK-AULAX d.o.o., OIB 51482297682, Pičmanova 4, 10000 Zagreb</izvorni_sadrzaj>
    <derivirana_varijabla naziv="DomainObject.Predmet.ProtustrankaFormatedWithAdressOIB_1"> VK-AULAX d.o.o., OIB 51482297682, Pičmanova 4, 10000 Zagreb</derivirana_varijabla>
  </DomainObject.Predmet.ProtustrankaFormatedWithAdressOIB>
  <DomainObject.Predmet.ProtustrankaWithAdress>
    <izvorni_sadrzaj>VK-AULAX d.o.o. Pičmanova 4, 10000 Zagreb</izvorni_sadrzaj>
    <derivirana_varijabla naziv="DomainObject.Predmet.ProtustrankaWithAdress_1">VK-AULAX d.o.o. Pičmanova 4, 10000 Zagreb</derivirana_varijabla>
  </DomainObject.Predmet.ProtustrankaWithAdress>
  <DomainObject.Predmet.ProtustrankaWithAdressOIB>
    <izvorni_sadrzaj>VK-AULAX d.o.o., OIB 51482297682, Pičmanova 4, 10000 Zagreb</izvorni_sadrzaj>
    <derivirana_varijabla naziv="DomainObject.Predmet.ProtustrankaWithAdressOIB_1">VK-AULAX d.o.o., OIB 51482297682, Pičmanova 4, 10000 Zagreb</derivirana_varijabla>
  </DomainObject.Predmet.ProtustrankaWithAdressOIB>
  <DomainObject.Predmet.ProtustrankaNazivFormated>
    <izvorni_sadrzaj>VK-AULAX d.o.o.</izvorni_sadrzaj>
    <derivirana_varijabla naziv="DomainObject.Predmet.ProtustrankaNazivFormated_1">VK-AULAX d.o.o.</derivirana_varijabla>
  </DomainObject.Predmet.ProtustrankaNazivFormated>
  <DomainObject.Predmet.ProtustrankaNazivFormatedOIB>
    <izvorni_sadrzaj>VK-AULAX d.o.o., OIB 51482297682</izvorni_sadrzaj>
    <derivirana_varijabla naziv="DomainObject.Predmet.ProtustrankaNazivFormatedOIB_1">VK-AULAX d.o.o., OIB 51482297682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VK-AULAX d.o.o.</item>
    </izvorni_sadrzaj>
    <derivirana_varijabla naziv="DomainObject.Predmet.ProtuStrankaListFormated_1">
      <item>VK-AULAX d.o.o.</item>
    </derivirana_varijabla>
  </DomainObject.Predmet.ProtuStrankaListFormated>
  <DomainObject.Predmet.ProtuStrankaListFormatedOIB>
    <izvorni_sadrzaj>
      <item>VK-AULAX d.o.o., OIB 51482297682</item>
    </izvorni_sadrzaj>
    <derivirana_varijabla naziv="DomainObject.Predmet.ProtuStrankaListFormatedOIB_1">
      <item>VK-AULAX d.o.o., OIB 51482297682</item>
    </derivirana_varijabla>
  </DomainObject.Predmet.ProtuStrankaListFormatedOIB>
  <DomainObject.Predmet.ProtuStrankaListFormatedWithAdress>
    <izvorni_sadrzaj>
      <item>VK-AULAX d.o.o., Pičmanova 4, 10000 Zagreb</item>
    </izvorni_sadrzaj>
    <derivirana_varijabla naziv="DomainObject.Predmet.ProtuStrankaListFormatedWithAdress_1">
      <item>VK-AULAX d.o.o., Pičmanova 4, 10000 Zagreb</item>
    </derivirana_varijabla>
  </DomainObject.Predmet.ProtuStrankaListFormatedWithAdress>
  <DomainObject.Predmet.ProtuStrankaListFormatedWithAdressOIB>
    <izvorni_sadrzaj>
      <item>VK-AULAX d.o.o., OIB 51482297682, Pičmanova 4, 10000 Zagreb</item>
    </izvorni_sadrzaj>
    <derivirana_varijabla naziv="DomainObject.Predmet.ProtuStrankaListFormatedWithAdressOIB_1">
      <item>VK-AULAX d.o.o., OIB 51482297682, Pičmanova 4, 10000 Zagreb</item>
    </derivirana_varijabla>
  </DomainObject.Predmet.ProtuStrankaListFormatedWithAdressOIB>
  <DomainObject.Predmet.ProtuStrankaListNazivFormated>
    <izvorni_sadrzaj>
      <item>VK-AULAX d.o.o.</item>
    </izvorni_sadrzaj>
    <derivirana_varijabla naziv="DomainObject.Predmet.ProtuStrankaListNazivFormated_1">
      <item>VK-AULAX d.o.o.</item>
    </derivirana_varijabla>
  </DomainObject.Predmet.ProtuStrankaListNazivFormated>
  <DomainObject.Predmet.ProtuStrankaListNazivFormatedOIB>
    <izvorni_sadrzaj>
      <item>VK-AULAX d.o.o., OIB 51482297682</item>
    </izvorni_sadrzaj>
    <derivirana_varijabla naziv="DomainObject.Predmet.ProtuStrankaListNazivFormatedOIB_1">
      <item>VK-AULAX d.o.o., OIB 51482297682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VK-AULAX d.o.o.</izvorni_sadrzaj>
    <derivirana_varijabla naziv="DomainObject.Predmet.ProtustrankaIDrugi_1">VK-AULAX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VK-AULAX d.o.o., OIB 51482297682, Pičmanova 4, 10000 Zagreb</izvorni_sadrzaj>
    <derivirana_varijabla naziv="DomainObject.Predmet.ProtustrankaIDrugiAdressOIB_1">VK-AULAX d.o.o., OIB 51482297682, Pičmanova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VK-AULAX d.o.o.</item>
    </izvorni_sadrzaj>
    <derivirana_varijabla naziv="DomainObject.Predmet.SudioniciListNaziv_1">
      <item>FINA Regionalni centar Zagreb</item>
      <item>VK-AULAX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VK-AULAX d.o.o., OIB 51482297682, Pičmanova 4,10000 Zagreb</item>
    </izvorni_sadrzaj>
    <derivirana_varijabla naziv="DomainObject.Predmet.SudioniciListAdressOIB_1">
      <item>FINA Regionalni centar Zagreb, OIB 85821130368, Trg svibanjskih žrtava 1995. 1,10000 Zagreb</item>
      <item>VK-AULAX d.o.o., OIB 51482297682, Pičmanova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51482297682</item>
    </izvorni_sadrzaj>
    <derivirana_varijabla naziv="DomainObject.Predmet.SudioniciListNazivOIB_1">
      <item>, OIB 85821130368</item>
      <item>, OIB 51482297682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2052</properties:Characters>
  <properties:Lines>60</properties:Lines>
  <properties:Paragraphs>22</properties:Paragraphs>
  <properties:TotalTime>3</properties:TotalTime>
  <properties:ScaleCrop>false</properties:ScaleCrop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2017-05-17T11:37:00Z</dcterms:created>
  <dc:creator>Tihana Božičević</dc:creator>
  <dc:description/>
  <cp:keywords/>
  <cp:lastModifiedBy>Slavica Sorić</cp:lastModifiedBy>
  <dcterms:modified xmlns:xsi="http://www.w3.org/2001/XMLSchema-instance" xsi:type="dcterms:W3CDTF">2017-05-18T08:42:00Z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