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4975b" w14:paraId="d34975b" w:rsidRDefault="00AE649C" w:rsidP="00FA5B5E" w:rsidR="00AE649C" w:rsidRPr="00B76F3C">
      <w:pPr>
        <w:pStyle w:val="Naslov3"/>
        <w15:collapsed w:val="false"/>
      </w:pPr>
    </w:p>
    <w:p w:rsidRDefault="00B662C2" w:rsidP="00B662C2"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B662C2" w:rsidP="00B662C2" w:rsidR="00B662C2" w:rsidRPr="00B662C2">
      <w:pPr>
        <w:overflowPunct w:val="false"/>
        <w:autoSpaceDE w:val="false"/>
        <w:autoSpaceDN w:val="false"/>
        <w:adjustRightInd w:val="false"/>
        <w:spacing w:after="0"/>
        <w:rPr>
          <w:rFonts w:cs="Times New Roman" w:eastAsia="Times New Roman"/>
          <w:noProof/>
          <w:szCs w:val="20"/>
          <w:lang w:eastAsia="hr-HR"/>
        </w:rPr>
      </w:pPr>
      <w:r w:rsidRPr="00B662C2">
        <w:rPr>
          <w:rFonts w:cs="Times New Roman" w:eastAsia="Times New Roman"/>
          <w:noProof/>
          <w:szCs w:val="20"/>
          <w:lang w:eastAsia="hr-HR"/>
        </w:rPr>
        <w:t xml:space="preserve">                                                            </w:t>
      </w:r>
    </w:p>
    <w:p w:rsidRDefault="00B662C2" w:rsidP="00B662C2" w:rsidR="00B662C2" w:rsidRPr="00B662C2">
      <w:pPr>
        <w:overflowPunct w:val="false"/>
        <w:autoSpaceDE w:val="false"/>
        <w:autoSpaceDN w:val="false"/>
        <w:adjustRightInd w:val="false"/>
        <w:spacing w:after="0"/>
        <w:rPr>
          <w:rFonts w:cs="Times New Roman" w:eastAsia="Times New Roman"/>
          <w:noProof/>
          <w:szCs w:val="20"/>
          <w:lang w:eastAsia="hr-HR"/>
        </w:rPr>
      </w:pPr>
      <w:r w:rsidRPr="00B662C2">
        <w:rPr>
          <w:rFonts w:cs="Times New Roman" w:eastAsia="Times New Roman"/>
          <w:noProof/>
          <w:szCs w:val="20"/>
          <w:lang w:eastAsia="hr-HR"/>
        </w:rPr>
        <w:t xml:space="preserve">                                                                                                           5 St-42/2014-132</w:t>
      </w:r>
    </w:p>
    <w:p w:rsidRDefault="00B662C2" w:rsidP="00B662C2" w:rsidR="00B662C2" w:rsidRPr="00B662C2">
      <w:pPr>
        <w:overflowPunct w:val="false"/>
        <w:autoSpaceDE w:val="false"/>
        <w:autoSpaceDN w:val="false"/>
        <w:adjustRightInd w:val="false"/>
        <w:spacing w:after="0"/>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jc w:val="center"/>
        <w:rPr>
          <w:rFonts w:cs="Times New Roman" w:eastAsia="Times New Roman"/>
          <w:noProof/>
          <w:szCs w:val="20"/>
          <w:lang w:eastAsia="hr-HR"/>
        </w:rPr>
      </w:pPr>
      <w:r w:rsidRPr="00B662C2">
        <w:rPr>
          <w:rFonts w:cs="Times New Roman" w:eastAsia="Times New Roman"/>
          <w:noProof/>
          <w:szCs w:val="20"/>
          <w:lang w:eastAsia="hr-HR"/>
        </w:rPr>
        <w:t>R E P U B L I K A  H R V A T S K A</w:t>
      </w:r>
    </w:p>
    <w:p w:rsidRDefault="00B662C2" w:rsidP="00B662C2" w:rsidR="00B662C2" w:rsidRPr="00B662C2">
      <w:pPr>
        <w:overflowPunct w:val="false"/>
        <w:autoSpaceDE w:val="false"/>
        <w:autoSpaceDN w:val="false"/>
        <w:adjustRightInd w:val="false"/>
        <w:spacing w:after="0"/>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jc w:val="center"/>
        <w:rPr>
          <w:rFonts w:cs="Times New Roman" w:eastAsia="Times New Roman"/>
          <w:szCs w:val="20"/>
          <w:lang w:eastAsia="hr-HR"/>
        </w:rPr>
      </w:pPr>
      <w:r w:rsidRPr="00B662C2">
        <w:rPr>
          <w:rFonts w:cs="Times New Roman" w:eastAsia="Times New Roman"/>
          <w:szCs w:val="20"/>
          <w:lang w:eastAsia="hr-HR"/>
        </w:rPr>
        <w:t>R J E Š E N J E</w:t>
      </w:r>
    </w:p>
    <w:p w:rsidRDefault="00B662C2" w:rsidP="00B662C2" w:rsidR="00B662C2" w:rsidRPr="00B662C2">
      <w:pPr>
        <w:overflowPunct w:val="false"/>
        <w:autoSpaceDE w:val="false"/>
        <w:autoSpaceDN w:val="false"/>
        <w:adjustRightInd w:val="false"/>
        <w:spacing w:after="0"/>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 xml:space="preserve">TRGOVAČKI SUD U BJELOVARU, po stečajnom sucu Mariji Petrina Kubica, u stečajnom postupku nad dužnikom </w:t>
      </w:r>
      <w:r w:rsidRPr="00B662C2">
        <w:rPr>
          <w:rFonts w:cs="Times New Roman" w:eastAsia="Times New Roman"/>
          <w:noProof/>
          <w:lang w:eastAsia="hr-HR"/>
        </w:rPr>
        <w:t>BRESTOVAC–Pilana društvo sa ograničenom odgovornošću, Garešnički Brestovac, Brestovačka ulica 33, OIB: 08082368657,</w:t>
      </w:r>
      <w:r w:rsidRPr="00B662C2">
        <w:rPr>
          <w:rFonts w:cs="Times New Roman" w:eastAsia="Times New Roman"/>
          <w:lang w:eastAsia="hr-HR"/>
        </w:rPr>
        <w:t xml:space="preserve"> 21. srpnja 2016</w:t>
      </w:r>
      <w:r w:rsidRPr="00B662C2">
        <w:rPr>
          <w:rFonts w:cs="Times New Roman" w:eastAsia="Times New Roman"/>
          <w:szCs w:val="20"/>
          <w:lang w:eastAsia="hr-HR"/>
        </w:rPr>
        <w:t xml:space="preserve">. </w:t>
      </w:r>
    </w:p>
    <w:p w:rsidRDefault="00B662C2" w:rsidP="00B662C2" w:rsidR="00B662C2" w:rsidRPr="00B662C2">
      <w:pPr>
        <w:overflowPunct w:val="false"/>
        <w:autoSpaceDE w:val="false"/>
        <w:autoSpaceDN w:val="false"/>
        <w:adjustRightInd w:val="false"/>
        <w:spacing w:after="0"/>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jc w:val="center"/>
        <w:rPr>
          <w:rFonts w:cs="Times New Roman" w:eastAsia="Times New Roman"/>
          <w:szCs w:val="20"/>
          <w:lang w:eastAsia="hr-HR"/>
        </w:rPr>
      </w:pPr>
      <w:r w:rsidRPr="00B662C2">
        <w:rPr>
          <w:rFonts w:cs="Times New Roman" w:eastAsia="Times New Roman"/>
          <w:szCs w:val="20"/>
          <w:lang w:eastAsia="hr-HR"/>
        </w:rPr>
        <w:t>r i j e š i o   j e</w:t>
      </w:r>
    </w:p>
    <w:p w:rsidRDefault="00B662C2" w:rsidP="00B662C2" w:rsidR="00B662C2" w:rsidRPr="00B662C2">
      <w:pPr>
        <w:overflowPunct w:val="false"/>
        <w:autoSpaceDE w:val="false"/>
        <w:autoSpaceDN w:val="false"/>
        <w:adjustRightInd w:val="false"/>
        <w:spacing w:after="0"/>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noProof/>
          <w:szCs w:val="20"/>
          <w:lang w:eastAsia="hr-HR"/>
        </w:rPr>
      </w:pPr>
      <w:r w:rsidRPr="00B662C2">
        <w:rPr>
          <w:rFonts w:cs="Times New Roman" w:eastAsia="Times New Roman"/>
          <w:noProof/>
          <w:szCs w:val="20"/>
          <w:lang w:eastAsia="hr-HR"/>
        </w:rPr>
        <w:t>I. Stečajnom upravitelju Branku Valentiću, dipl. ing. agronomije iz Virovitice, Ferde Rusana 100, OIB: 85378232573, određuje se nagrada za rad obavljen od otvaranja stečajnog postupka do 8. listopada 2015. u neto iznosu od 333.120,00 kn.</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noProof/>
          <w:szCs w:val="20"/>
          <w:lang w:eastAsia="hr-HR"/>
        </w:rPr>
      </w:pPr>
      <w:r w:rsidRPr="00B662C2">
        <w:rPr>
          <w:rFonts w:cs="Times New Roman" w:eastAsia="Times New Roman"/>
          <w:noProof/>
          <w:szCs w:val="20"/>
          <w:lang w:eastAsia="hr-HR"/>
        </w:rPr>
        <w:t>II. Za rad nakon 8. listopada 2015. stečajnom upravitelju određuje se nagrada u bruto iznosu od</w:t>
      </w:r>
      <w:r w:rsidRPr="00B662C2">
        <w:rPr>
          <w:rFonts w:cs="Times New Roman" w:eastAsia="Times New Roman"/>
          <w:szCs w:val="20"/>
          <w:lang w:eastAsia="hr-HR"/>
        </w:rPr>
        <w:t xml:space="preserve"> 18.191,20 kn</w:t>
      </w:r>
      <w:r w:rsidRPr="00B662C2">
        <w:rPr>
          <w:rFonts w:cs="Times New Roman" w:eastAsia="Times New Roman"/>
          <w:noProof/>
          <w:szCs w:val="20"/>
          <w:lang w:eastAsia="hr-HR"/>
        </w:rPr>
        <w:t>.</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jc w:val="center"/>
        <w:rPr>
          <w:rFonts w:cs="Times New Roman" w:eastAsia="Times New Roman"/>
          <w:noProof/>
          <w:szCs w:val="20"/>
          <w:lang w:eastAsia="hr-HR"/>
        </w:rPr>
      </w:pPr>
      <w:r w:rsidRPr="00B662C2">
        <w:rPr>
          <w:rFonts w:cs="Times New Roman" w:eastAsia="Times New Roman"/>
          <w:noProof/>
          <w:szCs w:val="20"/>
          <w:lang w:eastAsia="hr-HR"/>
        </w:rPr>
        <w:t>Obrazloženje</w:t>
      </w:r>
    </w:p>
    <w:p w:rsidRDefault="00B662C2" w:rsidP="00B662C2" w:rsidR="00B662C2" w:rsidRPr="00B662C2">
      <w:pPr>
        <w:overflowPunct w:val="false"/>
        <w:autoSpaceDE w:val="false"/>
        <w:autoSpaceDN w:val="false"/>
        <w:adjustRightInd w:val="false"/>
        <w:spacing w:after="0"/>
        <w:jc w:val="both"/>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Podneskom od 3. svibnja 2016. stečajni upravitelj je zatražio da mu se odredi nagrada za rad u ovom postupku.</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Iz uvida u spis proizlazi da je unovčena sva imovina stečajnog dužnika - nekretnine i pokretnine.</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 xml:space="preserve">Sukladno odredbi čl.94. st.1. Stečajnog zakona </w:t>
      </w:r>
      <w:r w:rsidRPr="00B662C2">
        <w:rPr>
          <w:rFonts w:cs="Times New Roman" w:eastAsia="Times New Roman"/>
          <w:noProof/>
          <w:szCs w:val="20"/>
          <w:lang w:eastAsia="hr-HR"/>
        </w:rPr>
        <w:t xml:space="preserve">("Narodne novine" broj 71/15., dalje: SZ) </w:t>
      </w:r>
      <w:r w:rsidRPr="00B662C2">
        <w:rPr>
          <w:rFonts w:cs="Times New Roman" w:eastAsia="Times New Roman"/>
          <w:szCs w:val="20"/>
          <w:lang w:eastAsia="hr-HR"/>
        </w:rPr>
        <w:t>stečajni upravitelj ima pravo na nagradu za rad. Nagrada se, sukladno st.2. istog članka određuje primjenom Uredbe o kriterijima i načinu obračuna i plaćanja nagrade stečajnim upraviteljima ("Narodne novine" broj 105/2015, dalje: Uredba iz 2015.).</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 xml:space="preserve">Čl.16. st.2. Uredbe iz 2015. propisano je da će se stečajnom upravitelju za rad koji je obavljen do stupanja na snagu te Uredbe obračunati nagrada po pravilima Uredbe o kriterijima i načinu obračuna i plaćanja nagrade stečajnim upraviteljima (Narodne novine broj 189/03, dalje: Uredba iz 2003.), pri čemu je sud dužan utvrditi postotak nagrade koja stečajnom upravitelju pripada prema pravilima te Uredbe. St.3. istog članka propisano je da će se za poslove obavljene nakon stupanja na snagu Uredbe iz 2015. nagrada odrediti po njenim pravilima, vodeći računa o postotku namirenja iz st.2. tog članka. </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 xml:space="preserve">Vrijednost imovine stečajnog dužnika unovčene do 8. listopada 2015. iznosila je 8.521.335,00 kn te je primjenom čl.4. toč.1. Uredbe iz 2003. stečajnom upravitelju određena nagrada u neto iznosu od 277.600,00 kn, što je 92% maksimalnog iznosa nagrade od 300.000,00 kn, određenog čl.4. toč.2. te Uredbe. </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Nakon 8. listopada 2015. vrijednost unovčene stečajne imovine je 2.819.888,08 kn i stečajnom upravitelju bi, sukladno čl.7. Uredbe iz 2015., pripadala nagrada u bruto iznosu od 227.390,00 kn. No, kako je stečajnom upravitelju za imovinu unovčenu do 8. listopada 2015. priznata i utvrđena nagrada koja je po svom iznosu 92% maksimalnog iznosa nagrade, stečajnom upravitelju je, primjenom odredbe čl.16. st.2. i 3. Uredbe iz 2015., kao nagrada za rad nakon 8. listopada 2015. utvrđen iznos od 18.191,20 kn</w:t>
      </w:r>
      <w:r w:rsidRPr="00B662C2">
        <w:rPr>
          <w:rFonts w:cs="Times New Roman" w:eastAsia="Times New Roman"/>
          <w:noProof/>
          <w:szCs w:val="20"/>
          <w:lang w:eastAsia="hr-HR"/>
        </w:rPr>
        <w:t xml:space="preserve"> bruto, što je 8% bruto iznosa nagrade od 227.390,00 kn.</w:t>
      </w:r>
      <w:r w:rsidRPr="00B662C2">
        <w:rPr>
          <w:rFonts w:cs="Times New Roman" w:eastAsia="Times New Roman"/>
          <w:szCs w:val="20"/>
          <w:lang w:eastAsia="hr-HR"/>
        </w:rPr>
        <w:t xml:space="preserve"> </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Budući da je cjelokupna stečajna masa unovčena za manje od godine i pol dana, računajući od održanog izvještajnog ročišta (2. listopada 2014.), smatra se da se stečajni upravitelj osobito zalagao u obavljanju svog posla te mu je, temeljem čl.5. Uredbe iz 2003., nagrada od 277.600,00 kn uvećana za 20% odnosno za iznos od 55.520,00 kn neto.</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 xml:space="preserve"> </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r w:rsidRPr="00B662C2">
        <w:rPr>
          <w:rFonts w:cs="Times New Roman" w:eastAsia="Times New Roman"/>
          <w:szCs w:val="20"/>
          <w:lang w:eastAsia="hr-HR"/>
        </w:rPr>
        <w:t>Slijedom navedenog, za rad do 8. listopada 2015. stečajnom upravitelju je određena neto nagrada u ukupnom iznosu od 333.120,00 kn, dok mu je za rad nakon navedenog datuma određena bruto nagrada u iznosu od ukupno 18.191,20 kn.</w:t>
      </w:r>
    </w:p>
    <w:p w:rsidRDefault="00B662C2" w:rsidP="00B662C2" w:rsidR="00B662C2" w:rsidRPr="00B662C2">
      <w:pPr>
        <w:overflowPunct w:val="false"/>
        <w:autoSpaceDE w:val="false"/>
        <w:autoSpaceDN w:val="false"/>
        <w:adjustRightInd w:val="false"/>
        <w:spacing w:after="0"/>
        <w:ind w:firstLine="851"/>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jc w:val="center"/>
        <w:rPr>
          <w:rFonts w:cs="Times New Roman" w:eastAsia="Times New Roman"/>
          <w:noProof/>
          <w:szCs w:val="20"/>
          <w:lang w:eastAsia="hr-HR"/>
        </w:rPr>
      </w:pPr>
      <w:r w:rsidRPr="00B662C2">
        <w:rPr>
          <w:rFonts w:cs="Times New Roman" w:eastAsia="Times New Roman"/>
          <w:noProof/>
          <w:szCs w:val="20"/>
          <w:lang w:eastAsia="hr-HR"/>
        </w:rPr>
        <w:t>U Bjelovaru, 21. srpnja 2016.</w:t>
      </w:r>
    </w:p>
    <w:p w:rsidRDefault="00B662C2" w:rsidP="00B662C2" w:rsidR="00B662C2" w:rsidRPr="00B662C2">
      <w:pPr>
        <w:overflowPunct w:val="false"/>
        <w:autoSpaceDE w:val="false"/>
        <w:autoSpaceDN w:val="false"/>
        <w:adjustRightInd w:val="false"/>
        <w:spacing w:after="0"/>
        <w:jc w:val="center"/>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ind w:firstLine="5245"/>
        <w:jc w:val="both"/>
        <w:rPr>
          <w:rFonts w:cs="Times New Roman" w:eastAsia="Times New Roman"/>
          <w:noProof/>
          <w:szCs w:val="20"/>
          <w:lang w:eastAsia="hr-HR"/>
        </w:rPr>
      </w:pPr>
      <w:r w:rsidRPr="00B662C2">
        <w:rPr>
          <w:rFonts w:cs="Times New Roman" w:eastAsia="Times New Roman"/>
          <w:noProof/>
          <w:szCs w:val="20"/>
          <w:lang w:eastAsia="hr-HR"/>
        </w:rPr>
        <w:t>STEČAJNI SUDAC</w:t>
      </w:r>
    </w:p>
    <w:p w:rsidRDefault="00B662C2" w:rsidP="00B662C2" w:rsidR="00B662C2" w:rsidRPr="00B662C2">
      <w:pPr>
        <w:overflowPunct w:val="false"/>
        <w:autoSpaceDE w:val="false"/>
        <w:autoSpaceDN w:val="false"/>
        <w:adjustRightInd w:val="false"/>
        <w:spacing w:after="0"/>
        <w:ind w:firstLine="4678"/>
        <w:jc w:val="both"/>
        <w:rPr>
          <w:rFonts w:cs="Times New Roman" w:eastAsia="Times New Roman"/>
          <w:noProof/>
          <w:szCs w:val="20"/>
          <w:lang w:eastAsia="hr-HR"/>
        </w:rPr>
      </w:pPr>
      <w:r w:rsidRPr="00B662C2">
        <w:rPr>
          <w:rFonts w:cs="Times New Roman" w:eastAsia="Times New Roman"/>
          <w:noProof/>
          <w:szCs w:val="20"/>
          <w:lang w:eastAsia="hr-HR"/>
        </w:rPr>
        <w:t xml:space="preserve">MARIJA PETRINA KUBICA  </w:t>
      </w:r>
    </w:p>
    <w:p w:rsidRDefault="00B662C2" w:rsidP="00B662C2" w:rsidR="00B662C2" w:rsidRPr="00B662C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662C2" w:rsidP="00B662C2" w:rsidR="00B662C2" w:rsidRPr="00B662C2">
      <w:pPr>
        <w:overflowPunct w:val="false"/>
        <w:autoSpaceDE w:val="false"/>
        <w:autoSpaceDN w:val="false"/>
        <w:adjustRightInd w:val="false"/>
        <w:spacing w:after="0"/>
        <w:jc w:val="both"/>
        <w:rPr>
          <w:rFonts w:cs="Times New Roman" w:eastAsia="Times New Roman"/>
          <w:szCs w:val="20"/>
          <w:lang w:eastAsia="hr-HR"/>
        </w:rPr>
      </w:pPr>
      <w:r w:rsidRPr="00B662C2">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B662C2" w:rsidP="00B662C2" w:rsidR="00B662C2" w:rsidRPr="00B662C2">
      <w:pPr>
        <w:overflowPunct w:val="false"/>
        <w:autoSpaceDE w:val="false"/>
        <w:autoSpaceDN w:val="false"/>
        <w:adjustRightInd w:val="false"/>
        <w:spacing w:after="0"/>
        <w:jc w:val="both"/>
        <w:rPr>
          <w:rFonts w:cs="Times New Roman" w:eastAsia="Times New Roman"/>
          <w:szCs w:val="20"/>
          <w:lang w:eastAsia="hr-HR"/>
        </w:rPr>
      </w:pPr>
    </w:p>
    <w:p w:rsidRDefault="00B662C2" w:rsidP="00B662C2" w:rsidR="00B662C2" w:rsidRPr="00B662C2">
      <w:pPr>
        <w:overflowPunct w:val="false"/>
        <w:autoSpaceDE w:val="false"/>
        <w:autoSpaceDN w:val="false"/>
        <w:adjustRightInd w:val="false"/>
        <w:spacing w:after="0"/>
        <w:jc w:val="both"/>
        <w:rPr>
          <w:rFonts w:cs="Times New Roman" w:eastAsia="Times New Roman"/>
          <w:szCs w:val="20"/>
          <w:lang w:eastAsia="hr-HR"/>
        </w:rPr>
      </w:pPr>
      <w:proofErr w:type="spellStart"/>
      <w:r w:rsidRPr="00B662C2">
        <w:rPr>
          <w:rFonts w:cs="Times New Roman" w:eastAsia="Times New Roman"/>
          <w:szCs w:val="20"/>
          <w:lang w:eastAsia="hr-HR"/>
        </w:rPr>
        <w:t>Rj</w:t>
      </w:r>
      <w:proofErr w:type="spellEnd"/>
      <w:r w:rsidRPr="00B662C2">
        <w:rPr>
          <w:rFonts w:cs="Times New Roman" w:eastAsia="Times New Roman"/>
          <w:szCs w:val="20"/>
          <w:lang w:eastAsia="hr-HR"/>
        </w:rPr>
        <w:t>.</w:t>
      </w:r>
    </w:p>
    <w:p w:rsidRDefault="00B662C2" w:rsidP="00B662C2" w:rsidR="00B662C2" w:rsidRPr="00B662C2">
      <w:pPr>
        <w:overflowPunct w:val="false"/>
        <w:autoSpaceDE w:val="false"/>
        <w:autoSpaceDN w:val="false"/>
        <w:adjustRightInd w:val="false"/>
        <w:spacing w:after="0"/>
        <w:jc w:val="both"/>
        <w:rPr>
          <w:rFonts w:cs="Times New Roman" w:eastAsia="Times New Roman"/>
          <w:noProof/>
          <w:szCs w:val="20"/>
          <w:lang w:eastAsia="hr-HR"/>
        </w:rPr>
      </w:pPr>
      <w:r w:rsidRPr="00B662C2">
        <w:rPr>
          <w:rFonts w:cs="Times New Roman" w:eastAsia="Times New Roman"/>
          <w:noProof/>
          <w:szCs w:val="20"/>
          <w:lang w:eastAsia="hr-HR"/>
        </w:rPr>
        <w:t xml:space="preserve">DNA: e-oglasna ploča </w:t>
      </w:r>
    </w:p>
    <w:p w:rsidRDefault="00B662C2" w:rsidP="00B662C2" w:rsidR="00B662C2" w:rsidRPr="00B662C2">
      <w:pPr>
        <w:overflowPunct w:val="false"/>
        <w:autoSpaceDE w:val="false"/>
        <w:autoSpaceDN w:val="false"/>
        <w:adjustRightInd w:val="false"/>
        <w:spacing w:after="0"/>
        <w:jc w:val="both"/>
        <w:rPr>
          <w:rFonts w:cs="Times New Roman" w:eastAsia="Times New Roman"/>
          <w:noProof/>
          <w:szCs w:val="20"/>
          <w:lang w:eastAsia="hr-HR"/>
        </w:rPr>
      </w:pPr>
      <w:r w:rsidRPr="00B662C2">
        <w:rPr>
          <w:rFonts w:cs="Times New Roman" w:eastAsia="Times New Roman"/>
          <w:noProof/>
          <w:szCs w:val="20"/>
          <w:lang w:eastAsia="hr-HR"/>
        </w:rPr>
        <w:t>Bj.21.7.2016.</w:t>
      </w:r>
      <w:bookmarkStart w:name="_GoBack" w:id="0"/>
      <w:bookmarkEnd w:id="0"/>
    </w:p>
    <w:sectPr w:rsidSect="0032366B" w:rsidR="00B662C2" w:rsidRPr="00B662C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2C2"/>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4808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St-42/2014-134</izvorni_sadrzaj>
    <derivirana_varijabla naziv="DomainObject.Oznaka_1">St-42/2014-134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St-42/2014-134</izvorni_sadrzaj>
    <derivirana_varijabla naziv="DomainObject.PoslovniBrojDokumenta_1">St-42/2014-134</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F3732F-6607-4033-8AB0-4650D0B690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600</properties:Words>
  <properties:Characters>3136</properties:Characters>
  <properties:Lines>88</properties:Lines>
  <properties:Paragraphs>23</properties:Paragraphs>
  <properties:TotalTime>39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2016-07-21T10:41:00Z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St-42/2014-134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