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2605" w14:paraId="72d2605" w:rsidRDefault="00BB1EF6" w:rsidP="00BB1EF6" w:rsidR="00BB1EF6" w:rsidRPr="00BB1EF6">
      <w:pPr>
        <w:spacing w:lineRule="auto" w:line="259" w:after="160"/>
        <w15:collapsed w:val="false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Gorica d.o.o. „ u stečaju“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Kolodvorska </w:t>
      </w:r>
      <w:proofErr w:type="spellStart"/>
      <w:r w:rsidRPr="00BB1EF6">
        <w:rPr>
          <w:rFonts w:cs="Times New Roman" w:eastAsia="Calibri" w:hAnsi="Calibri" w:ascii="Calibri"/>
        </w:rPr>
        <w:t>bb</w:t>
      </w:r>
      <w:proofErr w:type="spellEnd"/>
      <w:r w:rsidRPr="00BB1EF6">
        <w:rPr>
          <w:rFonts w:cs="Times New Roman" w:eastAsia="Calibri" w:hAnsi="Calibri" w:ascii="Calibri"/>
        </w:rPr>
        <w:t>, Zdenci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OIB : 1581981909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St – 116/2018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Stečajni upravitelj : Ivo Žiža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     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                                                                                    REPUBLIKA HRVATSKA 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                                                                                    Trgovački sud u Bjelovaru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                                                                                    Šetalište dr. I . </w:t>
      </w:r>
      <w:proofErr w:type="spellStart"/>
      <w:r w:rsidRPr="00BB1EF6">
        <w:rPr>
          <w:rFonts w:cs="Times New Roman" w:eastAsia="Calibri" w:hAnsi="Calibri" w:ascii="Calibri"/>
        </w:rPr>
        <w:t>Lebovića</w:t>
      </w:r>
      <w:proofErr w:type="spellEnd"/>
      <w:r w:rsidRPr="00BB1EF6">
        <w:rPr>
          <w:rFonts w:cs="Times New Roman" w:eastAsia="Calibri" w:hAnsi="Calibri" w:ascii="Calibri"/>
        </w:rPr>
        <w:t xml:space="preserve"> 42 , Bjelovar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                                                                                    Stečajni sudac : Marija Petrina Kubica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BB1EF6">
        <w:rPr>
          <w:rFonts w:cs="Times New Roman" w:eastAsia="Calibri" w:hAnsi="Calibri" w:ascii="Calibri"/>
          <w:b/>
          <w:i/>
        </w:rPr>
        <w:t xml:space="preserve">                                             IZVJEŠĆE STEČAJNOG UPRAVITELJA 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  <w:i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  <w:i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UVOD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Financijska agencija  je, na temelju čl.429st.1. Stečajnog zakona ( NN 71/15 i 104/17 , dalje SZ ), 28. rujna 2017.g. podnijela Trgovačkom sudu u Bjelovaru zahtjev za provedbu skraćenog stečajnog  postupka nad dužnikom GORICA d.o.o. za proizvodnju, turizam, ugostiteljstvo, trgovinu i usluge, Zdenci, navodeći da na dan 22. rujna 2017.g. dužnik u očevidniku redoslijeda  osnova za plaćanje ima evidentirane neizvršene osnove za plaćanje u neprekidnom razdoblju od 120 dana, u ukupnom iznosu od 119.060,65 kuna.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Prokurist Mato </w:t>
      </w:r>
      <w:proofErr w:type="spellStart"/>
      <w:r w:rsidRPr="00BB1EF6">
        <w:rPr>
          <w:rFonts w:cs="Times New Roman" w:eastAsia="Calibri" w:hAnsi="Calibri" w:ascii="Calibri"/>
        </w:rPr>
        <w:t>Barukčić</w:t>
      </w:r>
      <w:proofErr w:type="spellEnd"/>
      <w:r w:rsidRPr="00BB1EF6">
        <w:rPr>
          <w:rFonts w:cs="Times New Roman" w:eastAsia="Calibri" w:hAnsi="Calibri" w:ascii="Calibri"/>
        </w:rPr>
        <w:t xml:space="preserve"> je 17. studenog 2017.g. dostavio sudu  popis imovine i obveza, iz kojih proizlazi da dužnik ima imovinu ( pokretnine i nekretnine ), koja je , zasigurno, dovoljna za namirenje troškova stečajnog postupka.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Iz očevidnika o redoslijedu plaćanja od 26.07.2018.g. vidljivo je da su problemi sa nelikvidnošću stečajnog dužnika počeli 25. ožujka 2014.g.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Iz navedenog je proizašlo postojanje stečajnog razloga – nesposobnost za plaćanje ( iz čl.6 SZ ).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lastRenderedPageBreak/>
        <w:t>Temeljem utvrđenih činjenica Trgovački sud u Bjelovaru , po stečajnom sucu Mariji Petrina Kubica, donio je dana 5. srpnja 2018.g. rješenje o otvaranju stečajnog postupka, pod brojem : St- 116/2018.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Za dan održavanja ispitnog i izvještajnog ročišta  određen je 19. listopad 2018.g.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Rješenjem o otvaranju stečajnog postupka  imenovan sam za stečajnog upravitelja u ovom stečajnom postupku.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Rješenjem su pozvani vjerovnici viših isplatnih redova da u roku od 60 dana objave Rješenja na e-Oglasnoj ploči sudova prijave stečajnom upravitelju svoje tražbine, izlučna i </w:t>
      </w:r>
      <w:proofErr w:type="spellStart"/>
      <w:r w:rsidRPr="00BB1EF6">
        <w:rPr>
          <w:rFonts w:cs="Times New Roman" w:eastAsia="Calibri" w:hAnsi="Calibri" w:ascii="Calibri"/>
        </w:rPr>
        <w:t>razlučna</w:t>
      </w:r>
      <w:proofErr w:type="spellEnd"/>
      <w:r w:rsidRPr="00BB1EF6">
        <w:rPr>
          <w:rFonts w:cs="Times New Roman" w:eastAsia="Calibri" w:hAnsi="Calibri" w:ascii="Calibri"/>
        </w:rPr>
        <w:t xml:space="preserve"> prava.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I OSNOVNI PODACI O STEČAJNOM DUŽNIKU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Stečajni dužnik osnovan je prije 27 godina, a osnovna djelatnost bila je prodaja opreme za plin, vodu , grijanje i opremanje kupaonica, </w:t>
      </w:r>
      <w:proofErr w:type="spellStart"/>
      <w:r w:rsidRPr="00BB1EF6">
        <w:rPr>
          <w:rFonts w:cs="Times New Roman" w:eastAsia="Calibri" w:hAnsi="Calibri" w:ascii="Calibri"/>
        </w:rPr>
        <w:t>elektromaterijal</w:t>
      </w:r>
      <w:proofErr w:type="spellEnd"/>
      <w:r w:rsidRPr="00BB1EF6">
        <w:rPr>
          <w:rFonts w:cs="Times New Roman" w:eastAsia="Calibri" w:hAnsi="Calibri" w:ascii="Calibri"/>
        </w:rPr>
        <w:t>, boje i lakovi, vijčana i željezarska roba, kućanski aparati i ostalo.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Veći dio prometa ostvarivao se veleprodajom, sve do 2008.g., kada dolazi do krize. 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Dužnik je imao i četiri maloprodaje – u Zdencima, Osijeku i Slatini, te , kraće vrijeme u Orahovici.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Osnivač tvrtke je Mato </w:t>
      </w:r>
      <w:proofErr w:type="spellStart"/>
      <w:r w:rsidRPr="00BB1EF6">
        <w:rPr>
          <w:rFonts w:cs="Times New Roman" w:eastAsia="Calibri" w:hAnsi="Calibri" w:ascii="Calibri"/>
        </w:rPr>
        <w:t>Barukčić</w:t>
      </w:r>
      <w:proofErr w:type="spellEnd"/>
      <w:r w:rsidRPr="00BB1EF6">
        <w:rPr>
          <w:rFonts w:cs="Times New Roman" w:eastAsia="Calibri" w:hAnsi="Calibri" w:ascii="Calibri"/>
        </w:rPr>
        <w:t>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Do otvaranja stečajnog postupka direktor društva bila je Katarina </w:t>
      </w:r>
      <w:proofErr w:type="spellStart"/>
      <w:r w:rsidRPr="00BB1EF6">
        <w:rPr>
          <w:rFonts w:cs="Times New Roman" w:eastAsia="Calibri" w:hAnsi="Calibri" w:ascii="Calibri"/>
        </w:rPr>
        <w:t>Barukčić</w:t>
      </w:r>
      <w:proofErr w:type="spellEnd"/>
      <w:r w:rsidRPr="00BB1EF6">
        <w:rPr>
          <w:rFonts w:cs="Times New Roman" w:eastAsia="Calibri" w:hAnsi="Calibri" w:ascii="Calibri"/>
        </w:rPr>
        <w:t>, Zdenci, Kolodvorska 59.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Prokurist stečajnog dužnika bio je Mato </w:t>
      </w:r>
      <w:proofErr w:type="spellStart"/>
      <w:r w:rsidRPr="00BB1EF6">
        <w:rPr>
          <w:rFonts w:cs="Times New Roman" w:eastAsia="Calibri" w:hAnsi="Calibri" w:ascii="Calibri"/>
        </w:rPr>
        <w:t>Barukčić</w:t>
      </w:r>
      <w:proofErr w:type="spellEnd"/>
      <w:r w:rsidRPr="00BB1EF6">
        <w:rPr>
          <w:rFonts w:cs="Times New Roman" w:eastAsia="Calibri" w:hAnsi="Calibri" w:ascii="Calibri"/>
        </w:rPr>
        <w:t>, Zdenci, Kolodvorska 59.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 xml:space="preserve">II GOSPODARSKI POLOŽAJ STEČAJNOG DUŽNIKA 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Kako je već navedeno, stečajni dužnik  je neprekidno u blokadi više od 120 dana. Potrebno je naglasiti i da problemi sa likvidnošću datiraju iz 2014.g. ( što se vidi iz očevidnika FINA-e od 26.7.2018.g.)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Većina prometa  do 2008.g. činile su veleprodaja i maloprodaja, međutim, dolaskom krize  i otvaranjem trgovačkih centara,  dužnik nije mogao pronaći dovoljno tržišta, te je došlo do problema u poslovanju.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Po mom osobnom uvjerenju nema aktivnosti koje bi dužnik mogao provoditi, a prema zaprimljenim prijavama, vidljivo je da je gospodarsko stanje takvo da nikakve aktivnosti ne dolaze u obzir, pa tako ni izrada stečajnog plana.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lastRenderedPageBreak/>
        <w:t xml:space="preserve">III IMOVINSKO STANJE STEČAJNOG DUŽNIKA 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S danom koji prethodi otvaranju stečajnog postupka  sastavljen je račun dobiti i gubitka, bilanca stanja , te početna stečajna bilanca.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Imovina stečajnog dužnika sastoji se od :</w:t>
      </w:r>
    </w:p>
    <w:p w:rsidRDefault="00BB1EF6" w:rsidP="00BB1EF6" w:rsidR="00BB1EF6" w:rsidRPr="00BB1EF6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Pokretnina ( trgovačke robe)</w:t>
      </w:r>
    </w:p>
    <w:p w:rsidRDefault="00BB1EF6" w:rsidP="00BB1EF6" w:rsidR="00BB1EF6" w:rsidRPr="00BB1EF6">
      <w:pPr>
        <w:numPr>
          <w:ilvl w:val="0"/>
          <w:numId w:val="1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Nekretnina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Izvršen je popis predmeta stečajne mase, te je sačinjena inventura, u skladu sa SZ.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POKRETNINE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Za inventuru trgovačke robe sastavljena je komisija koja je uredno izvršila popis robe.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Uz moju prisutnost komisija je konstatirala da neka roba nije kurentna i utrživa, iz slijedećih razloga :</w:t>
      </w:r>
    </w:p>
    <w:p w:rsidRDefault="00BB1EF6" w:rsidP="00BB1EF6" w:rsidR="00BB1EF6" w:rsidRPr="00BB1EF6">
      <w:pPr>
        <w:numPr>
          <w:ilvl w:val="0"/>
          <w:numId w:val="4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TEŽE UTRŽIVA ROBA</w:t>
      </w:r>
    </w:p>
    <w:p w:rsidRDefault="00BB1EF6" w:rsidP="00BB1EF6" w:rsidR="00BB1EF6" w:rsidRPr="00BB1EF6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Asortiman star više od 20 godina koji je vraćen u centralno skladište nakon zatvaranja</w:t>
      </w:r>
    </w:p>
    <w:p w:rsidRDefault="00BB1EF6" w:rsidP="00BB1EF6" w:rsidR="00BB1EF6" w:rsidRPr="00BB1EF6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proofErr w:type="spellStart"/>
      <w:r w:rsidRPr="00BB1EF6">
        <w:rPr>
          <w:rFonts w:cs="Times New Roman" w:eastAsia="Calibri" w:hAnsi="Calibri" w:ascii="Calibri"/>
        </w:rPr>
        <w:t>Desortiran</w:t>
      </w:r>
      <w:proofErr w:type="spellEnd"/>
      <w:r w:rsidRPr="00BB1EF6">
        <w:rPr>
          <w:rFonts w:cs="Times New Roman" w:eastAsia="Calibri" w:hAnsi="Calibri" w:ascii="Calibri"/>
        </w:rPr>
        <w:t xml:space="preserve"> asortiman ( postoje slavine za kupaonice, npr. Za bide, ali nema slavina za kompletirati kadu , umivaonik i druga mjesta )</w:t>
      </w:r>
    </w:p>
    <w:p w:rsidRDefault="00BB1EF6" w:rsidP="00BB1EF6" w:rsidR="00BB1EF6" w:rsidRPr="00BB1EF6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Izložbena roba </w:t>
      </w:r>
      <w:proofErr w:type="spellStart"/>
      <w:r w:rsidRPr="00BB1EF6">
        <w:rPr>
          <w:rFonts w:cs="Times New Roman" w:eastAsia="Calibri" w:hAnsi="Calibri" w:ascii="Calibri"/>
        </w:rPr>
        <w:t>izblijedila</w:t>
      </w:r>
      <w:proofErr w:type="spellEnd"/>
      <w:r w:rsidRPr="00BB1EF6">
        <w:rPr>
          <w:rFonts w:cs="Times New Roman" w:eastAsia="Calibri" w:hAnsi="Calibri" w:ascii="Calibri"/>
        </w:rPr>
        <w:t xml:space="preserve"> nakon duljeg vremena izlaganja</w:t>
      </w:r>
    </w:p>
    <w:p w:rsidRDefault="00BB1EF6" w:rsidP="00BB1EF6" w:rsidR="00BB1EF6" w:rsidRPr="00BB1EF6">
      <w:pPr>
        <w:numPr>
          <w:ilvl w:val="0"/>
          <w:numId w:val="3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Dio asortimana više  se ne prodaje zbog tehničke zastarjelosti ( spojni komadi za kućnu kanalizaciju i sl.)</w:t>
      </w:r>
    </w:p>
    <w:p w:rsidRDefault="00BB1EF6" w:rsidP="00BB1EF6" w:rsidR="00BB1EF6" w:rsidRPr="00BB1EF6">
      <w:pPr>
        <w:numPr>
          <w:ilvl w:val="0"/>
          <w:numId w:val="4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ROBA ZA OTPIS -  uništena ili do te mjere </w:t>
      </w:r>
      <w:proofErr w:type="spellStart"/>
      <w:r w:rsidRPr="00BB1EF6">
        <w:rPr>
          <w:rFonts w:cs="Times New Roman" w:eastAsia="Calibri" w:hAnsi="Calibri" w:ascii="Calibri"/>
        </w:rPr>
        <w:t>izblijedila</w:t>
      </w:r>
      <w:proofErr w:type="spellEnd"/>
      <w:r w:rsidRPr="00BB1EF6">
        <w:rPr>
          <w:rFonts w:cs="Times New Roman" w:eastAsia="Calibri" w:hAnsi="Calibri" w:ascii="Calibri"/>
        </w:rPr>
        <w:t xml:space="preserve"> da nije za prodaju</w:t>
      </w:r>
    </w:p>
    <w:p w:rsidRDefault="00BB1EF6" w:rsidP="00BB1EF6" w:rsidR="00BB1EF6" w:rsidRPr="00BB1EF6">
      <w:pPr>
        <w:numPr>
          <w:ilvl w:val="0"/>
          <w:numId w:val="4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OTPIS STALAKA ZA IZLAGANJE  koji su vođeni kao zaliha robe</w:t>
      </w:r>
    </w:p>
    <w:p w:rsidRDefault="00BB1EF6" w:rsidP="00BB1EF6" w:rsidR="00BB1EF6" w:rsidRPr="00BB1EF6">
      <w:pPr>
        <w:numPr>
          <w:ilvl w:val="0"/>
          <w:numId w:val="4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OTPIS ROBE PO OSNOVI ISTEKA ROKA TRAJANJA  ( kitovi, boje, </w:t>
      </w:r>
      <w:proofErr w:type="spellStart"/>
      <w:r w:rsidRPr="00BB1EF6">
        <w:rPr>
          <w:rFonts w:cs="Times New Roman" w:eastAsia="Calibri" w:hAnsi="Calibri" w:ascii="Calibri"/>
        </w:rPr>
        <w:t>gibs</w:t>
      </w:r>
      <w:proofErr w:type="spellEnd"/>
      <w:r w:rsidRPr="00BB1EF6">
        <w:rPr>
          <w:rFonts w:cs="Times New Roman" w:eastAsia="Calibri" w:hAnsi="Calibri" w:ascii="Calibri"/>
        </w:rPr>
        <w:t>, silikonski kitovi i sl.)</w:t>
      </w:r>
    </w:p>
    <w:p w:rsidRDefault="00BB1EF6" w:rsidP="00BB1EF6" w:rsidR="00BB1EF6" w:rsidRPr="00BB1EF6">
      <w:pPr>
        <w:numPr>
          <w:ilvl w:val="0"/>
          <w:numId w:val="4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OTPIS ROBE KOJOJ JE ISTEKAO ROK TRAJANJA – radi se o spojnim elementima u koje je ugrađena guma, a ona više nije takve kakvoće da bi mogla zadovoljiti funkciju</w:t>
      </w:r>
    </w:p>
    <w:p w:rsidRDefault="00BB1EF6" w:rsidP="00BB1EF6" w:rsidR="00BB1EF6" w:rsidRPr="00BB1EF6">
      <w:pPr>
        <w:numPr>
          <w:ilvl w:val="0"/>
          <w:numId w:val="4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DRUGA ROBA ( ukrasi, konfete, borići i sl. ) nije za prodaju</w:t>
      </w:r>
    </w:p>
    <w:p w:rsidRDefault="00BB1EF6" w:rsidP="00BB1EF6" w:rsidR="00BB1EF6" w:rsidRPr="00BB1EF6">
      <w:pPr>
        <w:numPr>
          <w:ilvl w:val="0"/>
          <w:numId w:val="5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Inventurna lista – prilog izvješću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Nakon svega navedenog  predlažem da se ne angažira sudski vještak , jer bi to moglo osiromašiti stečajnu masu.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numPr>
          <w:ilvl w:val="0"/>
          <w:numId w:val="2"/>
        </w:numPr>
        <w:spacing w:lineRule="auto" w:line="259" w:after="160"/>
        <w:contextualSpacing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NEKRETNINE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*Nekretnina upisana kod Općinskog suda u Slatini, stalna služba Orahovica u </w:t>
      </w:r>
      <w:proofErr w:type="spellStart"/>
      <w:r w:rsidRPr="00BB1EF6">
        <w:rPr>
          <w:rFonts w:cs="Times New Roman" w:eastAsia="Calibri" w:hAnsi="Calibri" w:ascii="Calibri"/>
        </w:rPr>
        <w:t>zk.ul</w:t>
      </w:r>
      <w:proofErr w:type="spellEnd"/>
      <w:r w:rsidRPr="00BB1EF6">
        <w:rPr>
          <w:rFonts w:cs="Times New Roman" w:eastAsia="Calibri" w:hAnsi="Calibri" w:ascii="Calibri"/>
        </w:rPr>
        <w:t>. br. 754 k.o. Zdenci na čk.br. 301/5 opisana kao kuća u mjestu, površine 144 m2.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*Nekretnine  upisane kod Općinskog suda Virovitica stalna služba  Orahovica, u zk.ul.br. 907 k.o. Zdenci, na kč.br. 301/7  opisana kao zgrada i dvorište u mjestu 176 m2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*Nekretnine upisane kod Općinskog suda Virovitica stalna služba Orahovica u zk.ul.br. 1564 k.o. Zdenci, na </w:t>
      </w:r>
      <w:proofErr w:type="spellStart"/>
      <w:r w:rsidRPr="00BB1EF6">
        <w:rPr>
          <w:rFonts w:cs="Times New Roman" w:eastAsia="Calibri" w:hAnsi="Calibri" w:ascii="Calibri"/>
        </w:rPr>
        <w:t>kčbr</w:t>
      </w:r>
      <w:proofErr w:type="spellEnd"/>
      <w:r w:rsidRPr="00BB1EF6">
        <w:rPr>
          <w:rFonts w:cs="Times New Roman" w:eastAsia="Calibri" w:hAnsi="Calibri" w:ascii="Calibri"/>
        </w:rPr>
        <w:t xml:space="preserve">. 301/4 opisana kao kuća u mjestu  ( </w:t>
      </w:r>
      <w:proofErr w:type="spellStart"/>
      <w:r w:rsidRPr="00BB1EF6">
        <w:rPr>
          <w:rFonts w:cs="Times New Roman" w:eastAsia="Calibri" w:hAnsi="Calibri" w:ascii="Calibri"/>
        </w:rPr>
        <w:t>spratni</w:t>
      </w:r>
      <w:proofErr w:type="spellEnd"/>
      <w:r w:rsidRPr="00BB1EF6">
        <w:rPr>
          <w:rFonts w:cs="Times New Roman" w:eastAsia="Calibri" w:hAnsi="Calibri" w:ascii="Calibri"/>
        </w:rPr>
        <w:t xml:space="preserve"> i tavanski dio stambene zgrade sa poslovnim prostorom, sagrađene na </w:t>
      </w:r>
      <w:proofErr w:type="spellStart"/>
      <w:r w:rsidRPr="00BB1EF6">
        <w:rPr>
          <w:rFonts w:cs="Times New Roman" w:eastAsia="Calibri" w:hAnsi="Calibri" w:ascii="Calibri"/>
        </w:rPr>
        <w:t>kčbr</w:t>
      </w:r>
      <w:proofErr w:type="spellEnd"/>
      <w:r w:rsidRPr="00BB1EF6">
        <w:rPr>
          <w:rFonts w:cs="Times New Roman" w:eastAsia="Calibri" w:hAnsi="Calibri" w:ascii="Calibri"/>
        </w:rPr>
        <w:t xml:space="preserve">. 301/4, etažom prvog kara, a koja se sastoji  od jedne prostorije 5x9,6 m i četiri stambene prostorije , hodnika i </w:t>
      </w:r>
      <w:proofErr w:type="spellStart"/>
      <w:r w:rsidRPr="00BB1EF6">
        <w:rPr>
          <w:rFonts w:cs="Times New Roman" w:eastAsia="Calibri" w:hAnsi="Calibri" w:ascii="Calibri"/>
        </w:rPr>
        <w:t>wc</w:t>
      </w:r>
      <w:proofErr w:type="spellEnd"/>
      <w:r w:rsidRPr="00BB1EF6">
        <w:rPr>
          <w:rFonts w:cs="Times New Roman" w:eastAsia="Calibri" w:hAnsi="Calibri" w:ascii="Calibri"/>
        </w:rPr>
        <w:t>-a, te tavanskog prostora na cijelom dijelu tog objekta)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POPIS PREDMETA STEČAJNE MASE    čl. 221 SZ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911"/>
        <w:gridCol w:w="4253"/>
        <w:gridCol w:w="3538"/>
      </w:tblGrid>
      <w:tr w:rsidTr="009E20CA" w:rsidR="00BB1EF6" w:rsidRPr="00BB1EF6">
        <w:tc>
          <w:tcPr>
            <w:tcW w:type="dxa" w:w="911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R.br.</w:t>
            </w:r>
          </w:p>
        </w:tc>
        <w:tc>
          <w:tcPr>
            <w:tcW w:type="dxa" w:w="4253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OPIS IMOVINE</w:t>
            </w:r>
          </w:p>
        </w:tc>
        <w:tc>
          <w:tcPr>
            <w:tcW w:type="dxa" w:w="3538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VRIJEDNOST U POČETNOJ STEČAJNOJ BILANCI</w:t>
            </w:r>
          </w:p>
        </w:tc>
      </w:tr>
      <w:tr w:rsidTr="009E20CA" w:rsidR="00BB1EF6" w:rsidRPr="00BB1EF6">
        <w:tc>
          <w:tcPr>
            <w:tcW w:type="dxa" w:w="911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4253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Trgovačka roba i repromaterijal na zalihi</w:t>
            </w:r>
          </w:p>
        </w:tc>
        <w:tc>
          <w:tcPr>
            <w:tcW w:type="dxa" w:w="3538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  371.168,36</w:t>
            </w:r>
          </w:p>
        </w:tc>
      </w:tr>
      <w:tr w:rsidTr="009E20CA" w:rsidR="00BB1EF6" w:rsidRPr="00BB1EF6">
        <w:tc>
          <w:tcPr>
            <w:tcW w:type="dxa" w:w="911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2.</w:t>
            </w:r>
          </w:p>
        </w:tc>
        <w:tc>
          <w:tcPr>
            <w:tcW w:type="dxa" w:w="4253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Nekretnine – knjigovodstvena vrijednost</w:t>
            </w:r>
          </w:p>
        </w:tc>
        <w:tc>
          <w:tcPr>
            <w:tcW w:type="dxa" w:w="3538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  110.219,00</w:t>
            </w:r>
          </w:p>
        </w:tc>
      </w:tr>
      <w:tr w:rsidTr="009E20CA" w:rsidR="00BB1EF6" w:rsidRPr="00BB1EF6">
        <w:tc>
          <w:tcPr>
            <w:tcW w:type="dxa" w:w="911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4253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</w:p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UKUPNO ( 1+2)</w:t>
            </w:r>
          </w:p>
        </w:tc>
        <w:tc>
          <w:tcPr>
            <w:tcW w:type="dxa" w:w="3538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  </w:t>
            </w:r>
          </w:p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  481.387,36</w:t>
            </w:r>
          </w:p>
        </w:tc>
      </w:tr>
    </w:tbl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NAPOMENA :  Za trgovačku robu predlažem prodaju putem oglasa, prikupljanjem pisanih ponuda  sa početnom cijenom od 150.000,00 kn.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Za nekretnine predlažem angažiranje sudskog vještaka, jer knjigovodstvena vrijednost ne odgovara stvarnom stanju vrijednosti imovine.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IZVRŠEN JE POPIS IMOVINE I OBVEZA U SKLADU SA ČL. 223 SZ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Pregled  imovine i obveza ( čl. 223 SZ)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A )  IMOVINA</w:t>
      </w: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1053"/>
        <w:gridCol w:w="4748"/>
        <w:gridCol w:w="2901"/>
      </w:tblGrid>
      <w:tr w:rsidTr="009E20CA" w:rsidR="00BB1EF6" w:rsidRPr="00BB1EF6">
        <w:tc>
          <w:tcPr>
            <w:tcW w:type="dxa" w:w="1053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R.br.</w:t>
            </w:r>
          </w:p>
        </w:tc>
        <w:tc>
          <w:tcPr>
            <w:tcW w:type="dxa" w:w="4748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OPIS IMOVINE</w:t>
            </w:r>
          </w:p>
        </w:tc>
        <w:tc>
          <w:tcPr>
            <w:tcW w:type="dxa" w:w="2901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VRIJEDNOST U POČETNOJ STEČAJNOJ BILANCI (KN)</w:t>
            </w:r>
          </w:p>
        </w:tc>
      </w:tr>
      <w:tr w:rsidTr="009E20CA" w:rsidR="00BB1EF6" w:rsidRPr="00BB1EF6">
        <w:tc>
          <w:tcPr>
            <w:tcW w:type="dxa" w:w="1053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4748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Pokretnine</w:t>
            </w:r>
          </w:p>
        </w:tc>
        <w:tc>
          <w:tcPr>
            <w:tcW w:type="dxa" w:w="2901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371.168,36</w:t>
            </w:r>
          </w:p>
        </w:tc>
      </w:tr>
      <w:tr w:rsidTr="009E20CA" w:rsidR="00BB1EF6" w:rsidRPr="00BB1EF6">
        <w:tc>
          <w:tcPr>
            <w:tcW w:type="dxa" w:w="1053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2.</w:t>
            </w:r>
          </w:p>
        </w:tc>
        <w:tc>
          <w:tcPr>
            <w:tcW w:type="dxa" w:w="4748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Nekretnine</w:t>
            </w:r>
          </w:p>
        </w:tc>
        <w:tc>
          <w:tcPr>
            <w:tcW w:type="dxa" w:w="2901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110.219,00</w:t>
            </w:r>
          </w:p>
        </w:tc>
      </w:tr>
      <w:tr w:rsidTr="009E20CA" w:rsidR="00BB1EF6" w:rsidRPr="00BB1EF6">
        <w:tc>
          <w:tcPr>
            <w:tcW w:type="dxa" w:w="1053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4748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UKUPNO ( 1+2) </w:t>
            </w:r>
          </w:p>
        </w:tc>
        <w:tc>
          <w:tcPr>
            <w:tcW w:type="dxa" w:w="2901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481.387,36</w:t>
            </w:r>
          </w:p>
        </w:tc>
      </w:tr>
    </w:tbl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ind w:left="3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lastRenderedPageBreak/>
        <w:t>B)   OBVEZE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tbl>
      <w:tblPr>
        <w:tblStyle w:val="Reetkatablice"/>
        <w:tblW w:type="auto" w:w="0"/>
        <w:tblInd w:type="dxa" w:w="279"/>
        <w:tblLook w:val="04A0" w:noVBand="1" w:noHBand="0" w:lastColumn="0" w:firstColumn="1" w:lastRow="0" w:firstRow="1"/>
      </w:tblPr>
      <w:tblGrid>
        <w:gridCol w:w="992"/>
        <w:gridCol w:w="4770"/>
        <w:gridCol w:w="3021"/>
      </w:tblGrid>
      <w:tr w:rsidTr="009E20CA" w:rsidR="00BB1EF6" w:rsidRPr="00BB1EF6">
        <w:tc>
          <w:tcPr>
            <w:tcW w:type="dxa" w:w="992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R.br.</w:t>
            </w:r>
          </w:p>
        </w:tc>
        <w:tc>
          <w:tcPr>
            <w:tcW w:type="dxa" w:w="4770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OSNOV TRAŽBINE</w:t>
            </w:r>
          </w:p>
        </w:tc>
        <w:tc>
          <w:tcPr>
            <w:tcW w:type="dxa" w:w="3021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VRIJEDNOST U POČETNOJ STEČAJNOJ BILANCI (kn)</w:t>
            </w:r>
          </w:p>
        </w:tc>
      </w:tr>
      <w:tr w:rsidTr="009E20CA" w:rsidR="00BB1EF6" w:rsidRPr="00BB1EF6">
        <w:tc>
          <w:tcPr>
            <w:tcW w:type="dxa" w:w="992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4770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Obveze za poreze i doprinose</w:t>
            </w:r>
          </w:p>
        </w:tc>
        <w:tc>
          <w:tcPr>
            <w:tcW w:type="dxa" w:w="3021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             48.447,19</w:t>
            </w:r>
          </w:p>
        </w:tc>
      </w:tr>
      <w:tr w:rsidTr="009E20CA" w:rsidR="00BB1EF6" w:rsidRPr="00BB1EF6">
        <w:tc>
          <w:tcPr>
            <w:tcW w:type="dxa" w:w="992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2.</w:t>
            </w:r>
          </w:p>
        </w:tc>
        <w:tc>
          <w:tcPr>
            <w:tcW w:type="dxa" w:w="4770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Obveze prema radnicima</w:t>
            </w:r>
          </w:p>
        </w:tc>
        <w:tc>
          <w:tcPr>
            <w:tcW w:type="dxa" w:w="3021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             16.943,01</w:t>
            </w:r>
          </w:p>
        </w:tc>
      </w:tr>
      <w:tr w:rsidTr="009E20CA" w:rsidR="00BB1EF6" w:rsidRPr="00BB1EF6">
        <w:tc>
          <w:tcPr>
            <w:tcW w:type="dxa" w:w="992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3.</w:t>
            </w:r>
          </w:p>
        </w:tc>
        <w:tc>
          <w:tcPr>
            <w:tcW w:type="dxa" w:w="4770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Ostale obveze ( dobavljači )</w:t>
            </w:r>
          </w:p>
        </w:tc>
        <w:tc>
          <w:tcPr>
            <w:tcW w:type="dxa" w:w="3021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               7.482,38</w:t>
            </w:r>
          </w:p>
        </w:tc>
      </w:tr>
      <w:tr w:rsidTr="009E20CA" w:rsidR="00BB1EF6" w:rsidRPr="00BB1EF6">
        <w:tc>
          <w:tcPr>
            <w:tcW w:type="dxa" w:w="992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4.</w:t>
            </w:r>
          </w:p>
        </w:tc>
        <w:tc>
          <w:tcPr>
            <w:tcW w:type="dxa" w:w="4770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Obveze prema financijskim institucijama</w:t>
            </w:r>
          </w:p>
        </w:tc>
        <w:tc>
          <w:tcPr>
            <w:tcW w:type="dxa" w:w="3021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       1.008.242,85</w:t>
            </w:r>
          </w:p>
        </w:tc>
      </w:tr>
      <w:tr w:rsidTr="009E20CA" w:rsidR="00BB1EF6" w:rsidRPr="00BB1EF6">
        <w:tc>
          <w:tcPr>
            <w:tcW w:type="dxa" w:w="992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4770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>UKUPNO (1+2+3+4)</w:t>
            </w:r>
          </w:p>
        </w:tc>
        <w:tc>
          <w:tcPr>
            <w:tcW w:type="dxa" w:w="3021"/>
            <w:shd w:themeFillShade="F2" w:themeFill="background1" w:fill="F2F2F2" w:color="auto" w:val="clear"/>
          </w:tcPr>
          <w:p w:rsidRDefault="00BB1EF6" w:rsidP="00BB1EF6" w:rsidR="00BB1EF6" w:rsidRPr="00BB1EF6">
            <w:pPr>
              <w:rPr>
                <w:rFonts w:cs="Times New Roman" w:eastAsia="Calibri" w:hAnsi="Calibri" w:ascii="Calibri"/>
              </w:rPr>
            </w:pPr>
            <w:r w:rsidRPr="00BB1EF6">
              <w:rPr>
                <w:rFonts w:cs="Times New Roman" w:eastAsia="Calibri" w:hAnsi="Calibri" w:ascii="Calibri"/>
              </w:rPr>
              <w:t xml:space="preserve">           1.081.115,43</w:t>
            </w:r>
          </w:p>
        </w:tc>
      </w:tr>
    </w:tbl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NAPOMENA :  Obveze u  početnoj stečajnoj bilanci iskazane su prema zaprimljenim prijavama tražbina.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IV  PRIJAVLJENE TRAŽBINE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U roku određenom za prijavu tražbina ( u skladu sa čl. 257 i 258 SZ), pristiglo je ukupno deset ( 1o) pravovaljanih tražbina , i to :  pet ( 5) tražbina prvog višeg isplatnog reda i pet ( 5) tražbina drugog višeg isplatnog reda.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 xml:space="preserve">Pristigle su i dvije obavijesti o postojanju </w:t>
      </w:r>
      <w:proofErr w:type="spellStart"/>
      <w:r w:rsidRPr="00BB1EF6">
        <w:rPr>
          <w:rFonts w:cs="Times New Roman" w:eastAsia="Calibri" w:hAnsi="Calibri" w:ascii="Calibri"/>
        </w:rPr>
        <w:t>razlučnog</w:t>
      </w:r>
      <w:proofErr w:type="spellEnd"/>
      <w:r w:rsidRPr="00BB1EF6">
        <w:rPr>
          <w:rFonts w:cs="Times New Roman" w:eastAsia="Calibri" w:hAnsi="Calibri" w:ascii="Calibri"/>
        </w:rPr>
        <w:t xml:space="preserve"> prava na nekretninama ( čl. 259 SZ).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Nije pristigla ni jedna obavijest o izlučnom pravu, niti je utvrđena.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  <w:r w:rsidRPr="00BB1EF6">
        <w:rPr>
          <w:rFonts w:cs="Times New Roman" w:eastAsia="Calibri" w:hAnsi="Calibri" w:ascii="Calibri"/>
        </w:rPr>
        <w:t>Ukupno prijavljene tražbine  prvog i drugog višeg isplatnog reda iznose 1.081.115,43 kn.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 xml:space="preserve">ZAKLJUČAK 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PREDLAŽEM :</w:t>
      </w:r>
    </w:p>
    <w:p w:rsidRDefault="00BB1EF6" w:rsidP="00BB1EF6" w:rsidR="00BB1EF6" w:rsidRPr="00BB1EF6">
      <w:pPr>
        <w:numPr>
          <w:ilvl w:val="0"/>
          <w:numId w:val="6"/>
        </w:numPr>
        <w:spacing w:lineRule="auto" w:line="259" w:after="160"/>
        <w:contextualSpacing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Da se izvješće stečajnog upravitelja, kao takvo, u cijelosti prihvati</w:t>
      </w:r>
    </w:p>
    <w:p w:rsidRDefault="00BB1EF6" w:rsidP="00BB1EF6" w:rsidR="00BB1EF6" w:rsidRPr="00BB1EF6">
      <w:pPr>
        <w:numPr>
          <w:ilvl w:val="0"/>
          <w:numId w:val="6"/>
        </w:numPr>
        <w:spacing w:lineRule="auto" w:line="259" w:after="160"/>
        <w:contextualSpacing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Da se prihvati konstatacija da stečajni dužnik nema daljnjih mogućnosti za nastavak poslovanja</w:t>
      </w:r>
    </w:p>
    <w:p w:rsidRDefault="00BB1EF6" w:rsidP="00BB1EF6" w:rsidR="00BB1EF6" w:rsidRPr="00BB1EF6">
      <w:pPr>
        <w:numPr>
          <w:ilvl w:val="0"/>
          <w:numId w:val="6"/>
        </w:numPr>
        <w:spacing w:lineRule="auto" w:line="259" w:after="160"/>
        <w:contextualSpacing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Da se pokretna imovina unovči u  skladu sa čl. 229 st. 1 i 2, odnosno, da imovinu stečajnog dužnika unovči stečajni upravitelj prikupljanjem pisanih ponuda ili neposrednom pogodbom , te da početna cijena bude 150.000,00 kn</w:t>
      </w:r>
    </w:p>
    <w:p w:rsidRDefault="00BB1EF6" w:rsidP="00BB1EF6" w:rsidR="00BB1EF6" w:rsidRPr="00BB1EF6">
      <w:pPr>
        <w:numPr>
          <w:ilvl w:val="0"/>
          <w:numId w:val="6"/>
        </w:numPr>
        <w:spacing w:lineRule="auto" w:line="259" w:after="160"/>
        <w:contextualSpacing/>
        <w:rPr>
          <w:rFonts w:cs="Times New Roman" w:eastAsia="Calibri" w:hAnsi="Calibri" w:ascii="Calibri"/>
          <w:b/>
        </w:rPr>
      </w:pPr>
      <w:r w:rsidRPr="00BB1EF6">
        <w:rPr>
          <w:rFonts w:cs="Times New Roman" w:eastAsia="Calibri" w:hAnsi="Calibri" w:ascii="Calibri"/>
          <w:b/>
        </w:rPr>
        <w:t>Da se za nekretnine  angažira sudski vještak, te da se nakon utvrđivanja cijene istih prodaju u skladu sa odredbama Stečajnog zakona</w:t>
      </w:r>
    </w:p>
    <w:p w:rsidRDefault="00BB1EF6" w:rsidP="00BB1EF6" w:rsidR="00BB1EF6" w:rsidRPr="00BB1EF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BB1EF6" w:rsidP="00BB1EF6" w:rsidR="00E529BF">
      <w:pPr>
        <w:spacing w:lineRule="auto" w:line="259" w:after="160"/>
      </w:pPr>
      <w:r w:rsidRPr="00BB1EF6">
        <w:rPr>
          <w:rFonts w:cs="Times New Roman" w:eastAsia="Calibri" w:hAnsi="Calibri" w:ascii="Calibri"/>
        </w:rPr>
        <w:t>Ludbreg, 4. listopad 2018.                                                           Stečajni upravitelj:   Ivo Žiža</w:t>
      </w:r>
      <w:bookmarkStart w:name="_GoBack" w:id="0"/>
      <w:bookmarkEnd w:id="0"/>
    </w:p>
    <w:sectPr w:rsidR="00E529BF">
      <w:footerReference w:type="default" r:id="rId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9863814"/>
      <w:docPartObj>
        <w:docPartGallery w:val="Page Numbers (Bottom of Page)"/>
        <w:docPartUnique/>
      </w:docPartObj>
    </w:sdtPr>
    <w:sdtEndPr/>
    <w:sdtContent>
      <w:p w:rsidRDefault="00BB1EF6" w:rsidR="00BA18AB">
        <w:pPr>
          <w:pStyle w:val="Podnoje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Default="00BB1EF6" w:rsidR="00BA18AB">
    <w:pPr>
      <w:pStyle w:val="Podnoje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A7C"/>
    <w:multiLevelType w:val="hybridMultilevel"/>
    <w:tmpl w:val="2FCC10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41314"/>
    <w:multiLevelType w:val="hybridMultilevel"/>
    <w:tmpl w:val="1D18A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B3D44"/>
    <w:multiLevelType w:val="hybridMultilevel"/>
    <w:tmpl w:val="A0D8F2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A84EB9"/>
    <w:multiLevelType w:val="hybridMultilevel"/>
    <w:tmpl w:val="BDF02856"/>
    <w:lvl w:tplc="34A025F0" w:ilvl="0">
      <w:start w:val="2"/>
      <w:numFmt w:val="bullet"/>
      <w:lvlText w:val=""/>
      <w:lvlJc w:val="left"/>
      <w:pPr>
        <w:ind w:hanging="360" w:left="72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2D1577F"/>
    <w:multiLevelType w:val="hybridMultilevel"/>
    <w:tmpl w:val="636ED134"/>
    <w:lvl w:tplc="BF22F682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21678D4"/>
    <w:multiLevelType w:val="hybridMultilevel"/>
    <w:tmpl w:val="9B8E2B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1EF6"/>
    <w:rsid w:val="00750F21"/>
    <w:rsid w:val="00BB1EF6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BB1E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B1EF6"/>
  </w:style>
  <w:style w:styleId="Reetkatablice" w:type="table">
    <w:name w:val="Table Grid"/>
    <w:basedOn w:val="Obinatablica"/>
    <w:uiPriority w:val="39"/>
    <w:rsid w:val="00BB1EF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BB1E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B1EF6"/>
  </w:style>
  <w:style w:styleId="Reetkatablice" w:type="table">
    <w:name w:val="Table Grid"/>
    <w:basedOn w:val="Obinatablica"/>
    <w:uiPriority w:val="39"/>
    <w:rsid w:val="00BB1EF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1241</properties:Words>
  <properties:Characters>7074</properties:Characters>
  <properties:Lines>58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2018-10-09T12:42:00Z</dcterms:created>
  <dc:creator>Željka Vitez</dc:creator>
  <cp:lastModifiedBy>Željka Vitez</cp:lastModifiedBy>
  <dcterms:modified xmlns:xsi="http://www.w3.org/2001/XMLSchema-instance" xsi:type="dcterms:W3CDTF">2018-10-09T12:43:00Z</dcterms:modified>
  <cp:revision>1</cp:revision>
</cp:coreProperties>
</file>