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78957" w14:paraId="7b78957" w:rsidRDefault="00AE649C" w:rsidP="004F27AE" w:rsidR="00AE649C" w:rsidRPr="00B76F3C">
      <w:pPr>
        <w:pStyle w:val="NormaleSPIS"/>
        <w15:collapsed w:val="false"/>
      </w:pPr>
    </w:p>
    <w:p w:rsidRDefault="00AB4602" w:rsidP="00EC7EE4" w:rsidR="00EC7EE4" w:rsidRPr="00EC7EE4">
      <w:pPr>
        <w:pStyle w:val="NormaleSPIS"/>
        <w:ind w:firstLine="708" w:left="4956"/>
        <w:rPr>
          <w:rFonts w:cs="Arial" w:hAnsi="Arial" w:ascii="Arial"/>
          <w:b/>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C7EE4" w:rsidRPr="00EC7EE4">
        <w:rPr>
          <w:rFonts w:cs="Times New Roman" w:eastAsia="Calibri"/>
          <w:b/>
          <w:noProof/>
        </w:rPr>
        <w:t xml:space="preserve">     </w:t>
      </w:r>
      <w:r w:rsidR="00EC7EE4" w:rsidRPr="00EC7EE4">
        <w:rPr>
          <w:rFonts w:cs="Times New Roman"/>
        </w:rPr>
        <w:t>Poslovni</w:t>
      </w:r>
      <w:bookmarkStart w:name="_GoBack" w:id="0"/>
      <w:bookmarkEnd w:id="0"/>
      <w:r w:rsidR="00EC7EE4" w:rsidRPr="00EC7EE4">
        <w:rPr>
          <w:rFonts w:cs="Times New Roman"/>
        </w:rPr>
        <w:t xml:space="preserve"> broj 3. St-7/2010-314</w:t>
      </w:r>
    </w:p>
    <w:p w:rsidRDefault="00EC7EE4" w:rsidP="00EC7EE4" w:rsidR="00EC7EE4" w:rsidRPr="00EC7EE4">
      <w:pPr>
        <w:spacing w:after="0"/>
        <w:ind w:firstLine="708"/>
        <w:rPr>
          <w:rFonts w:cs="Arial" w:eastAsia="Times New Roman" w:hAnsi="Arial" w:ascii="Arial"/>
          <w:b/>
          <w:lang w:eastAsia="hr-HR"/>
        </w:rPr>
      </w:pPr>
      <w:r w:rsidRPr="00EC7EE4">
        <w:rPr>
          <w:rFonts w:cs="Times New Roman" w:eastAsia="Times New Roman"/>
          <w:lang w:eastAsia="hr-HR"/>
        </w:rPr>
        <w:t xml:space="preserve">REPUBLIKA HRVATSKA </w:t>
      </w:r>
      <w:r w:rsidRPr="00EC7EE4">
        <w:rPr>
          <w:rFonts w:cs="Times New Roman" w:eastAsia="Times New Roman"/>
          <w:lang w:eastAsia="hr-HR"/>
        </w:rPr>
        <w:tab/>
      </w:r>
      <w:r w:rsidRPr="00EC7EE4">
        <w:rPr>
          <w:rFonts w:cs="Times New Roman" w:eastAsia="Times New Roman"/>
          <w:lang w:eastAsia="hr-HR"/>
        </w:rPr>
        <w:tab/>
      </w:r>
      <w:r w:rsidRPr="00EC7EE4">
        <w:rPr>
          <w:rFonts w:cs="Times New Roman" w:eastAsia="Times New Roman"/>
          <w:lang w:eastAsia="hr-HR"/>
        </w:rPr>
        <w:tab/>
      </w:r>
      <w:r w:rsidRPr="00EC7EE4">
        <w:rPr>
          <w:rFonts w:cs="Times New Roman" w:eastAsia="Times New Roman"/>
          <w:lang w:eastAsia="hr-HR"/>
        </w:rPr>
        <w:tab/>
      </w:r>
      <w:r w:rsidRPr="00EC7EE4">
        <w:rPr>
          <w:rFonts w:cs="Times New Roman" w:eastAsia="Times New Roman"/>
          <w:lang w:eastAsia="hr-HR"/>
        </w:rPr>
        <w:tab/>
      </w:r>
    </w:p>
    <w:p w:rsidRDefault="00EC7EE4" w:rsidP="00EC7EE4" w:rsidR="00EC7EE4" w:rsidRPr="00EC7EE4">
      <w:pPr>
        <w:spacing w:after="0"/>
        <w:ind w:firstLine="708"/>
        <w:rPr>
          <w:rFonts w:cs="Times New Roman" w:eastAsia="Times New Roman"/>
          <w:lang w:eastAsia="hr-HR"/>
        </w:rPr>
      </w:pPr>
      <w:r w:rsidRPr="00EC7EE4">
        <w:rPr>
          <w:rFonts w:cs="Times New Roman" w:eastAsia="Times New Roman"/>
          <w:lang w:eastAsia="hr-HR"/>
        </w:rPr>
        <w:t>TRGOVAČKI SUD U ZADRU</w:t>
      </w:r>
    </w:p>
    <w:p w:rsidRDefault="00EC7EE4" w:rsidP="00EC7EE4" w:rsidR="00EC7EE4" w:rsidRPr="00EC7EE4">
      <w:pPr>
        <w:spacing w:after="0"/>
        <w:ind w:firstLine="708"/>
        <w:rPr>
          <w:rFonts w:cs="Times New Roman" w:eastAsia="Times New Roman"/>
          <w:lang w:eastAsia="hr-HR"/>
        </w:rPr>
      </w:pPr>
      <w:r w:rsidRPr="00EC7EE4">
        <w:rPr>
          <w:rFonts w:cs="Times New Roman" w:eastAsia="Times New Roman"/>
          <w:lang w:eastAsia="hr-HR"/>
        </w:rPr>
        <w:t>Zadar, Dr. Franje Tuđmana 35</w:t>
      </w:r>
    </w:p>
    <w:p w:rsidRDefault="00EC7EE4" w:rsidP="00EC7EE4" w:rsidR="00EC7EE4" w:rsidRPr="00EC7EE4">
      <w:pPr>
        <w:spacing w:after="0"/>
        <w:rPr>
          <w:rFonts w:cs="Times New Roman" w:eastAsia="Times New Roman"/>
          <w:lang w:eastAsia="hr-HR"/>
        </w:rPr>
      </w:pPr>
      <w:r w:rsidRPr="00EC7EE4">
        <w:rPr>
          <w:rFonts w:cs="Times New Roman" w:eastAsia="Times New Roman"/>
          <w:lang w:eastAsia="hr-HR"/>
        </w:rPr>
        <w:tab/>
      </w:r>
      <w:r w:rsidRPr="00EC7EE4">
        <w:rPr>
          <w:rFonts w:cs="Times New Roman" w:eastAsia="Times New Roman"/>
          <w:lang w:eastAsia="hr-HR"/>
        </w:rPr>
        <w:tab/>
      </w:r>
    </w:p>
    <w:p w:rsidRDefault="00EC7EE4" w:rsidP="00EC7EE4" w:rsidR="00EC7EE4" w:rsidRPr="00EC7EE4">
      <w:pPr>
        <w:spacing w:after="0"/>
        <w:jc w:val="center"/>
        <w:rPr>
          <w:rFonts w:cs="Times New Roman" w:eastAsia="Times New Roman"/>
          <w:lang w:eastAsia="hr-HR"/>
        </w:rPr>
      </w:pPr>
    </w:p>
    <w:p w:rsidRDefault="00EC7EE4" w:rsidP="00EC7EE4" w:rsidR="00EC7EE4" w:rsidRPr="00EC7EE4">
      <w:pPr>
        <w:spacing w:after="0"/>
        <w:jc w:val="center"/>
        <w:rPr>
          <w:rFonts w:cs="Times New Roman" w:eastAsia="Times New Roman"/>
          <w:lang w:eastAsia="hr-HR"/>
        </w:rPr>
      </w:pPr>
      <w:r w:rsidRPr="00EC7EE4">
        <w:rPr>
          <w:rFonts w:cs="Times New Roman" w:eastAsia="Times New Roman"/>
          <w:lang w:eastAsia="hr-HR"/>
        </w:rPr>
        <w:t xml:space="preserve">R E P U B L I K A  H R V A T S KA </w:t>
      </w:r>
    </w:p>
    <w:p w:rsidRDefault="00EC7EE4" w:rsidP="00EC7EE4" w:rsidR="00EC7EE4" w:rsidRPr="00EC7EE4">
      <w:pPr>
        <w:spacing w:after="0"/>
        <w:jc w:val="both"/>
        <w:rPr>
          <w:rFonts w:cs="Times New Roman" w:eastAsia="Times New Roman"/>
          <w:bCs/>
          <w:lang w:eastAsia="hr-HR"/>
        </w:rPr>
      </w:pPr>
    </w:p>
    <w:p w:rsidRDefault="00EC7EE4" w:rsidP="00EC7EE4" w:rsidR="00EC7EE4" w:rsidRPr="00EC7EE4">
      <w:pPr>
        <w:spacing w:after="0"/>
        <w:jc w:val="center"/>
        <w:rPr>
          <w:rFonts w:cs="Times New Roman" w:eastAsia="Times New Roman"/>
          <w:bCs/>
          <w:lang w:eastAsia="hr-HR"/>
        </w:rPr>
      </w:pPr>
      <w:r w:rsidRPr="00EC7EE4">
        <w:rPr>
          <w:rFonts w:cs="Times New Roman" w:eastAsia="Times New Roman"/>
          <w:bCs/>
          <w:lang w:eastAsia="hr-HR"/>
        </w:rPr>
        <w:t xml:space="preserve">Z A K LJ U Č A K </w:t>
      </w:r>
    </w:p>
    <w:p w:rsidRDefault="00EC7EE4" w:rsidP="00EC7EE4" w:rsidR="00EC7EE4" w:rsidRPr="00EC7EE4">
      <w:pPr>
        <w:spacing w:after="0"/>
        <w:jc w:val="center"/>
        <w:rPr>
          <w:rFonts w:cs="Times New Roman" w:eastAsia="Times New Roman"/>
          <w:lang w:eastAsia="hr-HR"/>
        </w:rPr>
      </w:pPr>
    </w:p>
    <w:p w:rsidRDefault="00EC7EE4" w:rsidP="00EC7EE4" w:rsidR="00EC7EE4" w:rsidRPr="00EC7EE4">
      <w:pPr>
        <w:ind w:firstLine="705"/>
        <w:jc w:val="both"/>
        <w:rPr>
          <w:rFonts w:cs="Times New Roman" w:eastAsia="Calibri"/>
        </w:rPr>
      </w:pPr>
      <w:r w:rsidRPr="00EC7EE4">
        <w:rPr>
          <w:rFonts w:cs="Times New Roman" w:eastAsia="Calibri"/>
        </w:rPr>
        <w:tab/>
        <w:t xml:space="preserve">Trgovački sud u Zadru, po sutkinji Tini Grgas, u stečajnom postupku nad stečajnim dužnikom HERES d.o.o. u stečaju, Vir, Virski put 137, OIB: 21920680004, kojeg zastupa stečajna upraviteljica Marica Nekić iz Zadra, Put </w:t>
      </w:r>
      <w:proofErr w:type="spellStart"/>
      <w:r w:rsidRPr="00EC7EE4">
        <w:rPr>
          <w:rFonts w:cs="Times New Roman" w:eastAsia="Calibri"/>
        </w:rPr>
        <w:t>Gazića</w:t>
      </w:r>
      <w:proofErr w:type="spellEnd"/>
      <w:r w:rsidRPr="00EC7EE4">
        <w:rPr>
          <w:rFonts w:cs="Times New Roman" w:eastAsia="Calibri"/>
        </w:rPr>
        <w:t xml:space="preserve"> 14 A, odlučujući o prijedlogu stečajne upraviteljice od 28. kolovoza 2017. za dopunu dnevnog reda za ročište skupštine vjerovnika zakazano za 6. rujna 2017., 28. kolovoza 2017. </w:t>
      </w:r>
    </w:p>
    <w:p w:rsidRDefault="00EC7EE4" w:rsidP="00EC7EE4" w:rsidR="00EC7EE4" w:rsidRPr="00EC7EE4">
      <w:pPr>
        <w:spacing w:after="0"/>
        <w:jc w:val="center"/>
        <w:rPr>
          <w:rFonts w:cs="Times New Roman" w:eastAsia="Times New Roman"/>
          <w:lang w:eastAsia="hr-HR"/>
        </w:rPr>
      </w:pPr>
      <w:r w:rsidRPr="00EC7EE4">
        <w:rPr>
          <w:rFonts w:cs="Times New Roman" w:eastAsia="Times New Roman"/>
          <w:lang w:eastAsia="hr-HR"/>
        </w:rPr>
        <w:t xml:space="preserve">z a k </w:t>
      </w:r>
      <w:proofErr w:type="spellStart"/>
      <w:r w:rsidRPr="00EC7EE4">
        <w:rPr>
          <w:rFonts w:cs="Times New Roman" w:eastAsia="Times New Roman"/>
          <w:lang w:eastAsia="hr-HR"/>
        </w:rPr>
        <w:t>lj</w:t>
      </w:r>
      <w:proofErr w:type="spellEnd"/>
      <w:r w:rsidRPr="00EC7EE4">
        <w:rPr>
          <w:rFonts w:cs="Times New Roman" w:eastAsia="Times New Roman"/>
          <w:lang w:eastAsia="hr-HR"/>
        </w:rPr>
        <w:t xml:space="preserve"> u č i o   j e</w:t>
      </w:r>
    </w:p>
    <w:p w:rsidRDefault="00EC7EE4" w:rsidP="00EC7EE4" w:rsidR="00EC7EE4" w:rsidRPr="00EC7EE4">
      <w:pPr>
        <w:tabs>
          <w:tab w:pos="1080" w:val="left"/>
        </w:tabs>
        <w:spacing w:after="0"/>
        <w:jc w:val="both"/>
        <w:rPr>
          <w:rFonts w:cs="Times New Roman" w:eastAsia="Times New Roman"/>
          <w:lang w:eastAsia="hr-HR"/>
        </w:rPr>
      </w:pPr>
      <w:r w:rsidRPr="00EC7EE4">
        <w:rPr>
          <w:rFonts w:cs="Times New Roman" w:eastAsia="Times New Roman"/>
          <w:lang w:eastAsia="hr-HR"/>
        </w:rPr>
        <w:t xml:space="preserve">  </w:t>
      </w:r>
    </w:p>
    <w:p w:rsidRDefault="00EC7EE4" w:rsidP="00EC7EE4" w:rsidR="00EC7EE4" w:rsidRPr="00EC7EE4">
      <w:pPr>
        <w:tabs>
          <w:tab w:pos="709" w:val="left"/>
        </w:tabs>
        <w:spacing w:after="0"/>
        <w:jc w:val="both"/>
        <w:rPr>
          <w:rFonts w:cs="Times New Roman" w:eastAsia="Times New Roman"/>
          <w:lang w:eastAsia="hr-HR"/>
        </w:rPr>
      </w:pPr>
      <w:r w:rsidRPr="00EC7EE4">
        <w:rPr>
          <w:rFonts w:cs="Times New Roman" w:eastAsia="Times New Roman"/>
          <w:lang w:eastAsia="hr-HR"/>
        </w:rPr>
        <w:tab/>
        <w:t>I. Zaključkom ovoga suda poslovni broj 3. St-7/2010-310 od 11. srpnja 2017. dana je suglasnost stečajnoj upraviteljici uvodno označenog dužnika za završnu diobu, određeno je završno ročište za dan 6. rujna 2017. u 10,30 sati te je točkom III. izreke istog određeno da će se na završnom ročištu vjerovnika raspravljati o:</w:t>
      </w:r>
    </w:p>
    <w:p w:rsidRDefault="00EC7EE4" w:rsidP="00EC7EE4" w:rsidR="00EC7EE4" w:rsidRPr="00EC7EE4">
      <w:pPr>
        <w:numPr>
          <w:ilvl w:val="0"/>
          <w:numId w:val="47"/>
        </w:numPr>
        <w:tabs>
          <w:tab w:pos="709" w:val="left"/>
        </w:tabs>
        <w:spacing w:after="0"/>
        <w:contextualSpacing/>
        <w:jc w:val="both"/>
        <w:rPr>
          <w:rFonts w:cs="Times New Roman" w:eastAsia="Times New Roman"/>
          <w:lang w:eastAsia="hr-HR"/>
        </w:rPr>
      </w:pPr>
      <w:r w:rsidRPr="00EC7EE4">
        <w:rPr>
          <w:rFonts w:cs="Times New Roman" w:eastAsia="Times New Roman"/>
          <w:lang w:eastAsia="hr-HR"/>
        </w:rPr>
        <w:t xml:space="preserve">završnom računu stečajne upraviteljice, </w:t>
      </w:r>
    </w:p>
    <w:p w:rsidRDefault="00EC7EE4" w:rsidP="00EC7EE4" w:rsidR="00EC7EE4" w:rsidRPr="00EC7EE4">
      <w:pPr>
        <w:numPr>
          <w:ilvl w:val="0"/>
          <w:numId w:val="47"/>
        </w:numPr>
        <w:tabs>
          <w:tab w:pos="709" w:val="left"/>
        </w:tabs>
        <w:spacing w:after="0"/>
        <w:contextualSpacing/>
        <w:jc w:val="both"/>
        <w:rPr>
          <w:rFonts w:cs="Times New Roman" w:eastAsia="Times New Roman"/>
          <w:lang w:eastAsia="hr-HR"/>
        </w:rPr>
      </w:pPr>
      <w:r w:rsidRPr="00EC7EE4">
        <w:rPr>
          <w:rFonts w:cs="Times New Roman" w:eastAsia="Times New Roman"/>
          <w:lang w:eastAsia="hr-HR"/>
        </w:rPr>
        <w:t>mogućim prigovorima na završni popis,</w:t>
      </w:r>
    </w:p>
    <w:p w:rsidRDefault="00EC7EE4" w:rsidP="00EC7EE4" w:rsidR="00EC7EE4" w:rsidRPr="00EC7EE4">
      <w:pPr>
        <w:numPr>
          <w:ilvl w:val="0"/>
          <w:numId w:val="47"/>
        </w:numPr>
        <w:tabs>
          <w:tab w:pos="709" w:val="left"/>
        </w:tabs>
        <w:spacing w:after="0"/>
        <w:contextualSpacing/>
        <w:jc w:val="both"/>
        <w:rPr>
          <w:rFonts w:cs="Times New Roman" w:eastAsia="Times New Roman"/>
          <w:lang w:eastAsia="hr-HR"/>
        </w:rPr>
      </w:pPr>
      <w:r w:rsidRPr="00EC7EE4">
        <w:rPr>
          <w:rFonts w:cs="Times New Roman" w:eastAsia="Times New Roman"/>
          <w:lang w:eastAsia="hr-HR"/>
        </w:rPr>
        <w:t xml:space="preserve">neunovčenim i </w:t>
      </w:r>
      <w:proofErr w:type="spellStart"/>
      <w:r w:rsidRPr="00EC7EE4">
        <w:rPr>
          <w:rFonts w:cs="Times New Roman" w:eastAsia="Times New Roman"/>
          <w:lang w:eastAsia="hr-HR"/>
        </w:rPr>
        <w:t>neunovčivim</w:t>
      </w:r>
      <w:proofErr w:type="spellEnd"/>
      <w:r w:rsidRPr="00EC7EE4">
        <w:rPr>
          <w:rFonts w:cs="Times New Roman" w:eastAsia="Times New Roman"/>
          <w:lang w:eastAsia="hr-HR"/>
        </w:rPr>
        <w:t xml:space="preserve"> predmetima stečajne mase i  </w:t>
      </w:r>
    </w:p>
    <w:p w:rsidRDefault="00EC7EE4" w:rsidP="00EC7EE4" w:rsidR="00EC7EE4" w:rsidRPr="00EC7EE4">
      <w:pPr>
        <w:numPr>
          <w:ilvl w:val="0"/>
          <w:numId w:val="47"/>
        </w:numPr>
        <w:tabs>
          <w:tab w:pos="709" w:val="left"/>
        </w:tabs>
        <w:spacing w:after="0"/>
        <w:contextualSpacing/>
        <w:jc w:val="both"/>
        <w:rPr>
          <w:rFonts w:cs="Times New Roman" w:eastAsia="Calibri"/>
        </w:rPr>
      </w:pPr>
      <w:r w:rsidRPr="00EC7EE4">
        <w:rPr>
          <w:rFonts w:cs="Times New Roman" w:eastAsia="Times New Roman"/>
          <w:lang w:eastAsia="hr-HR"/>
        </w:rPr>
        <w:t xml:space="preserve">upisu stečajne mase iza stečajnog dužnika u sudski registar radi nastavka unovčenja imovine stečajnog dužnika. </w:t>
      </w:r>
    </w:p>
    <w:p w:rsidRDefault="00EC7EE4" w:rsidP="00EC7EE4" w:rsidR="00EC7EE4" w:rsidRPr="00EC7EE4">
      <w:pPr>
        <w:tabs>
          <w:tab w:pos="709" w:val="left"/>
        </w:tabs>
        <w:spacing w:after="0"/>
        <w:contextualSpacing/>
        <w:jc w:val="both"/>
        <w:rPr>
          <w:rFonts w:cs="Times New Roman" w:eastAsia="Times New Roman"/>
          <w:lang w:eastAsia="hr-HR"/>
        </w:rPr>
      </w:pPr>
      <w:r w:rsidRPr="00EC7EE4">
        <w:rPr>
          <w:rFonts w:cs="Times New Roman" w:eastAsia="Times New Roman"/>
          <w:lang w:eastAsia="hr-HR"/>
        </w:rPr>
        <w:tab/>
        <w:t>II. Dopunjuje se točka III. izreke navedenog zaključka na način da se istom dodaje točka 5. dnevnog reda koja glasi:</w:t>
      </w:r>
    </w:p>
    <w:p w:rsidRDefault="00EC7EE4" w:rsidP="00EC7EE4" w:rsidR="00EC7EE4" w:rsidRPr="00EC7EE4">
      <w:pPr>
        <w:tabs>
          <w:tab w:pos="709" w:val="left"/>
        </w:tabs>
        <w:spacing w:after="0"/>
        <w:ind w:left="708"/>
        <w:contextualSpacing/>
        <w:jc w:val="both"/>
        <w:rPr>
          <w:rFonts w:cs="Times New Roman" w:eastAsia="Times New Roman"/>
          <w:lang w:eastAsia="hr-HR"/>
        </w:rPr>
      </w:pPr>
      <w:r w:rsidRPr="00EC7EE4">
        <w:rPr>
          <w:rFonts w:cs="Times New Roman" w:eastAsia="Times New Roman"/>
          <w:lang w:eastAsia="hr-HR"/>
        </w:rPr>
        <w:tab/>
        <w:t xml:space="preserve">5. prijedlogu tuženika INA-industrija nafte d.d., Zagreb za sklapanje sudskih nagodbi sa stečajnim dužnikom kao tužiteljem u parničnim postupcima radi pobijanja pravnih radnji koji su u tijeku kod ovoga suda pod poslovnim brojem: </w:t>
      </w:r>
    </w:p>
    <w:p w:rsidRDefault="00EC7EE4" w:rsidP="00EC7EE4" w:rsidR="00EC7EE4" w:rsidRPr="00EC7EE4">
      <w:pPr>
        <w:tabs>
          <w:tab w:pos="709" w:val="left"/>
        </w:tabs>
        <w:spacing w:after="0"/>
        <w:ind w:left="708"/>
        <w:contextualSpacing/>
        <w:jc w:val="both"/>
        <w:rPr>
          <w:rFonts w:cs="Times New Roman" w:eastAsia="Times New Roman"/>
          <w:lang w:eastAsia="hr-HR"/>
        </w:rPr>
      </w:pPr>
      <w:r w:rsidRPr="00EC7EE4">
        <w:rPr>
          <w:rFonts w:cs="Times New Roman" w:eastAsia="Times New Roman"/>
          <w:lang w:eastAsia="hr-HR"/>
        </w:rPr>
        <w:t>- P-255/12 (vrijednost utužene glavnice 116.000,00 kuna),</w:t>
      </w:r>
    </w:p>
    <w:p w:rsidRDefault="00EC7EE4" w:rsidP="00EC7EE4" w:rsidR="00EC7EE4" w:rsidRPr="00EC7EE4">
      <w:pPr>
        <w:tabs>
          <w:tab w:pos="709" w:val="left"/>
        </w:tabs>
        <w:spacing w:after="0"/>
        <w:ind w:left="708"/>
        <w:contextualSpacing/>
        <w:jc w:val="both"/>
        <w:rPr>
          <w:rFonts w:cs="Times New Roman" w:eastAsia="Times New Roman"/>
          <w:lang w:eastAsia="hr-HR"/>
        </w:rPr>
      </w:pPr>
      <w:r w:rsidRPr="00EC7EE4">
        <w:rPr>
          <w:rFonts w:cs="Times New Roman" w:eastAsia="Times New Roman"/>
          <w:lang w:eastAsia="hr-HR"/>
        </w:rPr>
        <w:t xml:space="preserve">- P-227/12 (vrijednost utužene glavnice 115.000,00 kuna) i </w:t>
      </w:r>
    </w:p>
    <w:p w:rsidRDefault="00EC7EE4" w:rsidP="00EC7EE4" w:rsidR="00EC7EE4" w:rsidRPr="00EC7EE4">
      <w:pPr>
        <w:tabs>
          <w:tab w:pos="709" w:val="left"/>
        </w:tabs>
        <w:spacing w:after="0"/>
        <w:ind w:left="708"/>
        <w:contextualSpacing/>
        <w:jc w:val="both"/>
        <w:rPr>
          <w:rFonts w:cs="Times New Roman" w:eastAsia="Times New Roman"/>
          <w:lang w:eastAsia="hr-HR"/>
        </w:rPr>
      </w:pPr>
      <w:r w:rsidRPr="00EC7EE4">
        <w:rPr>
          <w:rFonts w:cs="Times New Roman" w:eastAsia="Times New Roman"/>
          <w:lang w:eastAsia="hr-HR"/>
        </w:rPr>
        <w:t xml:space="preserve">- P-205/12 (kojem su spojeni P-286/12 i  P-247/12, vrijednost utužene glavnice 238.026,77 kuna) na način da se tuženik obveze isplatiti stečajnom dužniku 50 % glavnice, a stečajni dužnik povući revizije izjavljene u parničnim postupcima P-255/12 i P-227/12, odnosno žalbu izjavljenu u parničnom postupku </w:t>
      </w:r>
      <w:proofErr w:type="spellStart"/>
      <w:r w:rsidRPr="00EC7EE4">
        <w:rPr>
          <w:rFonts w:cs="Times New Roman" w:eastAsia="Times New Roman"/>
          <w:lang w:eastAsia="hr-HR"/>
        </w:rPr>
        <w:t>posl</w:t>
      </w:r>
      <w:proofErr w:type="spellEnd"/>
      <w:r w:rsidRPr="00EC7EE4">
        <w:rPr>
          <w:rFonts w:cs="Times New Roman" w:eastAsia="Times New Roman"/>
          <w:lang w:eastAsia="hr-HR"/>
        </w:rPr>
        <w:t xml:space="preserve">. br. P-205/12. </w:t>
      </w:r>
    </w:p>
    <w:p w:rsidRDefault="00EC7EE4" w:rsidP="00EC7EE4" w:rsidR="00EC7EE4" w:rsidRPr="00EC7EE4">
      <w:pPr>
        <w:tabs>
          <w:tab w:pos="709" w:val="left"/>
        </w:tabs>
        <w:spacing w:after="0"/>
        <w:contextualSpacing/>
        <w:jc w:val="both"/>
        <w:rPr>
          <w:rFonts w:cs="Times New Roman" w:eastAsia="Calibri"/>
        </w:rPr>
      </w:pPr>
    </w:p>
    <w:p w:rsidRDefault="00EC7EE4" w:rsidP="00EC7EE4" w:rsidR="00EC7EE4" w:rsidRPr="00EC7EE4">
      <w:pPr>
        <w:tabs>
          <w:tab w:pos="709" w:val="left"/>
        </w:tabs>
        <w:spacing w:after="0"/>
        <w:jc w:val="both"/>
        <w:rPr>
          <w:rFonts w:cs="Times New Roman" w:eastAsia="Times New Roman"/>
          <w:lang w:eastAsia="hr-HR"/>
        </w:rPr>
      </w:pPr>
      <w:r w:rsidRPr="00EC7EE4">
        <w:rPr>
          <w:rFonts w:cs="Times New Roman" w:eastAsia="Calibri"/>
        </w:rPr>
        <w:tab/>
      </w:r>
    </w:p>
    <w:p w:rsidRDefault="00EC7EE4" w:rsidP="00EC7EE4" w:rsidR="00EC7EE4" w:rsidRPr="00EC7EE4">
      <w:pPr>
        <w:spacing w:after="0"/>
        <w:jc w:val="center"/>
        <w:rPr>
          <w:rFonts w:cs="Times New Roman" w:eastAsia="Times New Roman"/>
          <w:lang w:eastAsia="hr-HR"/>
        </w:rPr>
      </w:pPr>
      <w:r w:rsidRPr="00EC7EE4">
        <w:rPr>
          <w:rFonts w:cs="Times New Roman" w:eastAsia="Times New Roman"/>
          <w:lang w:eastAsia="hr-HR"/>
        </w:rPr>
        <w:t xml:space="preserve">U Zadru 28. kolovoza 2017. </w:t>
      </w:r>
    </w:p>
    <w:p w:rsidRDefault="00EC7EE4" w:rsidP="00EC7EE4" w:rsidR="00EC7EE4" w:rsidRPr="00EC7EE4">
      <w:pPr>
        <w:spacing w:after="0"/>
        <w:jc w:val="center"/>
        <w:rPr>
          <w:rFonts w:cs="Times New Roman" w:eastAsia="Times New Roman"/>
          <w:lang w:eastAsia="hr-HR"/>
        </w:rPr>
      </w:pPr>
    </w:p>
    <w:p w:rsidRDefault="00EC7EE4" w:rsidP="00EC7EE4" w:rsidR="00EC7EE4" w:rsidRPr="00EC7EE4">
      <w:pPr>
        <w:spacing w:after="0"/>
        <w:jc w:val="right"/>
        <w:rPr>
          <w:rFonts w:cs="Times New Roman" w:eastAsia="Times New Roman"/>
          <w:lang w:eastAsia="hr-HR"/>
        </w:rPr>
      </w:pPr>
      <w:r w:rsidRPr="00EC7EE4">
        <w:rPr>
          <w:rFonts w:cs="Times New Roman" w:eastAsia="Times New Roman"/>
          <w:lang w:eastAsia="hr-HR"/>
        </w:rPr>
        <w:t xml:space="preserve">                             </w:t>
      </w:r>
    </w:p>
    <w:p w:rsidRDefault="00EC7EE4" w:rsidP="00EC7EE4" w:rsidR="00EC7EE4" w:rsidRPr="00EC7EE4">
      <w:pPr>
        <w:spacing w:after="0"/>
        <w:jc w:val="right"/>
        <w:rPr>
          <w:rFonts w:cs="Times New Roman" w:eastAsia="Times New Roman"/>
          <w:lang w:eastAsia="hr-HR"/>
        </w:rPr>
      </w:pPr>
      <w:r w:rsidRPr="00EC7EE4">
        <w:rPr>
          <w:rFonts w:cs="Times New Roman" w:eastAsia="Times New Roman"/>
          <w:lang w:eastAsia="hr-HR"/>
        </w:rPr>
        <w:t xml:space="preserve">                                                  Sutkinja</w:t>
      </w:r>
    </w:p>
    <w:p w:rsidRDefault="00EC7EE4" w:rsidP="00EC7EE4" w:rsidR="00EC7EE4" w:rsidRPr="00EC7EE4">
      <w:pPr>
        <w:spacing w:after="0"/>
        <w:jc w:val="right"/>
        <w:rPr>
          <w:rFonts w:cs="Times New Roman" w:eastAsia="Times New Roman"/>
          <w:lang w:eastAsia="hr-HR"/>
        </w:rPr>
      </w:pPr>
      <w:r w:rsidRPr="00EC7EE4">
        <w:rPr>
          <w:rFonts w:cs="Times New Roman" w:eastAsia="Times New Roman"/>
          <w:lang w:eastAsia="hr-HR"/>
        </w:rPr>
        <w:t xml:space="preserve">                                                                                         Tina Grgas</w:t>
      </w:r>
    </w:p>
    <w:p w:rsidRDefault="00EC7EE4" w:rsidP="00EC7EE4" w:rsidR="00EC7EE4" w:rsidRPr="00EC7EE4">
      <w:pPr>
        <w:spacing w:after="0"/>
        <w:ind w:left="708"/>
        <w:rPr>
          <w:rFonts w:cs="Times New Roman" w:eastAsia="Times New Roman"/>
          <w:lang w:eastAsia="hr-HR"/>
        </w:rPr>
      </w:pPr>
      <w:r w:rsidRPr="00EC7EE4">
        <w:rPr>
          <w:rFonts w:cs="Times New Roman" w:eastAsia="Times New Roman"/>
          <w:lang w:eastAsia="hr-HR"/>
        </w:rPr>
        <w:t xml:space="preserve">Dostaviti: </w:t>
      </w:r>
    </w:p>
    <w:p w:rsidRDefault="00EC7EE4" w:rsidP="00EC7EE4" w:rsidR="00EC7EE4" w:rsidRPr="00EC7EE4">
      <w:pPr>
        <w:spacing w:after="0"/>
        <w:ind w:left="360"/>
        <w:rPr>
          <w:rFonts w:cs="Times New Roman" w:eastAsia="Times New Roman"/>
          <w:lang w:eastAsia="hr-HR"/>
        </w:rPr>
      </w:pPr>
      <w:r w:rsidRPr="00EC7EE4">
        <w:rPr>
          <w:rFonts w:cs="Times New Roman" w:eastAsia="Times New Roman"/>
          <w:lang w:eastAsia="hr-HR"/>
        </w:rPr>
        <w:lastRenderedPageBreak/>
        <w:tab/>
        <w:t xml:space="preserve">e-Oglasna ploča suda uz prijedlog stečajne upraviteljice od 28.08.2017.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1A109F"/>
    <w:multiLevelType w:val="hybridMultilevel"/>
    <w:tmpl w:val="1654D93C"/>
    <w:lvl w:tplc="01A42DE6"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C7EE4"/>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28676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St-7/2010-343</izvorni_sadrzaj>
    <derivirana_varijabla naziv="DomainObject.Oznaka_1">St-7/2010-343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Nekić-stečajna upraviteljica; BANKA KOVANICA dioničko društvo; Milan Viduka; HRVATSKA POŠTANSKA BANKA, dioničko društvo</izvorni_sadrzaj>
    <derivirana_varijabla naziv="DomainObject.Predmet.StrankaFormated_1">  CEMEX HRVATSKA d.d. Kaštel Sućurac zastupanog po punomoćniku NORA MATULIĆ SUMIĆ;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 zastupanog po punomoćniku NORA MATULIĆ SUMIĆ</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St-7/2010-343</izvorni_sadrzaj>
    <derivirana_varijabla naziv="DomainObject.PoslovniBrojDokumenta_1">St-7/2010-343</derivirana_varijabla>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izvorni_sadrzaj>
    <derivirana_varijabla naziv="DomainObject.Predmet.SudioniciListNaziv_1">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EBAA5D-2DBB-4C9C-91D7-84907F23D3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328</properties:Words>
  <properties:Characters>1738</properties:Characters>
  <properties:Lines>47</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2017-08-29T05:43:00Z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St-7/2010-343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