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00EF3" w:rsidP="00100EF3" w:rsidRDefault="00100EF3" w14:paraId="9fc6ae7" w14:textId="9fc6ae7">
      <w:pPr>
        <w:pStyle w:val="Standard"/>
        <w:jc w:val="center"/>
        <w15:collapsed w:val="false"/>
        <w:rPr>
          <w:rFonts w:ascii="Bookman Old Style" w:hAnsi="Bookman Old Style"/>
          <w:b/>
        </w:rPr>
      </w:pPr>
      <w:bookmarkStart w:name="_GoBack" w:id="0"/>
      <w:bookmarkEnd w:id="0"/>
      <w:r>
        <w:rPr>
          <w:rFonts w:ascii="Bookman Old Style" w:hAnsi="Bookman Old Style"/>
          <w:b/>
        </w:rPr>
        <w:t>Obrazac 22.</w:t>
      </w:r>
    </w:p>
    <w:p w:rsidR="00100EF3" w:rsidP="00100EF3" w:rsidRDefault="00100EF3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Završni račun stečajnog upravitelja</w:t>
      </w:r>
    </w:p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jc w:val="both"/>
      </w:pPr>
      <w:r>
        <w:rPr>
          <w:rFonts w:cs="Times New Roman"/>
          <w:lang w:val="pl-PL"/>
        </w:rPr>
        <w:t>Nadle</w:t>
      </w:r>
      <w:r>
        <w:rPr>
          <w:rFonts w:cs="Times New Roman"/>
        </w:rPr>
        <w:t>ž</w:t>
      </w:r>
      <w:r>
        <w:rPr>
          <w:rFonts w:cs="Times New Roman"/>
          <w:lang w:val="pl-PL"/>
        </w:rPr>
        <w:t>ni  sud</w:t>
      </w:r>
      <w:r>
        <w:rPr>
          <w:rFonts w:cs="Times New Roman"/>
        </w:rPr>
        <w:t>: Trgovački sud Bjelovar.</w:t>
      </w:r>
    </w:p>
    <w:p w:rsidR="00100EF3" w:rsidP="00100EF3" w:rsidRDefault="00100EF3">
      <w:pPr>
        <w:pStyle w:val="Standard"/>
        <w:jc w:val="both"/>
      </w:pPr>
      <w:r>
        <w:rPr>
          <w:rFonts w:cs="Times New Roman"/>
          <w:lang w:val="pl-PL"/>
        </w:rPr>
        <w:t>Poslovni broj spisa St – 105/</w:t>
      </w:r>
      <w:r>
        <w:rPr>
          <w:rFonts w:cs="Times New Roman"/>
          <w:bCs/>
        </w:rPr>
        <w:t>/2018</w:t>
      </w:r>
    </w:p>
    <w:p w:rsidR="00100EF3" w:rsidP="00100EF3" w:rsidRDefault="00100EF3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Dužnik Stečajna masa iza dužnika : DANA d.o.o. u srtečaju</w:t>
      </w:r>
    </w:p>
    <w:p w:rsidR="00100EF3" w:rsidP="00100EF3" w:rsidRDefault="00100EF3">
      <w:pPr>
        <w:pStyle w:val="Textbody"/>
      </w:pPr>
    </w:p>
    <w:p w:rsidR="00100EF3" w:rsidP="00100EF3" w:rsidRDefault="00100EF3">
      <w:pPr>
        <w:pStyle w:val="Standard"/>
        <w:spacing w:after="0"/>
        <w:rPr>
          <w:rFonts w:cs="Times New Roman"/>
          <w:lang w:val="pl-PL"/>
        </w:rPr>
      </w:pPr>
    </w:p>
    <w:p w:rsidR="00100EF3" w:rsidP="00100EF3" w:rsidRDefault="00100EF3">
      <w:pPr>
        <w:pStyle w:val="Standard"/>
        <w:spacing w:line="360" w:lineRule="auto"/>
        <w:jc w:val="both"/>
      </w:pPr>
      <w:r>
        <w:rPr>
          <w:rFonts w:cs="Times New Roman"/>
          <w:b/>
        </w:rPr>
        <w:t xml:space="preserve">I. RAČUN PRIHODA I RASHODA </w:t>
      </w:r>
      <w:r>
        <w:rPr>
          <w:rFonts w:cs="Times New Roman"/>
          <w:lang w:val="pl-PL"/>
        </w:rPr>
        <w:t>(za razdoblje od otvaranja stečajnog postupka do pisanja završnog računa  )</w:t>
      </w:r>
    </w:p>
    <w:tbl>
      <w:tblPr>
        <w:tblW w:w="8760" w:type="dxa"/>
        <w:tblInd w:w="-108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1143"/>
        <w:gridCol w:w="4781"/>
        <w:gridCol w:w="851"/>
        <w:gridCol w:w="1985"/>
      </w:tblGrid>
      <w:tr w:rsidR="00100EF3" w:rsidTr="00100EF3">
        <w:trPr>
          <w:trHeight w:val="324"/>
        </w:trPr>
        <w:tc>
          <w:tcPr>
            <w:tcW w:w="59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A / PREGLED SVIH NOVČANIH PRILIVA</w:t>
            </w:r>
          </w:p>
        </w:tc>
        <w:tc>
          <w:tcPr>
            <w:tcW w:w="2835" w:type="dxa"/>
            <w:gridSpan w:val="2"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</w:rPr>
            </w:pPr>
          </w:p>
        </w:tc>
      </w:tr>
      <w:tr w:rsidR="00100EF3" w:rsidTr="00100EF3">
        <w:trPr>
          <w:trHeight w:val="324"/>
        </w:trPr>
        <w:tc>
          <w:tcPr>
            <w:tcW w:w="1142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R.BR.</w:t>
            </w:r>
          </w:p>
        </w:tc>
        <w:tc>
          <w:tcPr>
            <w:tcW w:w="5629" w:type="dxa"/>
            <w:gridSpan w:val="2"/>
            <w:tcBorders>
              <w:top w:val="single" w:color="00000A" w:sz="8" w:space="0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opis stavke</w:t>
            </w:r>
          </w:p>
        </w:tc>
        <w:tc>
          <w:tcPr>
            <w:tcW w:w="1984" w:type="dxa"/>
            <w:tcBorders>
              <w:top w:val="single" w:color="00000A" w:sz="8" w:space="0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iznos</w:t>
            </w:r>
          </w:p>
        </w:tc>
      </w:tr>
      <w:tr w:rsidR="00100EF3" w:rsidTr="00100EF3">
        <w:trPr>
          <w:trHeight w:val="324"/>
        </w:trPr>
        <w:tc>
          <w:tcPr>
            <w:tcW w:w="1142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Prihod od prodaje  stečajne mase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42.469,31</w:t>
            </w:r>
          </w:p>
        </w:tc>
      </w:tr>
      <w:tr w:rsidR="00100EF3" w:rsidTr="00100EF3">
        <w:trPr>
          <w:trHeight w:val="285"/>
        </w:trPr>
        <w:tc>
          <w:tcPr>
            <w:tcW w:w="1142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Ukupno ostvareni novčani prilivi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42.469,31</w:t>
            </w:r>
          </w:p>
        </w:tc>
      </w:tr>
    </w:tbl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b/>
          <w:u w:val="single"/>
          <w:lang w:eastAsia="en-US"/>
        </w:rPr>
      </w:pPr>
    </w:p>
    <w:tbl>
      <w:tblPr>
        <w:tblW w:w="8760" w:type="dxa"/>
        <w:tblInd w:w="-108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1151"/>
        <w:gridCol w:w="5624"/>
        <w:gridCol w:w="1985"/>
      </w:tblGrid>
      <w:tr w:rsidR="00100EF3" w:rsidTr="00100EF3">
        <w:trPr>
          <w:trHeight w:val="324"/>
        </w:trPr>
        <w:tc>
          <w:tcPr>
            <w:tcW w:w="67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B / PREGLED SVIH NOVČANIH IZDATAKA</w:t>
            </w:r>
          </w:p>
        </w:tc>
        <w:tc>
          <w:tcPr>
            <w:tcW w:w="1984" w:type="dxa"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</w:rPr>
            </w:pP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single" w:color="00000A" w:sz="8" w:space="0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R. BR.</w:t>
            </w:r>
          </w:p>
        </w:tc>
        <w:tc>
          <w:tcPr>
            <w:tcW w:w="5621" w:type="dxa"/>
            <w:tcBorders>
              <w:top w:val="single" w:color="00000A" w:sz="8" w:space="0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Opis stavke</w:t>
            </w:r>
          </w:p>
        </w:tc>
        <w:tc>
          <w:tcPr>
            <w:tcW w:w="1984" w:type="dxa"/>
            <w:tcBorders>
              <w:top w:val="single" w:color="00000A" w:sz="8" w:space="0"/>
              <w:left w:val="nil"/>
              <w:bottom w:val="single" w:color="00000A" w:sz="8" w:space="0"/>
              <w:right w:val="single" w:color="00000A" w:sz="8" w:space="0"/>
            </w:tcBorders>
          </w:tcPr>
          <w:p w:rsidR="00100EF3" w:rsidRDefault="00100EF3">
            <w:pPr>
              <w:pStyle w:val="Standard"/>
              <w:spacing w:after="0"/>
              <w:rPr>
                <w:rFonts w:cs="Times New Roman"/>
              </w:rPr>
            </w:pP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01.08.19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Nagrada stečajnom upravitelj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9.704,63</w:t>
            </w: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Trošak vještaka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1.920,00</w:t>
            </w: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Trošak knjigovodstvenog servisa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15.500,00</w:t>
            </w: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Naknada za platni promet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717,56</w:t>
            </w: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Ostalo (izrada pečata)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150,00</w:t>
            </w: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color w:val="000000"/>
              </w:rPr>
            </w:pPr>
          </w:p>
        </w:tc>
      </w:tr>
      <w:tr w:rsidR="00100EF3" w:rsidTr="00100EF3">
        <w:trPr>
          <w:trHeight w:val="324"/>
        </w:trPr>
        <w:tc>
          <w:tcPr>
            <w:tcW w:w="1150" w:type="dxa"/>
            <w:tcBorders>
              <w:top w:val="nil"/>
              <w:left w:val="single" w:color="00000A" w:sz="8" w:space="0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8. </w:t>
            </w:r>
          </w:p>
        </w:tc>
        <w:tc>
          <w:tcPr>
            <w:tcW w:w="5621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0EF3" w:rsidRDefault="00100EF3">
            <w:pPr>
              <w:pStyle w:val="Standard"/>
              <w:spacing w:after="0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Ukupno ostvareni novčani izdaci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00000A" w:sz="8" w:space="0"/>
              <w:right w:val="single" w:color="00000A" w:sz="8" w:space="0"/>
            </w:tcBorders>
            <w:vAlign w:val="center"/>
            <w:hideMark/>
          </w:tcPr>
          <w:p w:rsidR="00100EF3" w:rsidRDefault="00100EF3">
            <w:pPr>
              <w:pStyle w:val="Standard"/>
              <w:spacing w:after="0"/>
              <w:jc w:val="right"/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27.992,19</w:t>
            </w:r>
          </w:p>
        </w:tc>
      </w:tr>
    </w:tbl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lastRenderedPageBreak/>
        <w:t>II. BILANCA</w:t>
      </w: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  <w:r>
        <w:rPr>
          <w:rFonts w:cs="Times New Roman"/>
        </w:rPr>
        <w:t>Danom otvaranja stečajnog postupka, nad stečajnom masom 12.siječnja.2018. godine, utvrđena je početna stečajna bilanca stečajne mase na temelju procjene vještaka.</w:t>
      </w:r>
    </w:p>
    <w:p w:rsidR="00100EF3" w:rsidP="00100EF3" w:rsidRDefault="00100EF3">
      <w:pPr>
        <w:pStyle w:val="Standard"/>
        <w:spacing w:after="120"/>
        <w:jc w:val="both"/>
        <w:rPr>
          <w:rFonts w:cs="Times New Roman"/>
          <w:b/>
          <w:u w:val="single"/>
          <w:lang w:val="pl-PL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  <w:b/>
          <w:u w:val="single"/>
          <w:lang w:val="pl-PL"/>
        </w:rPr>
      </w:pPr>
      <w:r>
        <w:rPr>
          <w:rFonts w:cs="Times New Roman"/>
          <w:b/>
          <w:u w:val="single"/>
          <w:lang w:val="pl-PL"/>
        </w:rPr>
        <w:t>Tablica 3. Početna bilanca</w:t>
      </w:r>
    </w:p>
    <w:p w:rsidR="00100EF3" w:rsidP="00100EF3" w:rsidRDefault="00100EF3">
      <w:pPr>
        <w:pStyle w:val="Standard"/>
        <w:spacing w:after="120"/>
        <w:jc w:val="both"/>
        <w:rPr>
          <w:rFonts w:cs="Times New Roman"/>
          <w:b/>
          <w:u w:val="single"/>
          <w:lang w:val="pl-PL"/>
        </w:rPr>
      </w:pPr>
    </w:p>
    <w:tbl>
      <w:tblPr>
        <w:tblW w:w="7770" w:type="dxa"/>
        <w:jc w:val="center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709"/>
        <w:gridCol w:w="4393"/>
        <w:gridCol w:w="2668"/>
      </w:tblGrid>
      <w:tr w:rsidR="00100EF3" w:rsidTr="00100EF3">
        <w:trPr>
          <w:jc w:val="center"/>
        </w:trPr>
        <w:tc>
          <w:tcPr>
            <w:tcW w:w="709" w:type="dxa"/>
            <w:tcBorders>
              <w:top w:val="double" w:color="000001" w:sz="2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R.br</w:t>
            </w:r>
          </w:p>
        </w:tc>
        <w:tc>
          <w:tcPr>
            <w:tcW w:w="4393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</w:rPr>
            </w:pPr>
            <w:r>
              <w:rPr>
                <w:rFonts w:cs="Times New Roman"/>
                <w:b/>
                <w:caps/>
              </w:rPr>
              <w:t>nAZIV POZICIJE</w:t>
            </w:r>
          </w:p>
        </w:tc>
        <w:tc>
          <w:tcPr>
            <w:tcW w:w="2668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IZNOS</w:t>
            </w:r>
          </w:p>
        </w:tc>
      </w:tr>
      <w:tr w:rsidR="00100EF3" w:rsidTr="00100EF3">
        <w:trPr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</w:rPr>
            </w:pPr>
            <w:r>
              <w:rPr>
                <w:rFonts w:cs="Times New Roman"/>
                <w:b/>
                <w:caps/>
              </w:rPr>
              <w:t>AKTIVA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/>
              <w:jc w:val="right"/>
              <w:rPr>
                <w:rFonts w:cs="Times New Roman"/>
                <w:b/>
              </w:rPr>
            </w:pPr>
          </w:p>
        </w:tc>
      </w:tr>
      <w:tr w:rsidR="00100EF3" w:rsidTr="00100EF3">
        <w:trPr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A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caps/>
              </w:rPr>
            </w:pPr>
            <w:r>
              <w:rPr>
                <w:rFonts w:cs="Times New Roman"/>
                <w:b/>
                <w:caps/>
              </w:rPr>
              <w:t>DUGOTRAJNA 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Dugotrajna nematerijalna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Dugotrajna materijalna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56.625,74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0"/>
              <w:rPr>
                <w:rFonts w:cs="Times New Roman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</w:rPr>
            </w:pPr>
            <w:r>
              <w:rPr>
                <w:rFonts w:cs="Times New Roman"/>
              </w:rPr>
              <w:t>Nekretnine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56.625,74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0"/>
              <w:rPr>
                <w:rFonts w:cs="Times New Roman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</w:rPr>
            </w:pPr>
            <w:r>
              <w:rPr>
                <w:rFonts w:cs="Times New Roman"/>
              </w:rPr>
              <w:t>Postrojenja-oprema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Dugotrajna fin. imovina(zajmovi, depoziti i slično)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Kratkotrajna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</w:rPr>
            </w:pPr>
            <w:r>
              <w:rPr>
                <w:rFonts w:cs="Times New Roman"/>
              </w:rPr>
              <w:t>Zalihe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Potraživanja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1.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 w:line="288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Potraživanja od kupaca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2.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 w:line="288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Potraživanja od  države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 w:line="288" w:lineRule="auto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Kratkotrajna fin. Imovina (zajmovi, depoziti i sl.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1.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 w:line="288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Dani zajmovi, depoziti i sl.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double" w:color="000001" w:sz="2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IV.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Novac u banci i blagajni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lang w:eastAsia="en-US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Ukupno AKTIVA :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56.625,74</w:t>
            </w:r>
          </w:p>
        </w:tc>
      </w:tr>
    </w:tbl>
    <w:p w:rsidR="00100EF3" w:rsidP="00100EF3" w:rsidRDefault="00100EF3">
      <w:pPr>
        <w:pStyle w:val="Standard"/>
        <w:rPr>
          <w:rFonts w:eastAsia="Calibri" w:cs="Times New Roman"/>
          <w:b/>
          <w:lang w:eastAsia="en-US"/>
        </w:rPr>
      </w:pPr>
    </w:p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rPr>
          <w:rFonts w:cs="Times New Roman"/>
        </w:rPr>
      </w:pPr>
    </w:p>
    <w:tbl>
      <w:tblPr>
        <w:tblW w:w="7770" w:type="dxa"/>
        <w:jc w:val="center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709"/>
        <w:gridCol w:w="4393"/>
        <w:gridCol w:w="2668"/>
      </w:tblGrid>
      <w:tr w:rsidR="00100EF3" w:rsidTr="00100EF3">
        <w:trPr>
          <w:jc w:val="center"/>
        </w:trPr>
        <w:tc>
          <w:tcPr>
            <w:tcW w:w="709" w:type="dxa"/>
            <w:tcBorders>
              <w:top w:val="double" w:color="000001" w:sz="2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R.br</w:t>
            </w:r>
          </w:p>
        </w:tc>
        <w:tc>
          <w:tcPr>
            <w:tcW w:w="4393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</w:rPr>
            </w:pPr>
            <w:r>
              <w:rPr>
                <w:rFonts w:cs="Times New Roman"/>
                <w:b/>
                <w:caps/>
              </w:rPr>
              <w:t>NAZIV POZICIJE</w:t>
            </w:r>
          </w:p>
        </w:tc>
        <w:tc>
          <w:tcPr>
            <w:tcW w:w="2668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Knjigovodstvena</w:t>
            </w:r>
          </w:p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vrijednost</w:t>
            </w:r>
          </w:p>
        </w:tc>
      </w:tr>
      <w:tr w:rsidR="00100EF3" w:rsidTr="00100EF3">
        <w:trPr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</w:rPr>
            </w:pPr>
            <w:r>
              <w:rPr>
                <w:rFonts w:cs="Times New Roman"/>
                <w:b/>
                <w:caps/>
              </w:rPr>
              <w:t>PASIVA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/>
              <w:jc w:val="right"/>
              <w:rPr>
                <w:rFonts w:cs="Times New Roman"/>
                <w:b/>
              </w:rPr>
            </w:pPr>
          </w:p>
        </w:tc>
      </w:tr>
      <w:tr w:rsidR="00100EF3" w:rsidTr="00100EF3">
        <w:trPr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A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caps/>
                <w:lang w:eastAsia="en-US"/>
              </w:rPr>
            </w:pPr>
            <w:r>
              <w:rPr>
                <w:rFonts w:eastAsia="Calibri" w:cs="Times New Roman"/>
                <w:b/>
                <w:caps/>
                <w:lang w:eastAsia="en-US"/>
              </w:rPr>
              <w:t>KAPITAL I REZERVE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</w:rPr>
            </w:pPr>
            <w:r>
              <w:rPr>
                <w:rFonts w:cs="Times New Roman"/>
              </w:rPr>
              <w:t>Upisani kapital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</w:rPr>
            </w:pPr>
            <w:r>
              <w:rPr>
                <w:rFonts w:cs="Times New Roman"/>
              </w:rPr>
              <w:t>Kapitalne rezerve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III.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Preneseni gubitak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IV.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Gubitak poslovne godine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B.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Dugoročne obveze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C.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Kratkoročne obveze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56.625,74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UKUPNO PASIVA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lang w:eastAsia="en-US"/>
              </w:rPr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lang w:eastAsia="en-US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Ukupno :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56.625,74</w:t>
            </w:r>
          </w:p>
        </w:tc>
      </w:tr>
    </w:tbl>
    <w:p w:rsidR="00100EF3" w:rsidP="00100EF3" w:rsidRDefault="00100EF3">
      <w:pPr>
        <w:pStyle w:val="Standard"/>
        <w:rPr>
          <w:rFonts w:cs="Times New Roman"/>
        </w:rPr>
      </w:pPr>
    </w:p>
    <w:p w:rsidR="00100EF3" w:rsidP="00100EF3" w:rsidRDefault="00100EF3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ab/>
        <w:t>Pregled kratkoročnih obveza:</w:t>
      </w:r>
    </w:p>
    <w:tbl>
      <w:tblPr>
        <w:tblW w:w="8475" w:type="dxa"/>
        <w:jc w:val="center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1109"/>
        <w:gridCol w:w="4815"/>
        <w:gridCol w:w="2551"/>
      </w:tblGrid>
      <w:tr w:rsidR="00100EF3" w:rsidTr="00100EF3">
        <w:trPr>
          <w:jc w:val="center"/>
        </w:trPr>
        <w:tc>
          <w:tcPr>
            <w:tcW w:w="1109" w:type="dxa"/>
            <w:tcBorders>
              <w:top w:val="double" w:color="000001" w:sz="2" w:space="0"/>
              <w:left w:val="double" w:color="000001" w:sz="2" w:space="0"/>
              <w:bottom w:val="nil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R.br.</w:t>
            </w:r>
          </w:p>
        </w:tc>
        <w:tc>
          <w:tcPr>
            <w:tcW w:w="4815" w:type="dxa"/>
            <w:tcBorders>
              <w:top w:val="double" w:color="000001" w:sz="2" w:space="0"/>
              <w:left w:val="single" w:color="000001" w:sz="4" w:space="0"/>
              <w:bottom w:val="nil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Osnova tražbine</w:t>
            </w:r>
          </w:p>
        </w:tc>
        <w:tc>
          <w:tcPr>
            <w:tcW w:w="2551" w:type="dxa"/>
            <w:tcBorders>
              <w:top w:val="double" w:color="000001" w:sz="2" w:space="0"/>
              <w:left w:val="single" w:color="000001" w:sz="4" w:space="0"/>
              <w:bottom w:val="nil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center"/>
            </w:pP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nil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4815" w:type="dxa"/>
            <w:tcBorders>
              <w:top w:val="nil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Obveze  prema  povezanim poduzetnicima</w:t>
            </w:r>
          </w:p>
        </w:tc>
        <w:tc>
          <w:tcPr>
            <w:tcW w:w="2551" w:type="dxa"/>
            <w:tcBorders>
              <w:top w:val="nil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nil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4815" w:type="dxa"/>
            <w:tcBorders>
              <w:top w:val="nil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Obveze prema financijskim institucijama</w:t>
            </w:r>
          </w:p>
        </w:tc>
        <w:tc>
          <w:tcPr>
            <w:tcW w:w="2551" w:type="dxa"/>
            <w:tcBorders>
              <w:top w:val="nil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</w:t>
            </w:r>
          </w:p>
        </w:tc>
        <w:tc>
          <w:tcPr>
            <w:tcW w:w="481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Obveze  za predujmove</w:t>
            </w:r>
          </w:p>
        </w:tc>
        <w:tc>
          <w:tcPr>
            <w:tcW w:w="255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481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Obveze  prema dobavljačima</w:t>
            </w:r>
          </w:p>
        </w:tc>
        <w:tc>
          <w:tcPr>
            <w:tcW w:w="255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481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Obveze prema zaposlenicima</w:t>
            </w:r>
          </w:p>
        </w:tc>
        <w:tc>
          <w:tcPr>
            <w:tcW w:w="255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481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Obveze za poreze i doprinose</w:t>
            </w:r>
          </w:p>
        </w:tc>
        <w:tc>
          <w:tcPr>
            <w:tcW w:w="255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481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Ostale obveze stečajne mase</w:t>
            </w:r>
          </w:p>
        </w:tc>
        <w:tc>
          <w:tcPr>
            <w:tcW w:w="255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56.625,74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1109" w:type="dxa"/>
            <w:tcBorders>
              <w:top w:val="single" w:color="000001" w:sz="4" w:space="0"/>
              <w:left w:val="double" w:color="000001" w:sz="2" w:space="0"/>
              <w:bottom w:val="double" w:color="000001" w:sz="2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</w:rPr>
            </w:pPr>
          </w:p>
        </w:tc>
        <w:tc>
          <w:tcPr>
            <w:tcW w:w="4815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</w:rPr>
            </w:pPr>
            <w:r>
              <w:rPr>
                <w:rFonts w:cs="Times New Roman"/>
              </w:rPr>
              <w:t>UKUPNE OBVEZE</w:t>
            </w:r>
          </w:p>
        </w:tc>
        <w:tc>
          <w:tcPr>
            <w:tcW w:w="2551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56.625,74</w:t>
            </w:r>
          </w:p>
        </w:tc>
      </w:tr>
    </w:tbl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eastAsia="Calibri" w:cs="Times New Roman"/>
          <w:lang w:val="pl-PL" w:eastAsia="en-US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  <w:b/>
        </w:rPr>
      </w:pPr>
      <w:r>
        <w:rPr>
          <w:rFonts w:cs="Times New Roman"/>
          <w:b/>
        </w:rPr>
        <w:t>Završna bilanca :</w:t>
      </w:r>
    </w:p>
    <w:tbl>
      <w:tblPr>
        <w:tblW w:w="7770" w:type="dxa"/>
        <w:jc w:val="center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709"/>
        <w:gridCol w:w="4393"/>
        <w:gridCol w:w="2668"/>
      </w:tblGrid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double" w:color="000001" w:sz="2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R.br</w:t>
            </w:r>
          </w:p>
        </w:tc>
        <w:tc>
          <w:tcPr>
            <w:tcW w:w="4393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  <w:sz w:val="22"/>
                <w:szCs w:val="22"/>
              </w:rPr>
            </w:pPr>
            <w:r>
              <w:rPr>
                <w:rFonts w:cs="Times New Roman"/>
                <w:b/>
                <w:caps/>
                <w:sz w:val="22"/>
                <w:szCs w:val="22"/>
              </w:rPr>
              <w:t>nAZIV POZICIJE</w:t>
            </w:r>
          </w:p>
        </w:tc>
        <w:tc>
          <w:tcPr>
            <w:tcW w:w="2668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Knjigovodstvena</w:t>
            </w:r>
          </w:p>
          <w:p w:rsidR="00100EF3" w:rsidRDefault="00100EF3">
            <w:pPr>
              <w:pStyle w:val="Standard"/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vrijednost na dan 25.08.2019.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  <w:sz w:val="22"/>
                <w:szCs w:val="22"/>
              </w:rPr>
            </w:pPr>
            <w:r>
              <w:rPr>
                <w:rFonts w:cs="Times New Roman"/>
                <w:b/>
                <w:caps/>
                <w:sz w:val="22"/>
                <w:szCs w:val="22"/>
              </w:rPr>
              <w:t>AKTIVA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caps/>
                <w:sz w:val="22"/>
                <w:szCs w:val="22"/>
              </w:rPr>
            </w:pPr>
            <w:r>
              <w:rPr>
                <w:rFonts w:cs="Times New Roman"/>
                <w:b/>
                <w:caps/>
                <w:sz w:val="22"/>
                <w:szCs w:val="22"/>
              </w:rPr>
              <w:t>DUGOTRAJNA 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Dugotrajna nematerijalna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Dugotrajna materijalna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Alati, pogonski inventar i transportna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Postrojenja-oprema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Dugotrajna fin. imovina(zajmovi, depoziti i slično)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B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Kratkotrajna imovina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Zalihe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Potraživanja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 w:line="288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Potraživanja od kupaca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 w:line="288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Potraživanja od  države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Kratkotrajna fin. imovina(zajmovi, depoziti i sl.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 w:line="288" w:lineRule="auto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Dani zajmovi, depoziti i sl.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double" w:color="000001" w:sz="2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IV.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Novac u banci i blagajni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0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Ukupno AKTIVA :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:rsidR="00100EF3" w:rsidP="00100EF3" w:rsidRDefault="00100EF3">
      <w:pPr>
        <w:pStyle w:val="Standard"/>
        <w:spacing w:after="120"/>
        <w:jc w:val="both"/>
        <w:rPr>
          <w:rFonts w:cs="Times New Roman"/>
          <w:b/>
          <w:i/>
          <w:u w:val="single"/>
          <w:lang w:val="pl-PL"/>
        </w:rPr>
      </w:pPr>
    </w:p>
    <w:tbl>
      <w:tblPr>
        <w:tblW w:w="7770" w:type="dxa"/>
        <w:jc w:val="center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709"/>
        <w:gridCol w:w="4393"/>
        <w:gridCol w:w="2668"/>
      </w:tblGrid>
      <w:tr w:rsidR="00100EF3" w:rsidTr="00100EF3">
        <w:trPr>
          <w:jc w:val="center"/>
        </w:trPr>
        <w:tc>
          <w:tcPr>
            <w:tcW w:w="709" w:type="dxa"/>
            <w:tcBorders>
              <w:top w:val="double" w:color="000001" w:sz="2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R.br</w:t>
            </w:r>
          </w:p>
        </w:tc>
        <w:tc>
          <w:tcPr>
            <w:tcW w:w="4393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  <w:sz w:val="22"/>
                <w:szCs w:val="22"/>
              </w:rPr>
            </w:pPr>
            <w:r>
              <w:rPr>
                <w:rFonts w:cs="Times New Roman"/>
                <w:b/>
                <w:caps/>
                <w:sz w:val="22"/>
                <w:szCs w:val="22"/>
              </w:rPr>
              <w:t>NAZIV POZICIJE</w:t>
            </w:r>
          </w:p>
        </w:tc>
        <w:tc>
          <w:tcPr>
            <w:tcW w:w="2668" w:type="dxa"/>
            <w:tcBorders>
              <w:top w:val="double" w:color="000001" w:sz="2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Knjigovodstvena</w:t>
            </w:r>
          </w:p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vrijednost na dan 25.08.2019.</w:t>
            </w:r>
          </w:p>
        </w:tc>
      </w:tr>
      <w:tr w:rsidR="00100EF3" w:rsidTr="00100EF3">
        <w:trPr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cs="Times New Roman"/>
                <w:b/>
                <w:caps/>
                <w:sz w:val="22"/>
                <w:szCs w:val="22"/>
              </w:rPr>
            </w:pPr>
            <w:r>
              <w:rPr>
                <w:rFonts w:cs="Times New Roman"/>
                <w:b/>
                <w:caps/>
                <w:sz w:val="22"/>
                <w:szCs w:val="22"/>
              </w:rPr>
              <w:t>PASIVA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00EF3" w:rsidTr="00100EF3">
        <w:trPr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center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caps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caps/>
                <w:sz w:val="22"/>
                <w:szCs w:val="22"/>
                <w:lang w:eastAsia="en-US"/>
              </w:rPr>
              <w:t>KAPITAL I REZERVE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Upisani kapital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Kapitalne rezerve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III.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Preneseni gubitak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IV.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Gubitak poslovne godine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B.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Dugoročne obveze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C.</w:t>
            </w: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Kratkoročne obveze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EF3" w:rsidRDefault="00100EF3">
            <w:pPr>
              <w:pStyle w:val="Standard"/>
              <w:spacing w:after="80" w:line="288" w:lineRule="auto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UKUPNO PASIVA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double" w:color="000001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 w:line="288" w:lineRule="auto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100EF3" w:rsidTr="00100EF3">
        <w:trPr>
          <w:trHeight w:val="283"/>
          <w:jc w:val="center"/>
        </w:trPr>
        <w:tc>
          <w:tcPr>
            <w:tcW w:w="709" w:type="dxa"/>
            <w:tcBorders>
              <w:top w:val="single" w:color="000001" w:sz="4" w:space="0"/>
              <w:left w:val="double" w:color="000001" w:sz="2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3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single" w:color="000001" w:sz="4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EF3" w:rsidRDefault="00100EF3">
            <w:pPr>
              <w:pStyle w:val="Standard"/>
              <w:spacing w:after="8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Ukupno :</w:t>
            </w:r>
          </w:p>
        </w:tc>
        <w:tc>
          <w:tcPr>
            <w:tcW w:w="2668" w:type="dxa"/>
            <w:tcBorders>
              <w:top w:val="single" w:color="000001" w:sz="4" w:space="0"/>
              <w:left w:val="single" w:color="000001" w:sz="4" w:space="0"/>
              <w:bottom w:val="double" w:color="000001" w:sz="2" w:space="0"/>
              <w:right w:val="double" w:color="000001" w:sz="2" w:space="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0EF3" w:rsidRDefault="00100EF3">
            <w:pPr>
              <w:pStyle w:val="Standard"/>
              <w:spacing w:after="80"/>
              <w:jc w:val="righ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</w:p>
    <w:p w:rsidR="00100EF3" w:rsidP="00100EF3" w:rsidRDefault="00100EF3">
      <w:pPr>
        <w:pStyle w:val="Standard"/>
        <w:spacing w:after="12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III. ZAVRŠNI IZVJEŠTAJ STEČAJNOG UPRAVITELJA   </w:t>
      </w:r>
    </w:p>
    <w:p w:rsidR="00100EF3" w:rsidP="00100EF3" w:rsidRDefault="00100EF3">
      <w:pPr>
        <w:pStyle w:val="Standard"/>
        <w:jc w:val="both"/>
        <w:rPr>
          <w:rFonts w:cs="Times New Roman"/>
          <w:lang w:val="pl-PL"/>
        </w:rPr>
      </w:pPr>
    </w:p>
    <w:p w:rsidR="00100EF3" w:rsidP="00100EF3" w:rsidRDefault="00100EF3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Stečajni postupak nad stečajnim dužnikom otvoren je 12.siječnja.2018. godine  rješenjem naslovnog suda, broj St-105/2018..</w:t>
      </w:r>
    </w:p>
    <w:p w:rsidR="00100EF3" w:rsidP="00100EF3" w:rsidRDefault="00100EF3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 Opće ispitno i izvještajno ročište održano je 19. lipnja 2018. godine..</w:t>
      </w:r>
    </w:p>
    <w:p w:rsidR="00100EF3" w:rsidP="00100EF3" w:rsidRDefault="00100EF3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Tražbine I višeg isplatnog reda -nema prijavljenih tražbina.</w:t>
      </w:r>
    </w:p>
    <w:p w:rsidR="00100EF3" w:rsidP="00100EF3" w:rsidRDefault="00100EF3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- i tražbine vjerovnika II višeg isplatnog reda nema prijavljenih  tražbina.</w:t>
      </w:r>
    </w:p>
    <w:p w:rsidR="00100EF3" w:rsidP="00100EF3" w:rsidRDefault="00100EF3">
      <w:pPr>
        <w:pStyle w:val="Standard"/>
        <w:jc w:val="both"/>
      </w:pPr>
      <w:r>
        <w:rPr>
          <w:rFonts w:cs="Times New Roman"/>
        </w:rPr>
        <w:t xml:space="preserve">-i tražbine osigurane razlučnim pravom u iznosu od  </w:t>
      </w:r>
      <w:r>
        <w:rPr>
          <w:rFonts w:cs="Times New Roman"/>
          <w:b/>
          <w:bCs/>
        </w:rPr>
        <w:t>49.250,00 kn.</w:t>
      </w:r>
    </w:p>
    <w:p w:rsidR="00100EF3" w:rsidP="00100EF3" w:rsidRDefault="00100EF3">
      <w:pPr>
        <w:pStyle w:val="Standard"/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>Rješenje o utvrđenim tražbinama objavljeno je na mrežnim stranicama e-oglasna ploča Trgovačkog suda u Bjelovaru  . Nakon održavanja izvještajnog ročišta stečajni upravitelj poduzeo je sve radnje radi unovčenja stečajne mase.</w:t>
      </w:r>
    </w:p>
    <w:p w:rsidR="00100EF3" w:rsidP="00100EF3" w:rsidRDefault="00100EF3">
      <w:pPr>
        <w:pStyle w:val="Standard"/>
        <w:jc w:val="both"/>
      </w:pPr>
      <w:r>
        <w:rPr>
          <w:rFonts w:cs="Times New Roman"/>
          <w:lang w:val="pl-PL"/>
        </w:rPr>
        <w:t xml:space="preserve">Stečajna masa stečajnog dužnika unovčena je za ukupan iznos od  </w:t>
      </w:r>
      <w:r>
        <w:rPr>
          <w:rFonts w:eastAsia="Times New Roman" w:cs="Times New Roman"/>
          <w:b/>
          <w:color w:val="000000"/>
          <w:lang w:val="pl-PL"/>
        </w:rPr>
        <w:t>42.469.31</w:t>
      </w:r>
      <w:r>
        <w:rPr>
          <w:rFonts w:cs="Times New Roman"/>
          <w:lang w:val="pl-PL"/>
        </w:rPr>
        <w:t xml:space="preserve"> kn,</w:t>
      </w:r>
    </w:p>
    <w:p w:rsidR="00100EF3" w:rsidP="00100EF3" w:rsidRDefault="00100EF3">
      <w:pPr>
        <w:pStyle w:val="Standard"/>
        <w:spacing w:after="120"/>
        <w:jc w:val="both"/>
        <w:rPr>
          <w:rFonts w:cs="Times New Roman"/>
          <w:b/>
        </w:rPr>
      </w:pPr>
    </w:p>
    <w:p w:rsidR="00100EF3" w:rsidP="00100EF3" w:rsidRDefault="00100EF3">
      <w:pPr>
        <w:pStyle w:val="Standard"/>
        <w:numPr>
          <w:ilvl w:val="0"/>
          <w:numId w:val="1"/>
        </w:numPr>
        <w:spacing w:after="120"/>
        <w:jc w:val="both"/>
        <w:rPr>
          <w:rFonts w:cs="Times New Roman"/>
          <w:b/>
        </w:rPr>
      </w:pPr>
      <w:r>
        <w:rPr>
          <w:rFonts w:cs="Times New Roman"/>
          <w:b/>
        </w:rPr>
        <w:t>IMOVINA KOJA JE ČINILA STEČAJNU MASU STEČAJNOG DUŽNIKA :</w:t>
      </w:r>
    </w:p>
    <w:p w:rsidR="00100EF3" w:rsidP="00100EF3" w:rsidRDefault="00100EF3">
      <w:pPr>
        <w:pStyle w:val="Standard"/>
        <w:numPr>
          <w:ilvl w:val="0"/>
          <w:numId w:val="1"/>
        </w:numPr>
        <w:spacing w:after="120"/>
        <w:jc w:val="both"/>
        <w:rPr>
          <w:rFonts w:cs="Times New Roman"/>
          <w:b/>
        </w:rPr>
      </w:pPr>
    </w:p>
    <w:p w:rsidR="00100EF3" w:rsidP="00100EF3" w:rsidRDefault="00100EF3">
      <w:pPr>
        <w:pStyle w:val="Standard"/>
        <w:ind w:left="284"/>
      </w:pPr>
      <w:r>
        <w:rPr>
          <w:rFonts w:cs="Times New Roman"/>
          <w:sz w:val="28"/>
          <w:szCs w:val="28"/>
        </w:rPr>
        <w:t xml:space="preserve">nekretnina  upisana u </w:t>
      </w:r>
      <w:r>
        <w:rPr>
          <w:rFonts w:cs="Times New Roman"/>
          <w:b/>
          <w:sz w:val="28"/>
          <w:szCs w:val="28"/>
        </w:rPr>
        <w:t>z.k.ul.546,,k.o. Pivnica, k.č.br</w:t>
      </w:r>
      <w:r>
        <w:rPr>
          <w:rFonts w:cs="Times New Roman"/>
          <w:sz w:val="28"/>
          <w:szCs w:val="28"/>
        </w:rPr>
        <w:t>:</w:t>
      </w:r>
    </w:p>
    <w:p w:rsidR="00100EF3" w:rsidP="00100EF3" w:rsidRDefault="00100EF3">
      <w:pPr>
        <w:pStyle w:val="Standard"/>
        <w:ind w:left="284"/>
      </w:pPr>
      <w:r>
        <w:rPr>
          <w:rFonts w:cs="Times New Roman"/>
          <w:b/>
          <w:sz w:val="28"/>
          <w:szCs w:val="28"/>
        </w:rPr>
        <w:t>330/1</w:t>
      </w:r>
      <w:r>
        <w:rPr>
          <w:rFonts w:cs="Times New Roman"/>
          <w:sz w:val="28"/>
          <w:szCs w:val="28"/>
        </w:rPr>
        <w:t xml:space="preserve">-m2-1.239 </w:t>
      </w:r>
      <w:r>
        <w:rPr>
          <w:rFonts w:cs="Times New Roman"/>
          <w:b/>
          <w:sz w:val="28"/>
          <w:szCs w:val="28"/>
        </w:rPr>
        <w:t>, 330/2</w:t>
      </w:r>
      <w:r>
        <w:rPr>
          <w:rFonts w:cs="Times New Roman"/>
          <w:sz w:val="28"/>
          <w:szCs w:val="28"/>
        </w:rPr>
        <w:t xml:space="preserve">. –m2 1.597, </w:t>
      </w:r>
      <w:r>
        <w:rPr>
          <w:rFonts w:cs="Times New Roman"/>
          <w:b/>
          <w:sz w:val="28"/>
          <w:szCs w:val="28"/>
        </w:rPr>
        <w:t>356/1</w:t>
      </w:r>
      <w:r>
        <w:rPr>
          <w:rFonts w:cs="Times New Roman"/>
          <w:sz w:val="28"/>
          <w:szCs w:val="28"/>
        </w:rPr>
        <w:t xml:space="preserve">-m2 10.172, </w:t>
      </w:r>
      <w:r>
        <w:rPr>
          <w:rFonts w:cs="Times New Roman"/>
          <w:b/>
          <w:sz w:val="28"/>
          <w:szCs w:val="28"/>
        </w:rPr>
        <w:t>356/</w:t>
      </w:r>
      <w:r>
        <w:rPr>
          <w:rFonts w:cs="Times New Roman"/>
          <w:sz w:val="28"/>
          <w:szCs w:val="28"/>
        </w:rPr>
        <w:t xml:space="preserve">2-m2 7.302, </w:t>
      </w:r>
      <w:r>
        <w:rPr>
          <w:rFonts w:cs="Times New Roman"/>
          <w:b/>
          <w:sz w:val="28"/>
          <w:szCs w:val="28"/>
        </w:rPr>
        <w:t>359/2</w:t>
      </w:r>
      <w:r>
        <w:rPr>
          <w:rFonts w:cs="Times New Roman"/>
          <w:sz w:val="28"/>
          <w:szCs w:val="28"/>
        </w:rPr>
        <w:t xml:space="preserve">-m2 2.158, </w:t>
      </w:r>
      <w:r>
        <w:rPr>
          <w:rFonts w:cs="Times New Roman"/>
          <w:b/>
          <w:sz w:val="28"/>
          <w:szCs w:val="28"/>
        </w:rPr>
        <w:t>361</w:t>
      </w:r>
      <w:r>
        <w:rPr>
          <w:rFonts w:cs="Times New Roman"/>
          <w:sz w:val="28"/>
          <w:szCs w:val="28"/>
        </w:rPr>
        <w:t xml:space="preserve"> m2 5.708, </w:t>
      </w:r>
      <w:r>
        <w:rPr>
          <w:rFonts w:cs="Times New Roman"/>
          <w:b/>
          <w:sz w:val="28"/>
          <w:szCs w:val="28"/>
        </w:rPr>
        <w:t>362</w:t>
      </w:r>
      <w:r>
        <w:rPr>
          <w:rFonts w:cs="Times New Roman"/>
          <w:sz w:val="28"/>
          <w:szCs w:val="28"/>
        </w:rPr>
        <w:t xml:space="preserve"> m2 6.953= </w:t>
      </w:r>
      <w:r>
        <w:rPr>
          <w:rFonts w:cs="Times New Roman"/>
          <w:b/>
          <w:sz w:val="28"/>
          <w:szCs w:val="28"/>
        </w:rPr>
        <w:t>ukupno -35.148 m2</w:t>
      </w:r>
    </w:p>
    <w:p w:rsidR="00100EF3" w:rsidP="00100EF3" w:rsidRDefault="00100EF3">
      <w:pPr>
        <w:pStyle w:val="Standard"/>
        <w:ind w:left="284"/>
      </w:pPr>
      <w:r>
        <w:rPr>
          <w:rFonts w:cs="Times New Roman"/>
          <w:sz w:val="28"/>
          <w:szCs w:val="28"/>
        </w:rPr>
        <w:t>-nekretnina upisana</w:t>
      </w:r>
      <w:r>
        <w:rPr>
          <w:rFonts w:cs="Times New Roman"/>
          <w:b/>
          <w:sz w:val="28"/>
          <w:szCs w:val="28"/>
        </w:rPr>
        <w:t xml:space="preserve"> u z.k.ul 449,k.o. Gvozdanska,na k. č. br.:</w:t>
      </w:r>
    </w:p>
    <w:p w:rsidR="00100EF3" w:rsidP="00100EF3" w:rsidRDefault="00100EF3">
      <w:pPr>
        <w:pStyle w:val="Standard"/>
        <w:ind w:left="284"/>
      </w:pPr>
      <w:r>
        <w:rPr>
          <w:rFonts w:cs="Times New Roman"/>
          <w:b/>
          <w:sz w:val="28"/>
          <w:szCs w:val="28"/>
        </w:rPr>
        <w:t>202,</w:t>
      </w:r>
      <w:r>
        <w:rPr>
          <w:rFonts w:cs="Times New Roman"/>
          <w:sz w:val="28"/>
          <w:szCs w:val="28"/>
        </w:rPr>
        <w:t xml:space="preserve">m2-7.248, </w:t>
      </w:r>
      <w:r>
        <w:rPr>
          <w:rFonts w:cs="Times New Roman"/>
          <w:b/>
          <w:sz w:val="28"/>
          <w:szCs w:val="28"/>
        </w:rPr>
        <w:t>233</w:t>
      </w:r>
      <w:r>
        <w:rPr>
          <w:rFonts w:cs="Times New Roman"/>
          <w:sz w:val="28"/>
          <w:szCs w:val="28"/>
        </w:rPr>
        <w:t xml:space="preserve"> m2-2.600, </w:t>
      </w:r>
      <w:r>
        <w:rPr>
          <w:rFonts w:cs="Times New Roman"/>
          <w:b/>
          <w:sz w:val="28"/>
          <w:szCs w:val="28"/>
        </w:rPr>
        <w:t>754/109</w:t>
      </w:r>
      <w:r>
        <w:rPr>
          <w:rFonts w:cs="Times New Roman"/>
          <w:sz w:val="28"/>
          <w:szCs w:val="28"/>
        </w:rPr>
        <w:t xml:space="preserve"> m2-8.668, </w:t>
      </w:r>
      <w:r>
        <w:rPr>
          <w:rFonts w:cs="Times New Roman"/>
          <w:b/>
          <w:sz w:val="28"/>
          <w:szCs w:val="28"/>
        </w:rPr>
        <w:t>754/110</w:t>
      </w:r>
      <w:r>
        <w:rPr>
          <w:rFonts w:cs="Times New Roman"/>
          <w:sz w:val="28"/>
          <w:szCs w:val="28"/>
        </w:rPr>
        <w:t xml:space="preserve"> m2-8.688,</w:t>
      </w:r>
      <w:r>
        <w:rPr>
          <w:rFonts w:cs="Times New Roman"/>
          <w:b/>
          <w:sz w:val="28"/>
          <w:szCs w:val="28"/>
        </w:rPr>
        <w:t>754/111</w:t>
      </w:r>
      <w:r>
        <w:rPr>
          <w:rFonts w:cs="Times New Roman"/>
          <w:sz w:val="28"/>
          <w:szCs w:val="28"/>
        </w:rPr>
        <w:t xml:space="preserve"> m2-8.740 =ukupno  </w:t>
      </w:r>
      <w:r>
        <w:rPr>
          <w:rFonts w:cs="Times New Roman"/>
          <w:b/>
          <w:sz w:val="28"/>
          <w:szCs w:val="28"/>
        </w:rPr>
        <w:t>35.824 m2.</w:t>
      </w:r>
    </w:p>
    <w:p w:rsidR="00100EF3" w:rsidP="00100EF3" w:rsidRDefault="00100EF3">
      <w:pPr>
        <w:pStyle w:val="Standard"/>
        <w:jc w:val="both"/>
      </w:pPr>
      <w:r>
        <w:rPr>
          <w:rFonts w:cs="Times New Roman"/>
        </w:rPr>
        <w:t>Stanje na računu stečajnog dužnika na dan 01.04.2019. iznosi - kn</w:t>
      </w:r>
      <w:r>
        <w:rPr>
          <w:rFonts w:cs="Times New Roman"/>
          <w:b/>
        </w:rPr>
        <w:t>.</w:t>
      </w:r>
    </w:p>
    <w:p w:rsidR="00100EF3" w:rsidP="00100EF3" w:rsidRDefault="00100EF3">
      <w:pPr>
        <w:pStyle w:val="Odlomakpopisa"/>
        <w:spacing w:after="120"/>
        <w:ind w:left="0"/>
        <w:jc w:val="both"/>
        <w:rPr>
          <w:rFonts w:ascii="Times New Roman" w:hAnsi="Times New Roman"/>
        </w:rPr>
      </w:pPr>
    </w:p>
    <w:p w:rsidR="00100EF3" w:rsidP="00100EF3" w:rsidRDefault="00100EF3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V. ZAVRŠNI DIOBNI POPIS</w:t>
      </w:r>
    </w:p>
    <w:p w:rsidR="00100EF3" w:rsidP="00100EF3" w:rsidRDefault="00100EF3">
      <w:pPr>
        <w:pStyle w:val="Standard"/>
        <w:spacing w:after="0"/>
        <w:rPr>
          <w:rFonts w:cs="Times New Roman"/>
          <w:lang w:val="pl-PL"/>
        </w:rPr>
      </w:pPr>
    </w:p>
    <w:p w:rsidR="00100EF3" w:rsidP="00100EF3" w:rsidRDefault="00100EF3">
      <w:pPr>
        <w:pStyle w:val="Standard"/>
        <w:jc w:val="both"/>
      </w:pPr>
      <w:r>
        <w:rPr>
          <w:rFonts w:cs="Times New Roman"/>
          <w:color w:val="000000"/>
        </w:rPr>
        <w:lastRenderedPageBreak/>
        <w:t xml:space="preserve">Razlučni vjerovnik  Republika Hrvatska – namirit će se u iznosu od   kn . </w:t>
      </w:r>
      <w:r>
        <w:rPr>
          <w:rFonts w:cs="Times New Roman"/>
          <w:b/>
          <w:color w:val="000000"/>
        </w:rPr>
        <w:t>1</w:t>
      </w:r>
      <w:r>
        <w:rPr>
          <w:rFonts w:cs="Times New Roman"/>
          <w:b/>
          <w:bCs/>
          <w:color w:val="000000"/>
        </w:rPr>
        <w:t xml:space="preserve">1.891,22 kn </w:t>
      </w:r>
      <w:r>
        <w:rPr>
          <w:rFonts w:cs="Times New Roman"/>
          <w:bCs/>
          <w:color w:val="000000"/>
        </w:rPr>
        <w:t>prema rješenju suda i 1.960,00 kuna nepotrošenih novčanih sredstava, koje je stečajni upravitelj vratio na račun suda.</w:t>
      </w: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  <w:b/>
        </w:rPr>
      </w:pP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</w:rPr>
      </w:pP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</w:rPr>
      </w:pP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</w:rPr>
      </w:pP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VI. ZAKLJUČAK I PRIJEDLOG ZA OBUSTAVU STEČAJNOG POSTUPKA</w:t>
      </w: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  <w:b/>
        </w:rPr>
      </w:pPr>
    </w:p>
    <w:p w:rsidR="00100EF3" w:rsidP="00100EF3" w:rsidRDefault="00100EF3">
      <w:pPr>
        <w:pStyle w:val="Standard"/>
        <w:spacing w:after="0"/>
        <w:jc w:val="both"/>
      </w:pPr>
      <w:r>
        <w:rPr>
          <w:rFonts w:eastAsia="Times New Roman" w:cs="Times New Roman"/>
        </w:rPr>
        <w:t xml:space="preserve">Stečajni upravitelj </w:t>
      </w:r>
      <w:r>
        <w:rPr>
          <w:rFonts w:cs="Times New Roman"/>
        </w:rPr>
        <w:t xml:space="preserve"> predlaže da se prihvati završno izvješće i završni račun</w:t>
      </w:r>
    </w:p>
    <w:p w:rsidR="00100EF3" w:rsidP="00100EF3" w:rsidRDefault="00100EF3">
      <w:pPr>
        <w:pStyle w:val="Standard"/>
        <w:spacing w:after="120"/>
        <w:jc w:val="both"/>
        <w:rPr>
          <w:rFonts w:cs="Times New Roman"/>
        </w:rPr>
      </w:pPr>
      <w:r>
        <w:rPr>
          <w:rFonts w:cs="Times New Roman"/>
        </w:rPr>
        <w:t>te da se stečajni postupak zaključi temeljem čl. 286 st.1 Stečajnog zakona</w:t>
      </w: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</w:rPr>
      </w:pP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</w:rPr>
      </w:pPr>
    </w:p>
    <w:p w:rsidR="00100EF3" w:rsidP="00100EF3" w:rsidRDefault="00100EF3">
      <w:pPr>
        <w:pStyle w:val="Standard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Osijek, 19.08..2019.</w:t>
      </w:r>
    </w:p>
    <w:p w:rsidR="00100EF3" w:rsidP="00100EF3" w:rsidRDefault="00100EF3">
      <w:pPr>
        <w:pStyle w:val="Standard"/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>Stečajni upravitelj</w:t>
      </w:r>
    </w:p>
    <w:p w:rsidR="00100EF3" w:rsidP="00100EF3" w:rsidRDefault="00100EF3">
      <w:pPr>
        <w:pStyle w:val="Standard"/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>Stečajna masa iza DANA d.o.o. u stečaju</w:t>
      </w:r>
    </w:p>
    <w:p w:rsidR="00100EF3" w:rsidP="00100EF3" w:rsidRDefault="00100EF3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Zorislav Novoselac</w:t>
      </w:r>
    </w:p>
    <w:p w:rsidR="00100EF3" w:rsidP="00100EF3" w:rsidRDefault="00100EF3">
      <w:pPr>
        <w:pStyle w:val="Standard"/>
        <w:jc w:val="center"/>
      </w:pPr>
      <w:r>
        <w:rPr>
          <w:rFonts w:cs="Times New Roman"/>
          <w:b/>
        </w:rPr>
        <w:t xml:space="preserve">  </w:t>
      </w:r>
    </w:p>
    <w:p w:rsidR="009675BF" w:rsidRDefault="009675BF"/>
    <w:sectPr w:rsidR="009675BF" w:rsidSect="00100EF3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020B" w:rsidP="00100EF3" w:rsidRDefault="00C1020B">
      <w:pPr>
        <w:spacing w:after="0" w:line="240" w:lineRule="auto"/>
      </w:pPr>
      <w:r>
        <w:separator/>
      </w:r>
    </w:p>
  </w:endnote>
  <w:endnote w:type="continuationSeparator" w:id="0">
    <w:p w:rsidR="00C1020B" w:rsidP="00100EF3" w:rsidRDefault="00C10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020B" w:rsidP="00100EF3" w:rsidRDefault="00C1020B">
      <w:pPr>
        <w:spacing w:after="0" w:line="240" w:lineRule="auto"/>
      </w:pPr>
      <w:r>
        <w:separator/>
      </w:r>
    </w:p>
  </w:footnote>
  <w:footnote w:type="continuationSeparator" w:id="0">
    <w:p w:rsidR="00C1020B" w:rsidP="00100EF3" w:rsidRDefault="00C10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3214741"/>
      <w:docPartObj>
        <w:docPartGallery w:val="Page Numbers (Top of Page)"/>
        <w:docPartUnique/>
      </w:docPartObj>
    </w:sdtPr>
    <w:sdtEndPr/>
    <w:sdtContent>
      <w:p w:rsidR="00100EF3" w:rsidRDefault="00100E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893">
          <w:rPr>
            <w:noProof/>
          </w:rPr>
          <w:t>6</w:t>
        </w:r>
        <w:r>
          <w:fldChar w:fldCharType="end"/>
        </w:r>
      </w:p>
    </w:sdtContent>
  </w:sdt>
  <w:p w:rsidR="00100EF3" w:rsidRDefault="00100EF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F822A0"/>
    <w:multiLevelType w:val="multilevel"/>
    <w:tmpl w:val="07546DDC"/>
    <w:lvl w:ilvl="0">
      <w:start w:val="4"/>
      <w:numFmt w:val="upperRoman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F3"/>
    <w:rsid w:val="00100EF3"/>
    <w:rsid w:val="004038FA"/>
    <w:rsid w:val="007B0893"/>
    <w:rsid w:val="009675BF"/>
    <w:rsid w:val="00C1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00EF3"/>
    <w:pPr>
      <w:widowControl w:val="false"/>
      <w:suppressAutoHyphens/>
      <w:autoSpaceDN w:val="false"/>
    </w:pPr>
    <w:rPr>
      <w:rFonts w:ascii="Times New Roman" w:hAnsi="Times New Roman" w:eastAsia="SimSun" w:cs="Lucida Sans"/>
      <w:kern w:val="3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" w:customStyle="true">
    <w:name w:val="Standard"/>
    <w:rsid w:val="00100EF3"/>
    <w:pPr>
      <w:suppressAutoHyphens/>
      <w:autoSpaceDN w:val="false"/>
    </w:pPr>
    <w:rPr>
      <w:rFonts w:ascii="Times New Roman" w:hAnsi="Times New Roman" w:eastAsia="SimSun" w:cs="Lucida Sans"/>
      <w:kern w:val="3"/>
      <w:sz w:val="24"/>
      <w:szCs w:val="24"/>
      <w:lang w:eastAsia="zh-CN" w:bidi="hi-IN"/>
    </w:rPr>
  </w:style>
  <w:style w:type="paragraph" w:styleId="Textbody" w:customStyle="true">
    <w:name w:val="Text body"/>
    <w:basedOn w:val="Standard"/>
    <w:rsid w:val="00100EF3"/>
    <w:pPr>
      <w:spacing w:after="0" w:line="240" w:lineRule="auto"/>
      <w:jc w:val="both"/>
    </w:pPr>
    <w:rPr>
      <w:rFonts w:eastAsia="Times New Roman" w:cs="Times New Roman"/>
    </w:rPr>
  </w:style>
  <w:style w:type="paragraph" w:styleId="Odlomakpopisa">
    <w:name w:val="List Paragraph"/>
    <w:basedOn w:val="Standard"/>
    <w:qFormat/>
    <w:rsid w:val="00100EF3"/>
    <w:pPr>
      <w:spacing w:after="80" w:line="240" w:lineRule="auto"/>
      <w:ind w:left="720"/>
    </w:pPr>
    <w:rPr>
      <w:rFonts w:ascii="Calibri" w:hAnsi="Calibri" w:eastAsia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100EF3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styleId="ZaglavljeChar" w:customStyle="true">
    <w:name w:val="Zaglavlje Char"/>
    <w:basedOn w:val="Zadanifontodlomka"/>
    <w:link w:val="Zaglavlje"/>
    <w:uiPriority w:val="99"/>
    <w:rsid w:val="00100EF3"/>
    <w:rPr>
      <w:rFonts w:ascii="Times New Roman" w:hAnsi="Times New Roman" w:eastAsia="SimSun" w:cs="Mangal"/>
      <w:kern w:val="3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100EF3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styleId="PodnojeChar" w:customStyle="true">
    <w:name w:val="Podnožje Char"/>
    <w:basedOn w:val="Zadanifontodlomka"/>
    <w:link w:val="Podnoje"/>
    <w:uiPriority w:val="99"/>
    <w:rsid w:val="00100EF3"/>
    <w:rPr>
      <w:rFonts w:ascii="Times New Roman" w:hAnsi="Times New Roman" w:eastAsia="SimSun" w:cs="Mangal"/>
      <w:kern w:val="3"/>
      <w:sz w:val="24"/>
      <w:szCs w:val="21"/>
      <w:lang w:eastAsia="zh-CN" w:bidi="hi-IN"/>
    </w:rPr>
  </w:style>
  <w:style w:type="character" w:styleId="Tekstrezerviranogmjesta">
    <w:name w:val="Placeholder Text"/>
    <w:basedOn w:val="Zadanifontodlomka"/>
    <w:uiPriority w:val="99"/>
    <w:semiHidden/>
    <w:rsid w:val="004038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38F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38FA"/>
    <w:rPr>
      <w:rFonts w:ascii="Bookman Old Style" w:hAnsi="Bookman Old Style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38FA"/>
    <w:rPr>
      <w:rFonts w:ascii="Bookman Old Style" w:hAnsi="Bookman Old Style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38FA"/>
    <w:rPr>
      <w:rFonts w:ascii="Bookman Old Style" w:hAnsi="Bookman Old Style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EF3"/>
    <w:pPr>
      <w:widowControl w:val="0"/>
      <w:suppressAutoHyphens/>
      <w:autoSpaceDN w:val="0"/>
    </w:pPr>
    <w:rPr>
      <w:rFonts w:ascii="Times New Roman" w:cs="Lucida Sans" w:eastAsia="SimSun" w:hAnsi="Times New Roman"/>
      <w:kern w:val="3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100EF3"/>
    <w:pPr>
      <w:suppressAutoHyphens/>
      <w:autoSpaceDN w:val="0"/>
    </w:pPr>
    <w:rPr>
      <w:rFonts w:ascii="Times New Roman" w:cs="Lucida Sans" w:eastAsia="SimSun" w:hAnsi="Times New Roma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100EF3"/>
    <w:pPr>
      <w:spacing w:after="0" w:line="240" w:lineRule="auto"/>
      <w:jc w:val="both"/>
    </w:pPr>
    <w:rPr>
      <w:rFonts w:cs="Times New Roman" w:eastAsia="Times New Roman"/>
    </w:rPr>
  </w:style>
  <w:style w:styleId="Odlomakpopisa" w:type="paragraph">
    <w:name w:val="List Paragraph"/>
    <w:basedOn w:val="Standard"/>
    <w:qFormat/>
    <w:rsid w:val="00100EF3"/>
    <w:pPr>
      <w:spacing w:after="80" w:line="240" w:lineRule="auto"/>
      <w:ind w:left="720"/>
    </w:pPr>
    <w:rPr>
      <w:rFonts w:ascii="Calibri" w:cs="Times New Roman" w:eastAsia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100EF3"/>
    <w:pPr>
      <w:tabs>
        <w:tab w:pos="4536" w:val="center"/>
        <w:tab w:pos="9072" w:val="right"/>
      </w:tabs>
      <w:spacing w:after="0" w:line="240" w:lineRule="auto"/>
    </w:pPr>
    <w:rPr>
      <w:rFonts w:cs="Mangal"/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100EF3"/>
    <w:rPr>
      <w:rFonts w:ascii="Times New Roman" w:cs="Mangal" w:eastAsia="SimSun" w:hAnsi="Times New Roman"/>
      <w:kern w:val="3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100EF3"/>
    <w:pPr>
      <w:tabs>
        <w:tab w:pos="4536" w:val="center"/>
        <w:tab w:pos="9072" w:val="right"/>
      </w:tabs>
      <w:spacing w:after="0" w:line="240" w:lineRule="auto"/>
    </w:pPr>
    <w:rPr>
      <w:rFonts w:cs="Mangal"/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100EF3"/>
    <w:rPr>
      <w:rFonts w:ascii="Times New Roman" w:cs="Mangal" w:eastAsia="SimSun" w:hAnsi="Times New Roman"/>
      <w:kern w:val="3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03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8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FA"/>
    <w:rPr>
      <w:rFonts w:ascii="Bookman Old Style" w:hAnsi="Bookman Old Style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FA"/>
    <w:rPr>
      <w:rFonts w:ascii="Bookman Old Style" w:cs="Times New Roman" w:hAnsi="Bookman Old Style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FA"/>
    <w:rPr>
      <w:rFonts w:ascii="Bookman Old Style" w:cs="Times New Roman" w:hAnsi="Bookman Old Style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44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670</properties:Words>
  <properties:Characters>3902</properties:Characters>
  <properties:Lines>339</properties:Lines>
  <properties:Paragraphs>231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2019-08-29T08:46:00Z</dcterms:created>
  <dc:creator>Vesna Dragišić</dc:creator>
  <cp:lastModifiedBy>Vesna Dragišić</cp:lastModifiedBy>
  <dcterms:modified xmlns:xsi="http://www.w3.org/2001/XMLSchema-instance" xsi:type="dcterms:W3CDTF">2019-08-29T08:50:00Z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St-105/2018-44 / Podnesak - Izvješće stečajnog upravitelja (Obrazac_22.docx)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