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fcede" w14:paraId="39fcede" w:rsidRDefault="00544B32" w:rsidP="00544B32" w:rsidR="00544B32">
      <w:pPr>
        <w:jc w:val="right"/>
        <w15:collapsed w:val="false"/>
      </w:pPr>
      <w:r>
        <w:t xml:space="preserve">Broj: </w:t>
      </w:r>
      <w:r w:rsidR="00B006FB">
        <w:t xml:space="preserve">6 </w:t>
      </w:r>
      <w:r>
        <w:t>St-</w:t>
      </w:r>
      <w:r w:rsidR="00B006FB">
        <w:t>124/2018-13</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B006FB">
        <w:t xml:space="preserve">RH MF Porezna uprava zastupani po ŽDO Osijek, za otvaranje stečajnog postupka nad dužnikom </w:t>
      </w:r>
      <w:r w:rsidR="00B006FB">
        <w:rPr>
          <w:b/>
        </w:rPr>
        <w:t>FLEIS PROMET j.d.o.o. za trgovinu i usluge, Osijek, Ružina 41, MBS: 030167009, OIB: 21012373533</w:t>
      </w:r>
      <w:r>
        <w:rPr>
          <w:b/>
        </w:rPr>
        <w:t xml:space="preserve">, </w:t>
      </w:r>
      <w:r>
        <w:t xml:space="preserve">dana </w:t>
      </w:r>
      <w:r w:rsidR="00B23886">
        <w:t>26</w:t>
      </w:r>
      <w:r w:rsidR="00B006FB">
        <w:t>. lipnja</w:t>
      </w:r>
      <w:r w:rsidR="00072AA6">
        <w:t xml:space="preserve"> 2018. g.</w:t>
      </w:r>
    </w:p>
    <w:p w:rsidRDefault="00324E7F" w:rsidP="00324E7F" w:rsidR="00324E7F">
      <w:pPr>
        <w:jc w:val="both"/>
      </w:pPr>
    </w:p>
    <w:p w:rsidRDefault="00B23886" w:rsidP="00324E7F" w:rsidR="00B23886">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B23886" w:rsidP="00324E7F" w:rsidR="00B23886">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B006FB">
        <w:rPr>
          <w:b/>
        </w:rPr>
        <w:t>FLEIS PROMET j.d.o.o. za trgovinu i usluge, Osijek, Ružina 41, MBS: 030167009, OIB: 21012373533</w:t>
      </w:r>
      <w:r w:rsidR="00CA1D43">
        <w:rPr>
          <w:b/>
        </w:rPr>
        <w:t>.</w:t>
      </w:r>
    </w:p>
    <w:p w:rsidRDefault="00674E85" w:rsidP="00674E85" w:rsidR="00674E85">
      <w:pPr>
        <w:ind w:left="1080"/>
        <w:jc w:val="both"/>
        <w:rPr>
          <w:b/>
        </w:rPr>
      </w:pPr>
    </w:p>
    <w:p w:rsidRDefault="00324E7F" w:rsidP="00674E85" w:rsidR="00ED72C6" w:rsidRPr="00674E85">
      <w:pPr>
        <w:numPr>
          <w:ilvl w:val="0"/>
          <w:numId w:val="11"/>
        </w:numPr>
        <w:jc w:val="both"/>
        <w:rPr>
          <w:b/>
        </w:rPr>
      </w:pPr>
      <w:r w:rsidRPr="00E33447">
        <w:t>Za stečajnog upravitelja određuje se</w:t>
      </w:r>
      <w:r w:rsidR="00B006FB">
        <w:t xml:space="preserve"> </w:t>
      </w:r>
      <w:r w:rsidR="00B006FB">
        <w:rPr>
          <w:b/>
        </w:rPr>
        <w:t>Krešimir Tomac, Sl. Brod, Tome Bakača 35, OIB: 89208179103.</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B006FB">
        <w:rPr>
          <w:b/>
        </w:rPr>
        <w:t>FLEIS PROMET j.d.o.o. za trgovinu i usluge, Osijek, Ružina 41, MBS: 030167009, OIB: 21012373533</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46DA1" w:rsidP="00E46DA1" w:rsidR="00E46DA1"/>
    <w:p w:rsidRDefault="00E46DA1" w:rsidP="00E46DA1" w:rsidR="00E46DA1">
      <w:pPr>
        <w:numPr>
          <w:ilvl w:val="0"/>
          <w:numId w:val="11"/>
        </w:numPr>
        <w:jc w:val="both"/>
      </w:pPr>
      <w:r>
        <w:t xml:space="preserve">Obvezuju se stečajni upravitelj </w:t>
      </w:r>
      <w:r w:rsidR="00B006FB">
        <w:t>Krešimir Tomac iz Sl. Broda</w:t>
      </w:r>
      <w:r>
        <w:t xml:space="preserve"> 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E46DA1" w:rsidP="00B23886" w:rsidR="00E46DA1"/>
    <w:p w:rsidRDefault="00F963E3" w:rsidP="00E46DA1" w:rsidR="00F963E3">
      <w:pPr>
        <w:numPr>
          <w:ilvl w:val="0"/>
          <w:numId w:val="11"/>
        </w:numPr>
        <w:jc w:val="both"/>
      </w:pPr>
      <w:r>
        <w:lastRenderedPageBreak/>
        <w:t xml:space="preserve">Nalaže se FINI da naloži banci prijenos zaplijenjenoga iznosa predujma na račun Trgovačkog suda u Osijeku broj </w:t>
      </w:r>
      <w:r w:rsidRPr="00A52E85">
        <w:t>HR31 2390 0011 3000 0020 0 model HR05 272-</w:t>
      </w:r>
      <w:r w:rsidR="00B006FB">
        <w:rPr>
          <w:b/>
        </w:rPr>
        <w:t>124</w:t>
      </w:r>
      <w:r w:rsidR="00E46DA1" w:rsidRPr="00E46DA1">
        <w:rPr>
          <w:b/>
        </w:rPr>
        <w:t>-18</w:t>
      </w:r>
      <w:r>
        <w:t xml:space="preserve"> i obustavi daljnju pljenidbu do iznosa iz st. 1 čl. 112 Stečajnog zakona (NN 105/15) ako iznos predujma nije zaplijenjen u cijelosti.</w:t>
      </w:r>
    </w:p>
    <w:p w:rsidRDefault="00F963E3" w:rsidP="00F963E3" w:rsidR="00F963E3">
      <w:pPr>
        <w:ind w:left="1080"/>
        <w:jc w:val="both"/>
      </w:pPr>
    </w:p>
    <w:p w:rsidRDefault="00243617" w:rsidP="00243617" w:rsidR="00243617">
      <w:pPr>
        <w:jc w:val="both"/>
        <w:rPr>
          <w:rFonts w:eastAsia="Calibri"/>
          <w:szCs w:val="22"/>
          <w:lang w:eastAsia="en-US" w:val="en-US"/>
        </w:rPr>
      </w:pPr>
    </w:p>
    <w:p w:rsidRDefault="009616ED" w:rsidP="00243617" w:rsidR="009616ED">
      <w:pPr>
        <w:jc w:val="both"/>
      </w:pPr>
    </w:p>
    <w:p w:rsidRDefault="00324E7F" w:rsidP="004A2B09" w:rsidR="007D7E9A">
      <w:pPr>
        <w:jc w:val="center"/>
      </w:pPr>
      <w:r w:rsidRPr="00B162A4">
        <w:t>Obrazloženje</w:t>
      </w:r>
    </w:p>
    <w:p w:rsidRDefault="004A2B09" w:rsidP="004A2B09" w:rsidR="004A2B09">
      <w:pPr>
        <w:jc w:val="center"/>
      </w:pPr>
    </w:p>
    <w:p w:rsidRDefault="00B23886" w:rsidP="004A2B09" w:rsidR="00B23886" w:rsidRPr="004A2B09">
      <w:pPr>
        <w:jc w:val="center"/>
      </w:pPr>
    </w:p>
    <w:p w:rsidRDefault="007D2041" w:rsidP="007D2041" w:rsidR="007D2041" w:rsidRPr="005E551C">
      <w:pPr>
        <w:ind w:firstLine="720"/>
        <w:jc w:val="both"/>
      </w:pPr>
      <w:r w:rsidRPr="005E551C">
        <w:t xml:space="preserve">Rješenjem ovoga suda broj </w:t>
      </w:r>
      <w:r w:rsidR="00B006FB">
        <w:t xml:space="preserve">6 </w:t>
      </w:r>
      <w:r w:rsidRPr="005E551C">
        <w:t>St-</w:t>
      </w:r>
      <w:r w:rsidR="00B006FB">
        <w:t>124/18-6 od 23. ožujka</w:t>
      </w:r>
      <w:r w:rsidR="00E46DA1">
        <w:t xml:space="preserve"> 2018. g.</w:t>
      </w:r>
      <w:r w:rsidRPr="005E551C">
        <w:t xml:space="preserve"> pokrenut je postupak nad dužnikom </w:t>
      </w:r>
      <w:r w:rsidR="00B006FB">
        <w:rPr>
          <w:b/>
        </w:rPr>
        <w:t>FLEIS PROMET j.d.o.o. za trgovinu i usluge, Osijek, Ružina 41, MBS: 030167009, OIB: 21012373533</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B006FB">
        <w:t>Krešimir Tomac iz Slavonskog Broda</w:t>
      </w:r>
      <w:r w:rsidR="001031B8">
        <w:t xml:space="preserve"> </w:t>
      </w:r>
      <w:r w:rsidRPr="005E551C">
        <w:t xml:space="preserve">te je za </w:t>
      </w:r>
      <w:r w:rsidR="00B006FB">
        <w:t>10. svibanj</w:t>
      </w:r>
      <w:r w:rsidR="00E46DA1">
        <w:t xml:space="preserve"> 2018</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B006FB">
        <w:t>10. svibnja</w:t>
      </w:r>
      <w:r w:rsidR="00E46DA1">
        <w:t xml:space="preserve"> 2018.</w:t>
      </w:r>
      <w:r w:rsidR="00F963E3">
        <w:t xml:space="preserve">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B006FB" w:rsidP="00B006FB" w:rsidR="00B006FB">
      <w:pPr>
        <w:pStyle w:val="Bezproreda"/>
        <w:jc w:val="both"/>
      </w:pPr>
    </w:p>
    <w:p w:rsidRDefault="00724A45" w:rsidP="00B006FB" w:rsidR="00B006FB">
      <w:pPr>
        <w:pStyle w:val="Bezproreda"/>
        <w:jc w:val="both"/>
      </w:pPr>
      <w:r>
        <w:t>N</w:t>
      </w:r>
      <w:r w:rsidR="00B006FB">
        <w:t>ije</w:t>
      </w:r>
      <w:r>
        <w:t xml:space="preserve"> se uspjelo</w:t>
      </w:r>
      <w:r w:rsidR="00B006FB">
        <w:t xml:space="preserve"> uspostaviti kontakt s zakonskim zastupnikom i osnivačem dužnika Eduardom Fleis, Riječka 7, Subotica, Republika Srbija (dostava preporučene pošiljke nije uspjela, a telefonski broj zakonskog zastupnika se nije mogao naći niti na jednom od javno dostupnih telefonski imenika Republike Hrvatske), slijedom čega se izvješće izrađuje na temelju javno dostupne dokumentacije.</w:t>
      </w:r>
    </w:p>
    <w:p w:rsidRDefault="00B006FB" w:rsidP="00B006FB" w:rsidR="00B006FB">
      <w:pPr>
        <w:pStyle w:val="Bezproreda"/>
        <w:jc w:val="both"/>
        <w:rPr>
          <w:rFonts w:eastAsiaTheme="minorHAnsi"/>
          <w:i/>
          <w:lang w:eastAsia="en-US"/>
        </w:rPr>
      </w:pPr>
    </w:p>
    <w:p w:rsidRDefault="00B006FB" w:rsidP="00B006FB" w:rsidR="00B006FB">
      <w:pPr>
        <w:pStyle w:val="Bezproreda"/>
        <w:jc w:val="both"/>
        <w:rPr>
          <w:rFonts w:eastAsia="Calibri"/>
          <w:b/>
        </w:rPr>
      </w:pPr>
      <w:r>
        <w:t xml:space="preserve">Iz Potvrde Financijske agencije o blokadi računa i novčanih sredstava ovršenika klasa 120-11/18-08/48. ur. broj: 08-62022-18-630 od 3.05.2018. godine proizlazi da je dužnik u neprekinutoj blokadi 318 dana, s iznosom blokade od 33.624,20 kn, iz čega proizlazi da </w:t>
      </w:r>
      <w:r>
        <w:rPr>
          <w:b/>
        </w:rPr>
        <w:t>kod dužnika postoji stečajni razlog nesposobnosti za plaćanje iz čl. 6. st. 1. crtica 1. Stečajnog zakona.</w:t>
      </w:r>
    </w:p>
    <w:p w:rsidRDefault="00B006FB" w:rsidP="00B006FB" w:rsidR="00B006FB">
      <w:pPr>
        <w:pStyle w:val="Bezproreda"/>
        <w:jc w:val="both"/>
      </w:pPr>
    </w:p>
    <w:p w:rsidRDefault="00B006FB" w:rsidP="00B006FB" w:rsidR="00B006FB">
      <w:pPr>
        <w:pStyle w:val="Bezproreda"/>
        <w:jc w:val="both"/>
      </w:pPr>
      <w:r>
        <w:t xml:space="preserve">Uvidom u GFI POD na dan 31.12.2016. nije utvrđeno da društvo evidentira dug prema radnicima, a društvo nije upisano kao subjekt koji ne plaća plaće u evidenciji pravnih osoba koje ne plaćaju plaću objavljenu na web stranicama Ministarstva financija, Porezna uprava, </w:t>
      </w:r>
      <w:hyperlink r:id="rId11" w:history="true">
        <w:r>
          <w:rPr>
            <w:rStyle w:val="Hiperveza"/>
          </w:rPr>
          <w:t>https://www.porezna-uprava.hr/bi/Stranice/Neisplatiteljiplaca.aspx</w:t>
        </w:r>
      </w:hyperlink>
      <w:r>
        <w:t xml:space="preserve"> </w:t>
      </w:r>
    </w:p>
    <w:p w:rsidRDefault="00B006FB" w:rsidP="00B006FB" w:rsidR="00B006FB">
      <w:pPr>
        <w:pStyle w:val="Bezproreda"/>
        <w:jc w:val="both"/>
      </w:pPr>
    </w:p>
    <w:p w:rsidRDefault="00B006FB" w:rsidP="00B006FB" w:rsidR="00B006FB">
      <w:pPr>
        <w:pStyle w:val="Bezproreda"/>
        <w:jc w:val="both"/>
        <w:rPr>
          <w:b/>
        </w:rPr>
      </w:pPr>
      <w:r>
        <w:rPr>
          <w:b/>
        </w:rPr>
        <w:t>Kod dužnika ne postoji stečajni razlog nesposobnosti za plaćanje iz čl. 6. st. 1. crtica 2. Stečajnog zakona.</w:t>
      </w:r>
    </w:p>
    <w:p w:rsidRDefault="00B006FB" w:rsidP="00B006FB" w:rsidR="00B006FB">
      <w:pPr>
        <w:pStyle w:val="Bezproreda"/>
        <w:jc w:val="both"/>
        <w:rPr>
          <w:b/>
        </w:rPr>
      </w:pPr>
    </w:p>
    <w:p w:rsidRDefault="00B006FB" w:rsidP="00B006FB" w:rsidR="00B006FB">
      <w:pPr>
        <w:pStyle w:val="Bezproreda"/>
        <w:jc w:val="both"/>
      </w:pPr>
      <w:r>
        <w:t xml:space="preserve">Dužnik je osnovan 25.11.2015., a zadnje financijsko izvješće koje je javno objavio putem servisa RGFI – javna objava Financijske agencije je izvješće za 2016. godinu, koje je na javnu objavu predano dana 7.4.2017. godine. </w:t>
      </w:r>
    </w:p>
    <w:p w:rsidRDefault="00B006FB" w:rsidP="00B006FB" w:rsidR="00B006FB">
      <w:pPr>
        <w:pStyle w:val="Bezproreda"/>
        <w:jc w:val="both"/>
      </w:pPr>
    </w:p>
    <w:p w:rsidRDefault="00724A45" w:rsidP="00B006FB" w:rsidR="00724A45">
      <w:pPr>
        <w:pStyle w:val="Bezproreda"/>
        <w:jc w:val="both"/>
      </w:pPr>
    </w:p>
    <w:p w:rsidRDefault="00B006FB" w:rsidP="00B006FB" w:rsidR="00B006FB">
      <w:pPr>
        <w:pStyle w:val="Bezproreda"/>
        <w:jc w:val="both"/>
      </w:pPr>
    </w:p>
    <w:p w:rsidRDefault="00B006FB" w:rsidP="00B006FB" w:rsidR="00B006FB">
      <w:pPr>
        <w:pStyle w:val="Bezproreda"/>
        <w:jc w:val="both"/>
      </w:pPr>
    </w:p>
    <w:tbl>
      <w:tblPr>
        <w:tblW w:type="dxa" w:w="3797"/>
        <w:jc w:val="center"/>
        <w:tblLook w:val="04A0" w:noVBand="1" w:noHBand="0" w:lastColumn="0" w:firstColumn="1" w:lastRow="0" w:firstRow="1"/>
      </w:tblPr>
      <w:tblGrid>
        <w:gridCol w:w="2380"/>
        <w:gridCol w:w="1417"/>
      </w:tblGrid>
      <w:tr w:rsidTr="00B006FB" w:rsidR="00B006FB">
        <w:trPr>
          <w:trHeight w:val="288"/>
          <w:jc w:val="center"/>
        </w:trPr>
        <w:tc>
          <w:tcPr>
            <w:tcW w:type="dxa" w:w="2380"/>
            <w:tcBorders>
              <w:top w:space="0" w:sz="4" w:color="auto" w:val="single"/>
              <w:left w:space="0" w:sz="4" w:color="auto" w:val="single"/>
              <w:bottom w:space="0" w:sz="4" w:color="auto" w:val="single"/>
              <w:right w:space="0" w:sz="4" w:color="auto" w:val="single"/>
            </w:tcBorders>
            <w:shd w:fill="BFBFBF" w:color="auto" w:val="clear"/>
            <w:noWrap/>
            <w:vAlign w:val="center"/>
            <w:hideMark/>
          </w:tcPr>
          <w:p w:rsidRDefault="00B006FB" w:rsidR="00B006FB">
            <w:pPr>
              <w:jc w:val="center"/>
              <w:rPr>
                <w:b/>
                <w:bCs/>
                <w:color w:val="000000"/>
              </w:rPr>
            </w:pPr>
            <w:r>
              <w:rPr>
                <w:b/>
                <w:bCs/>
                <w:color w:val="000000"/>
              </w:rPr>
              <w:lastRenderedPageBreak/>
              <w:t xml:space="preserve">Stanje na dan </w:t>
            </w:r>
          </w:p>
        </w:tc>
        <w:tc>
          <w:tcPr>
            <w:tcW w:type="dxa" w:w="1417"/>
            <w:tcBorders>
              <w:top w:space="0" w:sz="4" w:color="auto" w:val="single"/>
              <w:left w:val="nil"/>
              <w:bottom w:space="0" w:sz="4" w:color="auto" w:val="single"/>
              <w:right w:space="0" w:sz="4" w:color="auto" w:val="single"/>
            </w:tcBorders>
            <w:shd w:fill="BFBFBF" w:color="auto" w:val="clear"/>
            <w:noWrap/>
            <w:vAlign w:val="center"/>
            <w:hideMark/>
          </w:tcPr>
          <w:p w:rsidRDefault="00B006FB" w:rsidR="00B006FB">
            <w:pPr>
              <w:jc w:val="center"/>
              <w:rPr>
                <w:b/>
                <w:bCs/>
                <w:color w:val="000000"/>
              </w:rPr>
            </w:pPr>
            <w:r>
              <w:rPr>
                <w:b/>
                <w:bCs/>
                <w:color w:val="000000"/>
              </w:rPr>
              <w:t>31.12.2016.</w:t>
            </w:r>
          </w:p>
        </w:tc>
      </w:tr>
      <w:tr w:rsidTr="00B006FB" w:rsidR="00B006FB">
        <w:trPr>
          <w:trHeight w:val="260"/>
          <w:jc w:val="center"/>
        </w:trPr>
        <w:tc>
          <w:tcPr>
            <w:tcW w:type="dxa" w:w="2380"/>
            <w:noWrap/>
            <w:vAlign w:val="bottom"/>
            <w:hideMark/>
          </w:tcPr>
          <w:p w:rsidRDefault="00B006FB" w:rsidR="00B006FB">
            <w:pPr>
              <w:rPr>
                <w:sz w:val="20"/>
                <w:szCs w:val="20"/>
              </w:rPr>
            </w:pPr>
          </w:p>
        </w:tc>
        <w:tc>
          <w:tcPr>
            <w:tcW w:type="dxa" w:w="1417"/>
            <w:noWrap/>
            <w:vAlign w:val="bottom"/>
            <w:hideMark/>
          </w:tcPr>
          <w:p w:rsidRDefault="00B006FB" w:rsidR="00B006FB">
            <w:pPr>
              <w:rPr>
                <w:sz w:val="20"/>
                <w:szCs w:val="20"/>
              </w:rPr>
            </w:pPr>
          </w:p>
        </w:tc>
      </w:tr>
      <w:tr w:rsidTr="00B006FB" w:rsidR="00B006FB">
        <w:trPr>
          <w:trHeight w:val="288"/>
          <w:jc w:val="center"/>
        </w:trPr>
        <w:tc>
          <w:tcPr>
            <w:tcW w:type="dxa" w:w="2380"/>
            <w:tcBorders>
              <w:top w:space="0" w:sz="4" w:color="auto" w:val="single"/>
              <w:left w:space="0" w:sz="4" w:color="auto" w:val="single"/>
              <w:bottom w:space="0" w:sz="4" w:color="auto" w:val="single"/>
              <w:right w:space="0" w:sz="4" w:color="auto" w:val="single"/>
            </w:tcBorders>
            <w:noWrap/>
            <w:vAlign w:val="bottom"/>
            <w:hideMark/>
          </w:tcPr>
          <w:p w:rsidRDefault="00B006FB" w:rsidR="00B006FB">
            <w:pPr>
              <w:rPr>
                <w:color w:val="000000"/>
              </w:rPr>
            </w:pPr>
            <w:r>
              <w:rPr>
                <w:color w:val="000000"/>
              </w:rPr>
              <w:t>Dugotrajna imovina</w:t>
            </w:r>
          </w:p>
        </w:tc>
        <w:tc>
          <w:tcPr>
            <w:tcW w:type="dxa" w:w="1417"/>
            <w:tcBorders>
              <w:top w:space="0" w:sz="4" w:color="auto" w:val="single"/>
              <w:left w:val="nil"/>
              <w:bottom w:space="0" w:sz="4" w:color="auto" w:val="single"/>
              <w:right w:space="0" w:sz="4" w:color="auto" w:val="single"/>
            </w:tcBorders>
            <w:noWrap/>
            <w:vAlign w:val="bottom"/>
            <w:hideMark/>
          </w:tcPr>
          <w:p w:rsidRDefault="00B006FB" w:rsidR="00B006FB">
            <w:pPr>
              <w:jc w:val="right"/>
              <w:rPr>
                <w:color w:val="000000"/>
              </w:rPr>
            </w:pPr>
            <w:r>
              <w:rPr>
                <w:color w:val="000000"/>
              </w:rPr>
              <w:t>0,00 kn</w:t>
            </w:r>
          </w:p>
        </w:tc>
      </w:tr>
      <w:tr w:rsidTr="00B006FB" w:rsidR="00B006FB">
        <w:trPr>
          <w:trHeight w:val="288"/>
          <w:jc w:val="center"/>
        </w:trPr>
        <w:tc>
          <w:tcPr>
            <w:tcW w:type="dxa" w:w="2380"/>
            <w:tcBorders>
              <w:top w:val="nil"/>
              <w:left w:space="0" w:sz="4" w:color="auto" w:val="single"/>
              <w:bottom w:space="0" w:sz="4" w:color="auto" w:val="single"/>
              <w:right w:space="0" w:sz="4" w:color="auto" w:val="single"/>
            </w:tcBorders>
            <w:noWrap/>
            <w:vAlign w:val="bottom"/>
            <w:hideMark/>
          </w:tcPr>
          <w:p w:rsidRDefault="00B006FB" w:rsidR="00B006FB">
            <w:pPr>
              <w:rPr>
                <w:color w:val="000000"/>
              </w:rPr>
            </w:pPr>
            <w:r>
              <w:rPr>
                <w:color w:val="000000"/>
              </w:rPr>
              <w:t>Kratkotrajna imovina</w:t>
            </w:r>
          </w:p>
        </w:tc>
        <w:tc>
          <w:tcPr>
            <w:tcW w:type="dxa" w:w="1417"/>
            <w:tcBorders>
              <w:top w:val="nil"/>
              <w:left w:val="nil"/>
              <w:bottom w:space="0" w:sz="4" w:color="auto" w:val="single"/>
              <w:right w:space="0" w:sz="4" w:color="auto" w:val="single"/>
            </w:tcBorders>
            <w:noWrap/>
            <w:vAlign w:val="bottom"/>
            <w:hideMark/>
          </w:tcPr>
          <w:p w:rsidRDefault="00B006FB" w:rsidR="00B006FB">
            <w:pPr>
              <w:jc w:val="right"/>
              <w:rPr>
                <w:color w:val="000000"/>
              </w:rPr>
            </w:pPr>
            <w:r>
              <w:rPr>
                <w:color w:val="000000"/>
              </w:rPr>
              <w:t>83.998,00 kn</w:t>
            </w:r>
          </w:p>
        </w:tc>
      </w:tr>
      <w:tr w:rsidTr="00B006FB" w:rsidR="00B006FB">
        <w:trPr>
          <w:trHeight w:val="288"/>
          <w:jc w:val="center"/>
        </w:trPr>
        <w:tc>
          <w:tcPr>
            <w:tcW w:type="dxa" w:w="2380"/>
            <w:tcBorders>
              <w:top w:val="nil"/>
              <w:left w:space="0" w:sz="4" w:color="auto" w:val="single"/>
              <w:bottom w:space="0" w:sz="4" w:color="auto" w:val="single"/>
              <w:right w:space="0" w:sz="4" w:color="auto" w:val="single"/>
            </w:tcBorders>
            <w:shd w:fill="F2F2F2" w:color="auto" w:val="clear"/>
            <w:noWrap/>
            <w:vAlign w:val="bottom"/>
            <w:hideMark/>
          </w:tcPr>
          <w:p w:rsidRDefault="00B006FB" w:rsidR="00B006FB">
            <w:pPr>
              <w:rPr>
                <w:b/>
                <w:bCs/>
                <w:color w:val="000000"/>
              </w:rPr>
            </w:pPr>
            <w:r>
              <w:rPr>
                <w:b/>
                <w:bCs/>
                <w:color w:val="000000"/>
              </w:rPr>
              <w:t>Ukupno imovina</w:t>
            </w:r>
          </w:p>
        </w:tc>
        <w:tc>
          <w:tcPr>
            <w:tcW w:type="dxa" w:w="1417"/>
            <w:tcBorders>
              <w:top w:val="nil"/>
              <w:left w:val="nil"/>
              <w:bottom w:space="0" w:sz="4" w:color="auto" w:val="single"/>
              <w:right w:space="0" w:sz="4" w:color="auto" w:val="single"/>
            </w:tcBorders>
            <w:shd w:fill="F2F2F2" w:color="auto" w:val="clear"/>
            <w:noWrap/>
            <w:vAlign w:val="bottom"/>
            <w:hideMark/>
          </w:tcPr>
          <w:p w:rsidRDefault="00B006FB" w:rsidR="00B006FB">
            <w:pPr>
              <w:jc w:val="right"/>
              <w:rPr>
                <w:color w:val="000000"/>
              </w:rPr>
            </w:pPr>
            <w:r>
              <w:rPr>
                <w:color w:val="000000"/>
              </w:rPr>
              <w:t>83,998,00 kn</w:t>
            </w:r>
          </w:p>
        </w:tc>
      </w:tr>
      <w:tr w:rsidTr="00B006FB" w:rsidR="00B006FB">
        <w:trPr>
          <w:trHeight w:val="288"/>
          <w:jc w:val="center"/>
        </w:trPr>
        <w:tc>
          <w:tcPr>
            <w:tcW w:type="dxa" w:w="2380"/>
            <w:noWrap/>
            <w:vAlign w:val="bottom"/>
            <w:hideMark/>
          </w:tcPr>
          <w:p w:rsidRDefault="00B006FB" w:rsidR="00B006FB">
            <w:pPr>
              <w:rPr>
                <w:sz w:val="20"/>
                <w:szCs w:val="20"/>
              </w:rPr>
            </w:pPr>
          </w:p>
        </w:tc>
        <w:tc>
          <w:tcPr>
            <w:tcW w:type="dxa" w:w="1417"/>
            <w:noWrap/>
            <w:vAlign w:val="bottom"/>
            <w:hideMark/>
          </w:tcPr>
          <w:p w:rsidRDefault="00B006FB" w:rsidR="00B006FB">
            <w:pPr>
              <w:rPr>
                <w:sz w:val="20"/>
                <w:szCs w:val="20"/>
              </w:rPr>
            </w:pPr>
          </w:p>
        </w:tc>
      </w:tr>
      <w:tr w:rsidTr="00B006FB" w:rsidR="00B006FB">
        <w:trPr>
          <w:trHeight w:val="288"/>
          <w:jc w:val="center"/>
        </w:trPr>
        <w:tc>
          <w:tcPr>
            <w:tcW w:type="dxa" w:w="2380"/>
            <w:tcBorders>
              <w:top w:space="0" w:sz="4" w:color="auto" w:val="single"/>
              <w:left w:space="0" w:sz="4" w:color="auto" w:val="single"/>
              <w:bottom w:space="0" w:sz="4" w:color="auto" w:val="single"/>
              <w:right w:space="0" w:sz="4" w:color="auto" w:val="single"/>
            </w:tcBorders>
            <w:noWrap/>
            <w:vAlign w:val="bottom"/>
            <w:hideMark/>
          </w:tcPr>
          <w:p w:rsidRDefault="00B006FB" w:rsidR="00B006FB">
            <w:pPr>
              <w:rPr>
                <w:color w:val="000000"/>
              </w:rPr>
            </w:pPr>
            <w:r>
              <w:rPr>
                <w:color w:val="000000"/>
              </w:rPr>
              <w:t>Dugoročne obveze</w:t>
            </w:r>
          </w:p>
        </w:tc>
        <w:tc>
          <w:tcPr>
            <w:tcW w:type="dxa" w:w="1417"/>
            <w:tcBorders>
              <w:top w:space="0" w:sz="4" w:color="auto" w:val="single"/>
              <w:left w:val="nil"/>
              <w:bottom w:space="0" w:sz="4" w:color="auto" w:val="single"/>
              <w:right w:space="0" w:sz="4" w:color="auto" w:val="single"/>
            </w:tcBorders>
            <w:noWrap/>
            <w:vAlign w:val="bottom"/>
            <w:hideMark/>
          </w:tcPr>
          <w:p w:rsidRDefault="00B006FB" w:rsidR="00B006FB">
            <w:pPr>
              <w:jc w:val="right"/>
              <w:rPr>
                <w:color w:val="000000"/>
              </w:rPr>
            </w:pPr>
            <w:r>
              <w:rPr>
                <w:color w:val="000000"/>
              </w:rPr>
              <w:t>0,00 kn</w:t>
            </w:r>
          </w:p>
        </w:tc>
      </w:tr>
      <w:tr w:rsidTr="00B006FB" w:rsidR="00B006FB">
        <w:trPr>
          <w:trHeight w:val="288"/>
          <w:jc w:val="center"/>
        </w:trPr>
        <w:tc>
          <w:tcPr>
            <w:tcW w:type="dxa" w:w="2380"/>
            <w:tcBorders>
              <w:top w:val="nil"/>
              <w:left w:space="0" w:sz="4" w:color="auto" w:val="single"/>
              <w:bottom w:space="0" w:sz="4" w:color="auto" w:val="single"/>
              <w:right w:space="0" w:sz="4" w:color="auto" w:val="single"/>
            </w:tcBorders>
            <w:noWrap/>
            <w:vAlign w:val="bottom"/>
            <w:hideMark/>
          </w:tcPr>
          <w:p w:rsidRDefault="00B006FB" w:rsidR="00B006FB">
            <w:pPr>
              <w:rPr>
                <w:color w:val="000000"/>
              </w:rPr>
            </w:pPr>
            <w:r>
              <w:rPr>
                <w:color w:val="000000"/>
              </w:rPr>
              <w:t>Kratkoročne obveze</w:t>
            </w:r>
          </w:p>
        </w:tc>
        <w:tc>
          <w:tcPr>
            <w:tcW w:type="dxa" w:w="1417"/>
            <w:tcBorders>
              <w:top w:val="nil"/>
              <w:left w:val="nil"/>
              <w:bottom w:space="0" w:sz="4" w:color="auto" w:val="single"/>
              <w:right w:space="0" w:sz="4" w:color="auto" w:val="single"/>
            </w:tcBorders>
            <w:noWrap/>
            <w:vAlign w:val="bottom"/>
            <w:hideMark/>
          </w:tcPr>
          <w:p w:rsidRDefault="00B006FB" w:rsidR="00B006FB">
            <w:pPr>
              <w:jc w:val="right"/>
              <w:rPr>
                <w:color w:val="000000"/>
              </w:rPr>
            </w:pPr>
            <w:r>
              <w:rPr>
                <w:color w:val="000000"/>
              </w:rPr>
              <w:t>24.061,00 kn</w:t>
            </w:r>
          </w:p>
        </w:tc>
      </w:tr>
      <w:tr w:rsidTr="00B006FB" w:rsidR="00B006FB">
        <w:trPr>
          <w:trHeight w:val="288"/>
          <w:jc w:val="center"/>
        </w:trPr>
        <w:tc>
          <w:tcPr>
            <w:tcW w:type="dxa" w:w="2380"/>
            <w:tcBorders>
              <w:top w:val="nil"/>
              <w:left w:space="0" w:sz="4" w:color="auto" w:val="single"/>
              <w:bottom w:space="0" w:sz="4" w:color="auto" w:val="single"/>
              <w:right w:space="0" w:sz="4" w:color="auto" w:val="single"/>
            </w:tcBorders>
            <w:shd w:fill="F2F2F2" w:color="auto" w:val="clear"/>
            <w:noWrap/>
            <w:vAlign w:val="bottom"/>
            <w:hideMark/>
          </w:tcPr>
          <w:p w:rsidRDefault="00B006FB" w:rsidR="00B006FB">
            <w:pPr>
              <w:rPr>
                <w:b/>
                <w:bCs/>
                <w:color w:val="000000"/>
              </w:rPr>
            </w:pPr>
            <w:r>
              <w:rPr>
                <w:b/>
                <w:bCs/>
                <w:color w:val="000000"/>
              </w:rPr>
              <w:t>Ukupno obveze</w:t>
            </w:r>
          </w:p>
        </w:tc>
        <w:tc>
          <w:tcPr>
            <w:tcW w:type="dxa" w:w="1417"/>
            <w:tcBorders>
              <w:top w:val="nil"/>
              <w:left w:val="nil"/>
              <w:bottom w:space="0" w:sz="4" w:color="auto" w:val="single"/>
              <w:right w:space="0" w:sz="4" w:color="auto" w:val="single"/>
            </w:tcBorders>
            <w:shd w:fill="F2F2F2" w:color="auto" w:val="clear"/>
            <w:noWrap/>
            <w:vAlign w:val="bottom"/>
            <w:hideMark/>
          </w:tcPr>
          <w:p w:rsidRDefault="00B006FB" w:rsidR="00B006FB">
            <w:pPr>
              <w:jc w:val="right"/>
              <w:rPr>
                <w:color w:val="000000"/>
              </w:rPr>
            </w:pPr>
            <w:r>
              <w:rPr>
                <w:color w:val="000000"/>
              </w:rPr>
              <w:t>24.061,00 kn</w:t>
            </w:r>
          </w:p>
        </w:tc>
      </w:tr>
      <w:tr w:rsidTr="00B006FB" w:rsidR="00B006FB">
        <w:trPr>
          <w:trHeight w:val="288"/>
          <w:jc w:val="center"/>
        </w:trPr>
        <w:tc>
          <w:tcPr>
            <w:tcW w:type="dxa" w:w="2380"/>
            <w:noWrap/>
            <w:vAlign w:val="bottom"/>
            <w:hideMark/>
          </w:tcPr>
          <w:p w:rsidRDefault="00B006FB" w:rsidR="00B006FB">
            <w:pPr>
              <w:rPr>
                <w:sz w:val="20"/>
                <w:szCs w:val="20"/>
              </w:rPr>
            </w:pPr>
          </w:p>
        </w:tc>
        <w:tc>
          <w:tcPr>
            <w:tcW w:type="dxa" w:w="1417"/>
            <w:noWrap/>
            <w:vAlign w:val="bottom"/>
            <w:hideMark/>
          </w:tcPr>
          <w:p w:rsidRDefault="00B006FB" w:rsidR="00B006FB">
            <w:pPr>
              <w:rPr>
                <w:sz w:val="20"/>
                <w:szCs w:val="20"/>
              </w:rPr>
            </w:pPr>
          </w:p>
        </w:tc>
      </w:tr>
      <w:tr w:rsidTr="00B006FB" w:rsidR="00B006FB">
        <w:trPr>
          <w:trHeight w:val="288"/>
          <w:jc w:val="center"/>
        </w:trPr>
        <w:tc>
          <w:tcPr>
            <w:tcW w:type="dxa" w:w="2380"/>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B006FB" w:rsidR="00B006FB">
            <w:pPr>
              <w:rPr>
                <w:b/>
                <w:bCs/>
                <w:color w:val="000000"/>
              </w:rPr>
            </w:pPr>
            <w:r>
              <w:rPr>
                <w:b/>
                <w:bCs/>
                <w:color w:val="000000"/>
              </w:rPr>
              <w:t>Razlika imovine/obveze</w:t>
            </w:r>
          </w:p>
        </w:tc>
        <w:tc>
          <w:tcPr>
            <w:tcW w:type="dxa" w:w="1417"/>
            <w:tcBorders>
              <w:top w:space="0" w:sz="4" w:color="auto" w:val="single"/>
              <w:left w:val="nil"/>
              <w:bottom w:space="0" w:sz="4" w:color="auto" w:val="single"/>
              <w:right w:space="0" w:sz="4" w:color="auto" w:val="single"/>
            </w:tcBorders>
            <w:shd w:fill="F2F2F2" w:color="auto" w:val="clear"/>
            <w:noWrap/>
            <w:vAlign w:val="bottom"/>
            <w:hideMark/>
          </w:tcPr>
          <w:p w:rsidRDefault="00B006FB" w:rsidR="00B006FB">
            <w:pPr>
              <w:jc w:val="right"/>
              <w:rPr>
                <w:color w:val="000000"/>
              </w:rPr>
            </w:pPr>
            <w:r>
              <w:rPr>
                <w:color w:val="000000"/>
              </w:rPr>
              <w:t>59.937,00 kn</w:t>
            </w:r>
          </w:p>
        </w:tc>
      </w:tr>
    </w:tbl>
    <w:p w:rsidRDefault="00B006FB" w:rsidP="00B006FB" w:rsidR="00B006FB">
      <w:pPr>
        <w:pStyle w:val="Bezproreda"/>
        <w:jc w:val="both"/>
      </w:pPr>
    </w:p>
    <w:p w:rsidRDefault="00B006FB" w:rsidP="00B006FB" w:rsidR="00B006FB">
      <w:pPr>
        <w:pStyle w:val="Bezproreda"/>
        <w:jc w:val="both"/>
      </w:pPr>
      <w:r>
        <w:t xml:space="preserve">Iz gore prikazanih podataka proizlazi da je knjigovodstvena vrijednost imovine društva na dan 31.12.2016. veća od knjigovodstvene vrijednosti obveza društva, za iznos od 59.937,00 kn. Knjigovodstvena vrijednost imovine je veća iznosa obveza društva, odnosno </w:t>
      </w:r>
      <w:r>
        <w:rPr>
          <w:b/>
        </w:rPr>
        <w:t>kod dužnika ne postoji stečajni razlog prezaduženosti iz čl. 7. Stečajnog zakona.</w:t>
      </w:r>
    </w:p>
    <w:p w:rsidRDefault="00B006FB" w:rsidP="00B006FB" w:rsidR="00B006FB">
      <w:pPr>
        <w:pStyle w:val="Bezproreda"/>
        <w:jc w:val="both"/>
        <w:rPr>
          <w:b/>
        </w:rPr>
      </w:pPr>
    </w:p>
    <w:p w:rsidRDefault="00B006FB" w:rsidP="00B006FB" w:rsidR="00B006FB">
      <w:pPr>
        <w:pStyle w:val="Bezproreda"/>
        <w:jc w:val="both"/>
        <w:rPr>
          <w:b/>
          <w:u w:val="single"/>
        </w:rPr>
      </w:pPr>
      <w:r>
        <w:rPr>
          <w:b/>
          <w:u w:val="single"/>
        </w:rPr>
        <w:t>Kod dužnika je nesporno utvrđeno postojanje stečajnog razloga nesposobnosti za plaćanje iz čl. 6. st. 1. crtica 1.   Stečajnog zakona, a postojanje drugih stečajnih razloga nije utvrđeno.</w:t>
      </w:r>
    </w:p>
    <w:p w:rsidRDefault="00B006FB" w:rsidP="00B006FB" w:rsidR="00B006FB">
      <w:pPr>
        <w:pStyle w:val="Bezproreda"/>
        <w:rPr>
          <w:b/>
        </w:rPr>
      </w:pPr>
    </w:p>
    <w:p w:rsidRDefault="00B006FB" w:rsidP="00B006FB" w:rsidR="00B006FB">
      <w:pPr>
        <w:pStyle w:val="Bezproreda"/>
      </w:pPr>
      <w:r>
        <w:rPr>
          <w:b/>
        </w:rPr>
        <w:t xml:space="preserve"> </w:t>
      </w:r>
      <w:r>
        <w:t>Analiza stanja i vrijednosti dužnikove imovine.</w:t>
      </w:r>
    </w:p>
    <w:p w:rsidRDefault="00B006FB" w:rsidP="00B006FB" w:rsidR="00B006FB">
      <w:pPr>
        <w:pStyle w:val="Bezproreda"/>
      </w:pPr>
    </w:p>
    <w:p w:rsidRDefault="00B006FB" w:rsidP="00B006FB" w:rsidR="00B006FB">
      <w:pPr>
        <w:pStyle w:val="Bezproreda"/>
        <w:jc w:val="both"/>
      </w:pPr>
      <w:r>
        <w:t>Dužnik je osnovan dana 25.11.2015., s temeljnim kapitalom od 10,00 kn.</w:t>
      </w:r>
    </w:p>
    <w:p w:rsidRDefault="00B006FB" w:rsidP="00B006FB" w:rsidR="00B006FB">
      <w:pPr>
        <w:pStyle w:val="Bezproreda"/>
        <w:jc w:val="both"/>
      </w:pPr>
      <w:r>
        <w:t>Dužnik u financijskoj i poslovnoj dokumentaciji u trenutku osnivanja, odnosno u niti jednom trenutku postojanja, nije prikazivao vlasništvo nekretnina ili pokretnina (bilanca, B – Dugotrajna imovina, odjeljak II – Materijalna imovina, stavke 1. – Zemljište, 2. – Građevinski objekti i 3. – Postrojenja i oprema i B – Dugotrajna imovina, odjeljak II – Materijalna imovina, stavka 4. – Alati, pogonski inventar i transportna imovina)</w:t>
      </w:r>
    </w:p>
    <w:p w:rsidRDefault="00B006FB" w:rsidP="00B006FB" w:rsidR="00B006FB">
      <w:pPr>
        <w:pStyle w:val="Bezproreda"/>
        <w:jc w:val="both"/>
      </w:pPr>
    </w:p>
    <w:p w:rsidRDefault="00B006FB" w:rsidP="00B006FB" w:rsidR="00B006FB">
      <w:pPr>
        <w:pStyle w:val="Bezproreda"/>
        <w:jc w:val="both"/>
      </w:pPr>
      <w:r>
        <w:t>Društvo nije vlasnik nekretnina i pokretnina, niti se može utvrditi da je od trenutka osnivanja društva i upisa istoga u sudski registar bilo vlasnik nekretnina i pokretnina.</w:t>
      </w:r>
    </w:p>
    <w:p w:rsidRDefault="00B006FB" w:rsidP="00B006FB" w:rsidR="00B006FB">
      <w:pPr>
        <w:pStyle w:val="Bezproreda"/>
        <w:jc w:val="both"/>
      </w:pPr>
    </w:p>
    <w:p w:rsidRDefault="00B006FB" w:rsidP="00B006FB" w:rsidR="00B006FB">
      <w:pPr>
        <w:pStyle w:val="Bezproreda"/>
        <w:jc w:val="both"/>
      </w:pPr>
      <w:r>
        <w:t>Dužnik bilancom na dan 31.12.2016. prikazuje potraživanja u vrijednosti od 15.990,00 kn.</w:t>
      </w:r>
    </w:p>
    <w:p w:rsidRDefault="00B006FB" w:rsidP="00B006FB" w:rsidR="00B006FB">
      <w:pPr>
        <w:pStyle w:val="Bezproreda"/>
        <w:jc w:val="both"/>
      </w:pPr>
      <w:r>
        <w:t>Obzirom privremeni stečajni upravitelj nije uspio ostvariti kontakt s zakonskim zastupnikom dužnika nije omogućena analiza postojanja ovih potraživanja, ili mogućnost naplate, te se za potrebe ovog izvješća ocjenjuje da ne postoji mogućnost naplate eventualnih potraživanja prema trećima.</w:t>
      </w:r>
    </w:p>
    <w:p w:rsidRDefault="00B006FB" w:rsidP="00B006FB" w:rsidR="00B006FB">
      <w:pPr>
        <w:pStyle w:val="Bezproreda"/>
        <w:jc w:val="both"/>
      </w:pPr>
    </w:p>
    <w:p w:rsidRDefault="00B006FB" w:rsidP="00B006FB" w:rsidR="00B006FB">
      <w:pPr>
        <w:pStyle w:val="Bezproreda"/>
        <w:jc w:val="both"/>
      </w:pPr>
      <w:r>
        <w:lastRenderedPageBreak/>
        <w:t>Dužnik bilancom na dan 31.12.2016. prikazuje stavku „C – Kratkotrajna imovina, IV – Novac u banci i blagajni u iznosu od 41.976,00 kn. Uvažavajući činjenicu da je dužnik u blokadi neprekidno 318 dana izvjesno je da su sva novčana sredstva kojima je dužnik raspolagao do sada ovršena, te da predmetna sredstva više ne postoje kao imovina.</w:t>
      </w:r>
    </w:p>
    <w:p w:rsidRDefault="00B006FB" w:rsidP="00B006FB" w:rsidR="00B006FB">
      <w:pPr>
        <w:pStyle w:val="Bezproreda"/>
        <w:jc w:val="both"/>
      </w:pPr>
    </w:p>
    <w:p w:rsidRDefault="00B006FB" w:rsidP="00B006FB" w:rsidR="00B006FB">
      <w:pPr>
        <w:pStyle w:val="Bezproreda"/>
        <w:jc w:val="both"/>
      </w:pPr>
      <w:r>
        <w:t xml:space="preserve">Nadalje, dužnik prikazuje stavku „Kratkotrajna financijska imovina“ u vrijednosti od 26.032,00 kn, no bez pristupa dokumentaciji dužnika nije se moguće očitovati na što se predmetna stavka odnosi. Stavka „Kratkotrajna financijska imovina“ se odnosi na udjele (dionice) u povezanim poduzećima, zajmove povezanim poduzećima, vrijednosne papire, dane kredite; depozite i kaucije, otkup vlastitih dionica i ostala kratkoročna ulaganja (Zakon o računovodstvu (NN 78/15, 134/15 i 120/16), Odluka o objavljivanju Hrvatskih standarda financijskog izvještavanja (NN 86/2015)). </w:t>
      </w:r>
    </w:p>
    <w:p w:rsidRDefault="00B006FB" w:rsidP="00B006FB" w:rsidR="00B006FB">
      <w:pPr>
        <w:pStyle w:val="Bezproreda"/>
        <w:jc w:val="both"/>
        <w:rPr>
          <w:b/>
        </w:rPr>
      </w:pPr>
    </w:p>
    <w:p w:rsidRDefault="00B006FB" w:rsidP="00B006FB" w:rsidR="00B006FB">
      <w:pPr>
        <w:pStyle w:val="Bezproreda"/>
        <w:jc w:val="both"/>
        <w:rPr>
          <w:b/>
        </w:rPr>
      </w:pPr>
      <w:r>
        <w:rPr>
          <w:b/>
        </w:rPr>
        <w:t>Dužnik, prema dostupnim financijskim i knjigovodstvenim podatcima, nema imovine prodajom ili unovčenjem koje bi se mogao ostvariti priljev u korist stečajne mase.</w:t>
      </w:r>
    </w:p>
    <w:p w:rsidRDefault="00B006FB" w:rsidP="00B006FB" w:rsidR="00B006FB">
      <w:pPr>
        <w:pStyle w:val="Bezproreda"/>
        <w:jc w:val="both"/>
        <w:rPr>
          <w:b/>
        </w:rPr>
      </w:pPr>
    </w:p>
    <w:p w:rsidRDefault="00B006FB" w:rsidP="00B006FB" w:rsidR="00B006FB">
      <w:pPr>
        <w:pStyle w:val="Bezproreda"/>
        <w:jc w:val="both"/>
      </w:pPr>
      <w:r>
        <w:t>Procjena troškova stečajnog postupka.</w:t>
      </w:r>
    </w:p>
    <w:p w:rsidRDefault="00B006FB" w:rsidP="00B006FB" w:rsidR="00B006FB">
      <w:pPr>
        <w:pStyle w:val="Bezproreda"/>
        <w:jc w:val="both"/>
      </w:pPr>
    </w:p>
    <w:p w:rsidRDefault="00B006FB" w:rsidP="00B006FB" w:rsidR="00B006FB">
      <w:pPr>
        <w:pStyle w:val="Bezproreda"/>
        <w:jc w:val="both"/>
      </w:pPr>
      <w:r>
        <w:t>Troškovi stečajnog postupka se, za godinu dana trajanja postupka, procjenjuju u ukupnom iznosu od 24.783,00 kn, po pojedinačnoj specifikaciji:</w:t>
      </w:r>
    </w:p>
    <w:p w:rsidRDefault="00B006FB" w:rsidP="00B006FB" w:rsidR="00B006FB">
      <w:pPr>
        <w:pStyle w:val="Default"/>
      </w:pPr>
    </w:p>
    <w:tbl>
      <w:tblPr>
        <w:tblW w:type="auto" w:w="0"/>
        <w:tblInd w:type="dxa" w:w="-108"/>
        <w:tblLayout w:type="fixed"/>
        <w:tblLook w:val="04A0" w:noVBand="1" w:noHBand="0" w:lastColumn="0" w:firstColumn="1" w:lastRow="0" w:firstRow="1"/>
      </w:tblPr>
      <w:tblGrid>
        <w:gridCol w:w="534"/>
        <w:gridCol w:w="7087"/>
        <w:gridCol w:w="1373"/>
      </w:tblGrid>
      <w:tr w:rsidTr="00B006FB" w:rsidR="00B006FB">
        <w:trPr>
          <w:trHeight w:val="717"/>
        </w:trPr>
        <w:tc>
          <w:tcPr>
            <w:tcW w:type="dxa" w:w="534"/>
            <w:tcBorders>
              <w:top w:space="0" w:sz="4" w:color="auto" w:val="single"/>
              <w:left w:space="0" w:sz="4" w:color="auto" w:val="single"/>
              <w:bottom w:space="0" w:sz="4" w:color="auto" w:val="single"/>
              <w:right w:space="0" w:sz="4" w:color="auto" w:val="single"/>
            </w:tcBorders>
            <w:shd w:themeFillShade="BF" w:themeFill="background1" w:fill="BFBFBF" w:color="auto" w:val="clear"/>
            <w:hideMark/>
          </w:tcPr>
          <w:p w:rsidRDefault="00B006FB" w:rsidR="00B006FB">
            <w:pPr>
              <w:pStyle w:val="Default"/>
              <w:spacing w:lineRule="auto" w:line="254"/>
              <w:jc w:val="center"/>
              <w:rPr>
                <w:color w:val="auto"/>
                <w:lang w:eastAsia="en-US"/>
              </w:rPr>
            </w:pPr>
            <w:r>
              <w:rPr>
                <w:b/>
                <w:bCs/>
                <w:color w:val="auto"/>
              </w:rPr>
              <w:t>r. br.</w:t>
            </w:r>
          </w:p>
        </w:tc>
        <w:tc>
          <w:tcPr>
            <w:tcW w:type="dxa" w:w="7087"/>
            <w:tcBorders>
              <w:top w:space="0" w:sz="4" w:color="auto" w:val="single"/>
              <w:left w:space="0" w:sz="4" w:color="auto" w:val="single"/>
              <w:bottom w:space="0" w:sz="4" w:color="auto" w:val="single"/>
              <w:right w:space="0" w:sz="4" w:color="auto" w:val="single"/>
            </w:tcBorders>
            <w:shd w:themeFillShade="BF" w:themeFill="background1" w:fill="BFBFBF" w:color="auto" w:val="clear"/>
          </w:tcPr>
          <w:p w:rsidRDefault="00B006FB" w:rsidR="00B006FB">
            <w:pPr>
              <w:pStyle w:val="Default"/>
              <w:spacing w:lineRule="auto" w:line="254"/>
              <w:jc w:val="center"/>
              <w:rPr>
                <w:b/>
                <w:bCs/>
                <w:color w:val="auto"/>
              </w:rPr>
            </w:pPr>
          </w:p>
          <w:p w:rsidRDefault="00B006FB" w:rsidR="00B006FB">
            <w:pPr>
              <w:pStyle w:val="Default"/>
              <w:spacing w:lineRule="auto" w:line="254"/>
              <w:jc w:val="center"/>
              <w:rPr>
                <w:color w:val="auto"/>
                <w:lang w:eastAsia="en-US"/>
              </w:rPr>
            </w:pPr>
            <w:r>
              <w:rPr>
                <w:b/>
                <w:bCs/>
                <w:color w:val="auto"/>
              </w:rPr>
              <w:t>Opis i specifikacija troška</w:t>
            </w:r>
          </w:p>
        </w:tc>
        <w:tc>
          <w:tcPr>
            <w:tcW w:type="dxa" w:w="1373"/>
            <w:tcBorders>
              <w:top w:space="0" w:sz="4" w:color="auto" w:val="single"/>
              <w:left w:space="0" w:sz="4" w:color="auto" w:val="single"/>
              <w:bottom w:space="0" w:sz="4" w:color="auto" w:val="single"/>
              <w:right w:space="0" w:sz="4" w:color="auto" w:val="single"/>
            </w:tcBorders>
            <w:shd w:themeFillShade="BF" w:themeFill="background1" w:fill="BFBFBF" w:color="auto" w:val="clear"/>
          </w:tcPr>
          <w:p w:rsidRDefault="00B006FB" w:rsidR="00B006FB">
            <w:pPr>
              <w:pStyle w:val="Default"/>
              <w:spacing w:lineRule="auto" w:line="254"/>
              <w:jc w:val="center"/>
              <w:rPr>
                <w:b/>
                <w:bCs/>
                <w:color w:val="auto"/>
              </w:rPr>
            </w:pPr>
          </w:p>
          <w:p w:rsidRDefault="00B006FB" w:rsidR="00B006FB">
            <w:pPr>
              <w:pStyle w:val="Default"/>
              <w:spacing w:lineRule="auto" w:line="254"/>
              <w:jc w:val="center"/>
              <w:rPr>
                <w:color w:val="auto"/>
                <w:lang w:eastAsia="en-US"/>
              </w:rPr>
            </w:pPr>
            <w:r>
              <w:rPr>
                <w:b/>
                <w:bCs/>
                <w:color w:val="auto"/>
              </w:rPr>
              <w:t>Iznos troška</w:t>
            </w:r>
          </w:p>
        </w:tc>
      </w:tr>
      <w:tr w:rsidTr="00B006FB" w:rsidR="00B006FB">
        <w:trPr>
          <w:trHeight w:val="199"/>
        </w:trPr>
        <w:tc>
          <w:tcPr>
            <w:tcW w:type="dxa" w:w="534"/>
            <w:tcBorders>
              <w:top w:space="0" w:sz="4" w:color="auto" w:val="single"/>
              <w:left w:space="0" w:sz="4" w:color="auto" w:val="single"/>
              <w:bottom w:space="0" w:sz="4" w:color="auto" w:val="single"/>
              <w:right w:space="0" w:sz="4" w:color="auto" w:val="single"/>
            </w:tcBorders>
            <w:hideMark/>
          </w:tcPr>
          <w:p w:rsidRDefault="00B006FB" w:rsidR="00B006FB">
            <w:pPr>
              <w:pStyle w:val="Default"/>
              <w:spacing w:lineRule="auto" w:line="254"/>
              <w:rPr>
                <w:lang w:eastAsia="en-US"/>
              </w:rPr>
            </w:pPr>
            <w:r>
              <w:rPr>
                <w:b/>
                <w:bCs/>
              </w:rPr>
              <w:t xml:space="preserve">1. </w:t>
            </w:r>
          </w:p>
        </w:tc>
        <w:tc>
          <w:tcPr>
            <w:tcW w:type="dxa" w:w="7087"/>
            <w:tcBorders>
              <w:top w:space="0" w:sz="4" w:color="auto" w:val="single"/>
              <w:left w:space="0" w:sz="4" w:color="auto" w:val="single"/>
              <w:bottom w:space="0" w:sz="4" w:color="auto" w:val="single"/>
              <w:right w:space="0" w:sz="4" w:color="auto" w:val="single"/>
            </w:tcBorders>
            <w:hideMark/>
          </w:tcPr>
          <w:p w:rsidRDefault="00B006FB" w:rsidR="00B006FB">
            <w:pPr>
              <w:pStyle w:val="Default"/>
              <w:spacing w:lineRule="auto" w:line="254"/>
              <w:rPr>
                <w:lang w:eastAsia="en-US"/>
              </w:rPr>
            </w:pPr>
            <w:r>
              <w:rPr>
                <w:b/>
                <w:bCs/>
              </w:rPr>
              <w:t xml:space="preserve">Trošak računovodstvenih usluga: </w:t>
            </w:r>
            <w:r>
              <w:t xml:space="preserve">- mjesečni trošak knjigovodstvenog servisa od 600,00 kn + PDV, za 12 mjeseci) </w:t>
            </w:r>
          </w:p>
        </w:tc>
        <w:tc>
          <w:tcPr>
            <w:tcW w:type="dxa" w:w="1373"/>
            <w:tcBorders>
              <w:top w:space="0" w:sz="4" w:color="auto" w:val="single"/>
              <w:left w:space="0" w:sz="4" w:color="auto" w:val="single"/>
              <w:bottom w:space="0" w:sz="4" w:color="auto" w:val="single"/>
              <w:right w:space="0" w:sz="4" w:color="auto" w:val="single"/>
            </w:tcBorders>
            <w:hideMark/>
          </w:tcPr>
          <w:p w:rsidRDefault="00B006FB" w:rsidR="00B006FB">
            <w:pPr>
              <w:pStyle w:val="Default"/>
              <w:spacing w:lineRule="auto" w:line="254"/>
              <w:rPr>
                <w:lang w:eastAsia="en-US"/>
              </w:rPr>
            </w:pPr>
            <w:r>
              <w:rPr>
                <w:b/>
                <w:bCs/>
              </w:rPr>
              <w:t xml:space="preserve">9.000,00 kn </w:t>
            </w:r>
          </w:p>
        </w:tc>
      </w:tr>
      <w:tr w:rsidTr="00B006FB" w:rsidR="00B006FB">
        <w:trPr>
          <w:trHeight w:val="377"/>
        </w:trPr>
        <w:tc>
          <w:tcPr>
            <w:tcW w:type="dxa" w:w="534"/>
            <w:tcBorders>
              <w:top w:space="0" w:sz="4" w:color="auto" w:val="single"/>
              <w:left w:space="0" w:sz="4" w:color="auto" w:val="single"/>
              <w:bottom w:val="nil"/>
              <w:right w:val="nil"/>
            </w:tcBorders>
            <w:hideMark/>
          </w:tcPr>
          <w:p w:rsidRDefault="00B006FB" w:rsidR="00B006FB">
            <w:pPr>
              <w:pStyle w:val="Default"/>
              <w:spacing w:lineRule="auto" w:line="254"/>
              <w:rPr>
                <w:lang w:eastAsia="en-US"/>
              </w:rPr>
            </w:pPr>
            <w:r>
              <w:rPr>
                <w:b/>
                <w:bCs/>
              </w:rPr>
              <w:t xml:space="preserve">2. </w:t>
            </w:r>
          </w:p>
        </w:tc>
        <w:tc>
          <w:tcPr>
            <w:tcW w:type="dxa" w:w="7087"/>
            <w:tcBorders>
              <w:top w:space="0" w:sz="4" w:color="auto" w:val="single"/>
              <w:left w:val="nil"/>
              <w:bottom w:val="nil"/>
              <w:right w:val="nil"/>
            </w:tcBorders>
            <w:hideMark/>
          </w:tcPr>
          <w:p w:rsidRDefault="00B006FB" w:rsidR="00B006FB">
            <w:pPr>
              <w:pStyle w:val="Default"/>
              <w:spacing w:lineRule="auto" w:line="254"/>
              <w:rPr>
                <w:lang w:eastAsia="en-US"/>
              </w:rPr>
            </w:pPr>
            <w:r>
              <w:rPr>
                <w:b/>
                <w:bCs/>
              </w:rPr>
              <w:t xml:space="preserve">Trošak otvaranja, vođenja i zatvaranja računa: </w:t>
            </w:r>
          </w:p>
        </w:tc>
        <w:tc>
          <w:tcPr>
            <w:tcW w:type="dxa" w:w="1373"/>
            <w:tcBorders>
              <w:top w:space="0" w:sz="4" w:color="auto" w:val="single"/>
              <w:left w:val="nil"/>
              <w:bottom w:val="nil"/>
              <w:right w:space="0" w:sz="4" w:color="auto" w:val="single"/>
            </w:tcBorders>
            <w:hideMark/>
          </w:tcPr>
          <w:p w:rsidRDefault="00B006FB" w:rsidR="00B006FB">
            <w:pPr>
              <w:pStyle w:val="Default"/>
              <w:spacing w:lineRule="auto" w:line="254"/>
              <w:rPr>
                <w:lang w:eastAsia="en-US"/>
              </w:rPr>
            </w:pPr>
            <w:r>
              <w:rPr>
                <w:b/>
                <w:bCs/>
              </w:rPr>
              <w:t xml:space="preserve">2.028,00 kn </w:t>
            </w:r>
          </w:p>
        </w:tc>
      </w:tr>
      <w:tr w:rsidTr="00B006FB" w:rsidR="00B006FB">
        <w:trPr>
          <w:trHeight w:val="106"/>
        </w:trPr>
        <w:tc>
          <w:tcPr>
            <w:tcW w:type="dxa" w:w="7621"/>
            <w:gridSpan w:val="2"/>
            <w:tcBorders>
              <w:top w:val="nil"/>
              <w:left w:space="0" w:sz="4" w:color="auto" w:val="single"/>
              <w:bottom w:val="nil"/>
              <w:right w:val="nil"/>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Trošak otvaranja računa </w:t>
            </w:r>
          </w:p>
        </w:tc>
        <w:tc>
          <w:tcPr>
            <w:tcW w:type="dxa" w:w="1373"/>
            <w:tcBorders>
              <w:top w:val="nil"/>
              <w:left w:val="nil"/>
              <w:bottom w:val="nil"/>
              <w:right w:space="0" w:sz="4" w:color="auto" w:val="single"/>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200,00 kn </w:t>
            </w:r>
          </w:p>
        </w:tc>
      </w:tr>
      <w:tr w:rsidTr="00B006FB" w:rsidR="00B006FB">
        <w:trPr>
          <w:trHeight w:val="100"/>
        </w:trPr>
        <w:tc>
          <w:tcPr>
            <w:tcW w:type="dxa" w:w="7621"/>
            <w:gridSpan w:val="2"/>
            <w:tcBorders>
              <w:top w:val="nil"/>
              <w:left w:space="0" w:sz="4" w:color="auto" w:val="single"/>
              <w:bottom w:val="nil"/>
              <w:right w:val="nil"/>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Naknada za vođenje računa i usluge e i e mobilnog bankarstva, mjesečno 90 kn, za 12 mjeseci </w:t>
            </w:r>
          </w:p>
        </w:tc>
        <w:tc>
          <w:tcPr>
            <w:tcW w:type="dxa" w:w="1373"/>
            <w:tcBorders>
              <w:top w:val="nil"/>
              <w:left w:val="nil"/>
              <w:bottom w:val="nil"/>
              <w:right w:space="0" w:sz="4" w:color="auto" w:val="single"/>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1.080,00 kn </w:t>
            </w:r>
          </w:p>
        </w:tc>
      </w:tr>
      <w:tr w:rsidTr="00B006FB" w:rsidR="00B006FB">
        <w:trPr>
          <w:trHeight w:val="107"/>
        </w:trPr>
        <w:tc>
          <w:tcPr>
            <w:tcW w:type="dxa" w:w="7621"/>
            <w:gridSpan w:val="2"/>
            <w:tcBorders>
              <w:top w:val="nil"/>
              <w:left w:space="0" w:sz="4" w:color="auto" w:val="single"/>
              <w:bottom w:val="nil"/>
              <w:right w:val="nil"/>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Zatvaranje računa </w:t>
            </w:r>
          </w:p>
        </w:tc>
        <w:tc>
          <w:tcPr>
            <w:tcW w:type="dxa" w:w="1373"/>
            <w:tcBorders>
              <w:top w:val="nil"/>
              <w:left w:val="nil"/>
              <w:bottom w:val="nil"/>
              <w:right w:space="0" w:sz="4" w:color="auto" w:val="single"/>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100,00 kn </w:t>
            </w:r>
          </w:p>
        </w:tc>
      </w:tr>
      <w:tr w:rsidTr="00B006FB" w:rsidR="00B006FB">
        <w:trPr>
          <w:trHeight w:val="110"/>
        </w:trPr>
        <w:tc>
          <w:tcPr>
            <w:tcW w:type="dxa" w:w="7621"/>
            <w:gridSpan w:val="2"/>
            <w:tcBorders>
              <w:top w:val="nil"/>
              <w:left w:space="0" w:sz="4" w:color="auto" w:val="single"/>
              <w:bottom w:space="0" w:sz="4" w:color="auto" w:val="single"/>
              <w:right w:val="nil"/>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Potrebni certifikati FINA - e 54,00 kn mjesečno, za 12 mjeseci </w:t>
            </w:r>
          </w:p>
        </w:tc>
        <w:tc>
          <w:tcPr>
            <w:tcW w:type="dxa" w:w="1373"/>
            <w:tcBorders>
              <w:top w:val="nil"/>
              <w:left w:val="nil"/>
              <w:bottom w:space="0" w:sz="4" w:color="auto" w:val="single"/>
              <w:right w:space="0" w:sz="4" w:color="auto" w:val="single"/>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648,00 kn </w:t>
            </w:r>
          </w:p>
        </w:tc>
      </w:tr>
      <w:tr w:rsidTr="00B006FB" w:rsidR="00B006FB">
        <w:trPr>
          <w:trHeight w:val="280"/>
        </w:trPr>
        <w:tc>
          <w:tcPr>
            <w:tcW w:type="dxa" w:w="534"/>
            <w:tcBorders>
              <w:top w:space="0" w:sz="4" w:color="auto" w:val="single"/>
              <w:left w:space="0" w:sz="4" w:color="auto" w:val="single"/>
              <w:bottom w:val="nil"/>
              <w:right w:val="nil"/>
            </w:tcBorders>
            <w:hideMark/>
          </w:tcPr>
          <w:p w:rsidRDefault="00B006FB" w:rsidR="00B006FB">
            <w:pPr>
              <w:pStyle w:val="Default"/>
              <w:spacing w:lineRule="auto" w:line="254"/>
              <w:rPr>
                <w:lang w:eastAsia="en-US"/>
              </w:rPr>
            </w:pPr>
            <w:r>
              <w:rPr>
                <w:b/>
                <w:bCs/>
              </w:rPr>
              <w:t xml:space="preserve">3. </w:t>
            </w:r>
          </w:p>
        </w:tc>
        <w:tc>
          <w:tcPr>
            <w:tcW w:type="dxa" w:w="7087"/>
            <w:tcBorders>
              <w:top w:space="0" w:sz="4" w:color="auto" w:val="single"/>
              <w:left w:val="nil"/>
              <w:bottom w:val="nil"/>
              <w:right w:val="nil"/>
            </w:tcBorders>
            <w:hideMark/>
          </w:tcPr>
          <w:p w:rsidRDefault="00B006FB" w:rsidR="00B006FB">
            <w:pPr>
              <w:pStyle w:val="Default"/>
              <w:spacing w:lineRule="auto" w:line="254"/>
              <w:rPr>
                <w:lang w:eastAsia="en-US"/>
              </w:rPr>
            </w:pPr>
            <w:r>
              <w:rPr>
                <w:b/>
                <w:bCs/>
              </w:rPr>
              <w:t xml:space="preserve">Materijalni troškovi: </w:t>
            </w:r>
          </w:p>
        </w:tc>
        <w:tc>
          <w:tcPr>
            <w:tcW w:type="dxa" w:w="1373"/>
            <w:tcBorders>
              <w:top w:space="0" w:sz="4" w:color="auto" w:val="single"/>
              <w:left w:val="nil"/>
              <w:bottom w:val="nil"/>
              <w:right w:space="0" w:sz="4" w:color="auto" w:val="single"/>
            </w:tcBorders>
            <w:hideMark/>
          </w:tcPr>
          <w:p w:rsidRDefault="00B006FB" w:rsidR="00B006FB">
            <w:pPr>
              <w:pStyle w:val="Default"/>
              <w:spacing w:lineRule="auto" w:line="254"/>
              <w:rPr>
                <w:lang w:eastAsia="en-US"/>
              </w:rPr>
            </w:pPr>
            <w:r>
              <w:rPr>
                <w:b/>
                <w:bCs/>
              </w:rPr>
              <w:t xml:space="preserve">5.955,00 kn </w:t>
            </w:r>
          </w:p>
        </w:tc>
      </w:tr>
      <w:tr w:rsidTr="00B006FB" w:rsidR="00B006FB">
        <w:trPr>
          <w:trHeight w:val="639"/>
        </w:trPr>
        <w:tc>
          <w:tcPr>
            <w:tcW w:type="dxa" w:w="7621"/>
            <w:gridSpan w:val="2"/>
            <w:tcBorders>
              <w:top w:val="nil"/>
              <w:left w:space="0" w:sz="4" w:color="auto" w:val="single"/>
              <w:bottom w:val="nil"/>
              <w:right w:val="nil"/>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Trošak pristupa stečajnog upravitelja u Osijek osobnim automobilom. Trošak jednog puta se sastoji od troška prijevoza osobnim automobilom od 388 kn (Sl. Brod - Osijek - Sl. Brod = 194 km x 2kn/km) i cestarine od 70,00 kn (2x35,00 kn), ukupno 458,00 kn neto, odnosno 795,00 kn bruto (porezni status drugog dohotka). Trošak se predviđa za 5 pristupa u Osijek (ispitno i izvještajno ročište, završno ročište, konzultacije s vjerovnicima i drugo) </w:t>
            </w:r>
          </w:p>
        </w:tc>
        <w:tc>
          <w:tcPr>
            <w:tcW w:type="dxa" w:w="1373"/>
            <w:tcBorders>
              <w:top w:val="nil"/>
              <w:left w:val="nil"/>
              <w:bottom w:val="nil"/>
              <w:right w:space="0" w:sz="4" w:color="auto" w:val="single"/>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3.975,00 kn </w:t>
            </w:r>
          </w:p>
        </w:tc>
      </w:tr>
      <w:tr w:rsidTr="00B006FB" w:rsidR="00B006FB">
        <w:trPr>
          <w:trHeight w:val="107"/>
        </w:trPr>
        <w:tc>
          <w:tcPr>
            <w:tcW w:type="dxa" w:w="7621"/>
            <w:gridSpan w:val="2"/>
            <w:tcBorders>
              <w:top w:val="nil"/>
              <w:left w:space="0" w:sz="4" w:color="auto" w:val="single"/>
              <w:bottom w:val="nil"/>
              <w:right w:val="nil"/>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Trošak izrade žigova ( dva žiga po cijeni od 150, kn po žigu) </w:t>
            </w:r>
          </w:p>
        </w:tc>
        <w:tc>
          <w:tcPr>
            <w:tcW w:type="dxa" w:w="1373"/>
            <w:tcBorders>
              <w:top w:val="nil"/>
              <w:left w:val="nil"/>
              <w:bottom w:val="nil"/>
              <w:right w:space="0" w:sz="4" w:color="auto" w:val="single"/>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300,00 kn </w:t>
            </w:r>
          </w:p>
        </w:tc>
      </w:tr>
      <w:tr w:rsidTr="00B006FB" w:rsidR="00B006FB">
        <w:trPr>
          <w:trHeight w:val="106"/>
        </w:trPr>
        <w:tc>
          <w:tcPr>
            <w:tcW w:type="dxa" w:w="7621"/>
            <w:gridSpan w:val="2"/>
            <w:tcBorders>
              <w:top w:val="nil"/>
              <w:left w:space="0" w:sz="4" w:color="auto" w:val="single"/>
              <w:bottom w:val="nil"/>
              <w:right w:val="nil"/>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Trošak uredskog poslovanja (toneri, papir, poštarina, preslike, takse i dr.) </w:t>
            </w:r>
          </w:p>
        </w:tc>
        <w:tc>
          <w:tcPr>
            <w:tcW w:type="dxa" w:w="1373"/>
            <w:tcBorders>
              <w:top w:val="nil"/>
              <w:left w:val="nil"/>
              <w:bottom w:val="nil"/>
              <w:right w:space="0" w:sz="4" w:color="auto" w:val="single"/>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1.000,00 kn </w:t>
            </w:r>
          </w:p>
        </w:tc>
      </w:tr>
      <w:tr w:rsidTr="00B006FB" w:rsidR="00B006FB">
        <w:trPr>
          <w:trHeight w:val="109"/>
        </w:trPr>
        <w:tc>
          <w:tcPr>
            <w:tcW w:type="dxa" w:w="7621"/>
            <w:gridSpan w:val="2"/>
            <w:tcBorders>
              <w:top w:val="nil"/>
              <w:left w:space="0" w:sz="4" w:color="auto" w:val="single"/>
              <w:bottom w:space="0" w:sz="4" w:color="auto" w:val="single"/>
              <w:right w:val="nil"/>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Trošak FINA -e za objavu GFI POD (2 x - za početni i završni račun) </w:t>
            </w:r>
          </w:p>
        </w:tc>
        <w:tc>
          <w:tcPr>
            <w:tcW w:type="dxa" w:w="1373"/>
            <w:tcBorders>
              <w:top w:val="nil"/>
              <w:left w:val="nil"/>
              <w:bottom w:space="0" w:sz="4" w:color="auto" w:val="single"/>
              <w:right w:space="0" w:sz="4" w:color="auto" w:val="single"/>
            </w:tcBorders>
            <w:hideMark/>
          </w:tcPr>
          <w:p w:rsidRDefault="00B006FB" w:rsidR="00B006FB">
            <w:pPr>
              <w:pStyle w:val="Default"/>
              <w:spacing w:lineRule="auto" w:line="254"/>
              <w:rPr>
                <w:color w:themeShade="80" w:themeColor="background1" w:val="808080"/>
                <w:lang w:eastAsia="en-US"/>
              </w:rPr>
            </w:pPr>
            <w:r>
              <w:rPr>
                <w:color w:themeShade="80" w:themeColor="background1" w:val="808080"/>
              </w:rPr>
              <w:t xml:space="preserve">680,00 kn </w:t>
            </w:r>
          </w:p>
        </w:tc>
      </w:tr>
      <w:tr w:rsidTr="00B006FB" w:rsidR="00B006FB">
        <w:trPr>
          <w:trHeight w:val="311"/>
        </w:trPr>
        <w:tc>
          <w:tcPr>
            <w:tcW w:type="dxa" w:w="534"/>
            <w:tcBorders>
              <w:top w:space="0" w:sz="4" w:color="auto" w:val="single"/>
              <w:left w:space="0" w:sz="4" w:color="auto" w:val="single"/>
              <w:bottom w:space="0" w:sz="4" w:color="auto" w:val="single"/>
              <w:right w:space="0" w:sz="4" w:color="auto" w:val="single"/>
            </w:tcBorders>
            <w:hideMark/>
          </w:tcPr>
          <w:p w:rsidRDefault="00B006FB" w:rsidR="00B006FB">
            <w:pPr>
              <w:pStyle w:val="Default"/>
              <w:spacing w:lineRule="auto" w:line="254"/>
              <w:rPr>
                <w:lang w:eastAsia="en-US"/>
              </w:rPr>
            </w:pPr>
            <w:r>
              <w:rPr>
                <w:b/>
                <w:bCs/>
              </w:rPr>
              <w:lastRenderedPageBreak/>
              <w:t xml:space="preserve">4. </w:t>
            </w:r>
          </w:p>
        </w:tc>
        <w:tc>
          <w:tcPr>
            <w:tcW w:type="dxa" w:w="7087"/>
            <w:tcBorders>
              <w:top w:space="0" w:sz="4" w:color="auto" w:val="single"/>
              <w:left w:space="0" w:sz="4" w:color="auto" w:val="single"/>
              <w:bottom w:space="0" w:sz="4" w:color="auto" w:val="single"/>
              <w:right w:space="0" w:sz="4" w:color="auto" w:val="single"/>
            </w:tcBorders>
            <w:hideMark/>
          </w:tcPr>
          <w:p w:rsidRDefault="00B006FB" w:rsidR="00B006FB">
            <w:pPr>
              <w:pStyle w:val="Default"/>
              <w:spacing w:lineRule="auto" w:line="254"/>
              <w:rPr>
                <w:lang w:eastAsia="en-US"/>
              </w:rPr>
            </w:pPr>
            <w:r>
              <w:rPr>
                <w:b/>
                <w:bCs/>
              </w:rPr>
              <w:t xml:space="preserve">Trošak arhiviranja poslovne dokumentacije: </w:t>
            </w:r>
            <w:r>
              <w:t xml:space="preserve">(arhiviranje i izlučivanje dokumentacije od za to ovlaštene osobe, te eventualno čuvanje trajne arhivske građe) </w:t>
            </w:r>
          </w:p>
        </w:tc>
        <w:tc>
          <w:tcPr>
            <w:tcW w:type="dxa" w:w="1373"/>
            <w:tcBorders>
              <w:top w:space="0" w:sz="4" w:color="auto" w:val="single"/>
              <w:left w:space="0" w:sz="4" w:color="auto" w:val="single"/>
              <w:bottom w:space="0" w:sz="4" w:color="auto" w:val="single"/>
              <w:right w:space="0" w:sz="4" w:color="auto" w:val="single"/>
            </w:tcBorders>
            <w:hideMark/>
          </w:tcPr>
          <w:p w:rsidRDefault="00B006FB" w:rsidR="00B006FB">
            <w:pPr>
              <w:pStyle w:val="Default"/>
              <w:spacing w:lineRule="auto" w:line="254"/>
              <w:rPr>
                <w:lang w:eastAsia="en-US"/>
              </w:rPr>
            </w:pPr>
            <w:r>
              <w:rPr>
                <w:b/>
                <w:bCs/>
              </w:rPr>
              <w:t xml:space="preserve">3.000,00 kn </w:t>
            </w:r>
          </w:p>
        </w:tc>
      </w:tr>
      <w:tr w:rsidTr="00B006FB" w:rsidR="00B006FB">
        <w:trPr>
          <w:trHeight w:val="309"/>
        </w:trPr>
        <w:tc>
          <w:tcPr>
            <w:tcW w:type="dxa" w:w="534"/>
            <w:tcBorders>
              <w:top w:space="0" w:sz="4" w:color="auto" w:val="single"/>
              <w:left w:space="0" w:sz="4" w:color="auto" w:val="single"/>
              <w:bottom w:space="0" w:sz="4" w:color="auto" w:val="single"/>
              <w:right w:space="0" w:sz="4" w:color="auto" w:val="single"/>
            </w:tcBorders>
            <w:hideMark/>
          </w:tcPr>
          <w:p w:rsidRDefault="00B006FB" w:rsidR="00B006FB">
            <w:pPr>
              <w:pStyle w:val="Default"/>
              <w:spacing w:lineRule="auto" w:line="254"/>
              <w:rPr>
                <w:lang w:eastAsia="en-US"/>
              </w:rPr>
            </w:pPr>
            <w:r>
              <w:t xml:space="preserve">5. </w:t>
            </w:r>
          </w:p>
        </w:tc>
        <w:tc>
          <w:tcPr>
            <w:tcW w:type="dxa" w:w="7087"/>
            <w:tcBorders>
              <w:top w:space="0" w:sz="4" w:color="auto" w:val="single"/>
              <w:left w:space="0" w:sz="4" w:color="auto" w:val="single"/>
              <w:bottom w:space="0" w:sz="4" w:color="auto" w:val="single"/>
              <w:right w:space="0" w:sz="4" w:color="auto" w:val="single"/>
            </w:tcBorders>
            <w:hideMark/>
          </w:tcPr>
          <w:p w:rsidRDefault="00B006FB" w:rsidR="00B006FB">
            <w:pPr>
              <w:pStyle w:val="Default"/>
              <w:spacing w:lineRule="auto" w:line="254"/>
              <w:rPr>
                <w:lang w:eastAsia="en-US"/>
              </w:rPr>
            </w:pPr>
            <w:r>
              <w:rPr>
                <w:b/>
                <w:bCs/>
              </w:rPr>
              <w:t xml:space="preserve">Trošak nagrade stečajnom upravitelju: </w:t>
            </w:r>
            <w:r>
              <w:t xml:space="preserve">(trošak nagrade za unovčenje od 30.000 kn (projekcija), sukladno čl. 7. Uredbe o kriterijima i načinu obračuna i plaćanja nagrade stečajnim upraviteljima). </w:t>
            </w:r>
          </w:p>
        </w:tc>
        <w:tc>
          <w:tcPr>
            <w:tcW w:type="dxa" w:w="1373"/>
            <w:tcBorders>
              <w:top w:space="0" w:sz="4" w:color="auto" w:val="single"/>
              <w:left w:space="0" w:sz="4" w:color="auto" w:val="single"/>
              <w:bottom w:space="0" w:sz="4" w:color="auto" w:val="single"/>
              <w:right w:space="0" w:sz="4" w:color="auto" w:val="single"/>
            </w:tcBorders>
            <w:hideMark/>
          </w:tcPr>
          <w:p w:rsidRDefault="00B006FB" w:rsidR="00B006FB">
            <w:pPr>
              <w:pStyle w:val="Default"/>
              <w:spacing w:lineRule="auto" w:line="254"/>
              <w:rPr>
                <w:lang w:eastAsia="en-US"/>
              </w:rPr>
            </w:pPr>
            <w:r>
              <w:rPr>
                <w:b/>
                <w:bCs/>
              </w:rPr>
              <w:t xml:space="preserve">4.800,00 kn </w:t>
            </w:r>
          </w:p>
        </w:tc>
      </w:tr>
    </w:tbl>
    <w:p w:rsidRDefault="00B006FB" w:rsidP="00B006FB" w:rsidR="00B006FB">
      <w:pPr>
        <w:pStyle w:val="Bezproreda"/>
        <w:jc w:val="both"/>
      </w:pPr>
    </w:p>
    <w:p w:rsidRDefault="00B006FB" w:rsidP="00B006FB" w:rsidR="00B006FB">
      <w:pPr>
        <w:pStyle w:val="Bezproreda"/>
        <w:jc w:val="both"/>
        <w:rPr>
          <w:b/>
          <w:u w:val="single"/>
        </w:rPr>
      </w:pPr>
      <w:r>
        <w:rPr>
          <w:b/>
          <w:u w:val="single"/>
        </w:rPr>
        <w:t>Imovina stečajnog dužnika nije dovoljna za pokriće troškova stečajnog postupka.</w:t>
      </w:r>
    </w:p>
    <w:p w:rsidRDefault="00B006FB" w:rsidP="00B006FB" w:rsidR="00B006FB">
      <w:pPr>
        <w:pStyle w:val="Bezproreda"/>
        <w:jc w:val="center"/>
        <w:rPr>
          <w:b/>
        </w:rPr>
      </w:pPr>
    </w:p>
    <w:p w:rsidRDefault="00B006FB" w:rsidP="00B006FB" w:rsidR="00B006FB">
      <w:pPr>
        <w:pStyle w:val="Bezproreda"/>
        <w:jc w:val="both"/>
      </w:pPr>
    </w:p>
    <w:p w:rsidRDefault="00B006FB" w:rsidP="00B006FB" w:rsidR="00B006FB">
      <w:pPr>
        <w:pStyle w:val="Bezproreda"/>
        <w:jc w:val="both"/>
      </w:pPr>
      <w:r>
        <w:t>Uvidom u dostupnu dokumentaciju nije se moglo utvrditi postojanje pobojnih pravnih radnju u smisli raspolaganja nekretninama ili pokretninama veće vrijednosti, dok se o ostalim eventualnim pobojnim pravnim radnjama ne može dati očitovanje, obzirom da nije mogao biti izvršen uvid u financijsku i knjigovodstvenu dokumentaciju stečajnog dužnika.</w:t>
      </w:r>
    </w:p>
    <w:p w:rsidRDefault="00B006FB" w:rsidP="00B006FB" w:rsidR="00B006FB">
      <w:pPr>
        <w:pStyle w:val="Bezproreda"/>
        <w:jc w:val="both"/>
      </w:pPr>
    </w:p>
    <w:p w:rsidRDefault="00B006FB" w:rsidP="00B006FB" w:rsidR="00B006FB">
      <w:pPr>
        <w:pStyle w:val="Bezproreda"/>
        <w:jc w:val="both"/>
        <w:rPr>
          <w:b/>
        </w:rPr>
      </w:pPr>
      <w:r>
        <w:rPr>
          <w:b/>
        </w:rPr>
        <w:t xml:space="preserve">Privremeni stečajni upravitelj, obzirom je nesporno utvrđeno postojanje stečajnih razloga iz čl. 6. i 7. Stečajnog zakona, te obzirom da je utvrđeno kako je imovina stečajnog dužnika nije dovoljna za pokriće troškova stečajnog postupka, </w:t>
      </w:r>
      <w:r w:rsidR="00724A45">
        <w:rPr>
          <w:b/>
        </w:rPr>
        <w:t xml:space="preserve">predložio je </w:t>
      </w:r>
      <w:r>
        <w:rPr>
          <w:b/>
        </w:rPr>
        <w:t xml:space="preserve"> postupiti sukladno čl. 132. Stečajnog zakona.</w:t>
      </w:r>
    </w:p>
    <w:p w:rsidRDefault="00B006FB" w:rsidP="00B006FB" w:rsidR="00B006FB">
      <w:pPr>
        <w:jc w:val="both"/>
      </w:pPr>
    </w:p>
    <w:p w:rsidRDefault="00B006FB" w:rsidP="00B006FB" w:rsidR="00B006FB">
      <w:pPr>
        <w:jc w:val="both"/>
        <w:rPr>
          <w:bCs/>
        </w:rPr>
      </w:pPr>
      <w:r>
        <w:rPr>
          <w:bCs/>
        </w:rPr>
        <w:tab/>
        <w:t>Savjetnica ŽDO se suglasila s prijedlogom privr. st. upravitelja te s njegovim izvješćem.</w:t>
      </w:r>
    </w:p>
    <w:p w:rsidRDefault="007D2041" w:rsidP="00674E85" w:rsidR="007D2041" w:rsidRPr="00EA6504">
      <w:pPr>
        <w:pStyle w:val="Bezproreda"/>
        <w:jc w:val="both"/>
      </w:pPr>
    </w:p>
    <w:p w:rsidRDefault="007D2041" w:rsidP="006A7184" w:rsidR="007D2041" w:rsidRPr="005E551C">
      <w:pPr>
        <w:ind w:firstLine="708"/>
        <w:jc w:val="both"/>
      </w:pPr>
      <w:r w:rsidRPr="005E551C">
        <w:t xml:space="preserve">Rješenjem ovoga suda broj </w:t>
      </w:r>
      <w:r w:rsidR="00E46DA1">
        <w:t xml:space="preserve">6 </w:t>
      </w:r>
      <w:r w:rsidRPr="005E551C">
        <w:t>St-</w:t>
      </w:r>
      <w:r w:rsidR="00B006FB">
        <w:t>124/18-11 od 14. svibnja</w:t>
      </w:r>
      <w:r w:rsidR="00E46DA1">
        <w:t xml:space="preserve"> 2018. g.</w:t>
      </w:r>
      <w:r w:rsidRPr="005E551C">
        <w:t xml:space="preserve"> pozvane su osobe koje imaju pravni interes da se provede stečajni postupak nad dužnikom da u roku od 15 dana solidarno uplate na sudski depozit ovoga suda iznos od </w:t>
      </w:r>
      <w:r w:rsidR="00B006FB">
        <w:t>24.783,00</w:t>
      </w:r>
      <w:r w:rsidRPr="005E551C">
        <w:t xml:space="preserve">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B006FB">
        <w:t>14. svibnja</w:t>
      </w:r>
      <w:r w:rsidR="00E46DA1">
        <w:t xml:space="preserve"> 2018.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B006FB" w:rsidR="00F963E3">
      <w:pPr>
        <w:pStyle w:val="Bezproreda"/>
        <w:ind w:firstLine="708"/>
        <w:jc w:val="both"/>
      </w:pPr>
      <w:r w:rsidRPr="00B654E2">
        <w:t>Sud je proveo uvid u priloženu dokumentaciju i to:</w:t>
      </w:r>
      <w:r w:rsidR="00877BC5">
        <w:t xml:space="preserve"> </w:t>
      </w:r>
      <w:r w:rsidR="00B006FB">
        <w:t>Zahtjev FINE za provedbu skraćenog stečajnog postupka od 21.12.2017. g., izvadak iz sudskog registra, prijedlog RH MF Porezne uprave za otvaranje st. postupka od 12.1.2018. g., godišnje fin. izvješće za 2016. g., stanje računa poreznog obveznika na dan 31.12.2017. g., podaci Porezne uprave o imovini dužnika od 8.1.2018. g. o neprekidnoj blokadi dužnika od 8.1.2018. g., Očevidnik FINE o redoslijedu plaćanja od 8.1.2018. g., Potvrda FINE o blokadi računa dužnika od 3.5.2018. g.</w:t>
      </w:r>
    </w:p>
    <w:p w:rsidRDefault="00B006FB" w:rsidP="00B006FB" w:rsidR="00B006FB" w:rsidRPr="001031B8">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w:t>
      </w:r>
      <w:r w:rsidRPr="005E551C">
        <w:lastRenderedPageBreak/>
        <w:t xml:space="preserve">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B006FB">
        <w:rPr>
          <w:b/>
        </w:rPr>
        <w:t>Krešimir Tomac iz Sl. Broda</w:t>
      </w:r>
      <w:r>
        <w:t xml:space="preserve"> s liste A stečajnih upravitelja za područje nadležnosti ovoga suda a sukladno čl. 84 st. 1 u vezi s čl. 85 st. 2 SZ.</w:t>
      </w:r>
    </w:p>
    <w:p w:rsidRDefault="00072AA6" w:rsidP="007D2041" w:rsidR="00072AA6">
      <w:pPr>
        <w:jc w:val="both"/>
      </w:pPr>
    </w:p>
    <w:p w:rsidRDefault="00670C39" w:rsidP="007D2041" w:rsidR="00670C39">
      <w:pPr>
        <w:jc w:val="both"/>
      </w:pPr>
    </w:p>
    <w:p w:rsidRDefault="00324E7F" w:rsidP="00862196" w:rsidR="00831D30">
      <w:pPr>
        <w:jc w:val="center"/>
      </w:pPr>
      <w:r w:rsidRPr="00D2596C">
        <w:t xml:space="preserve">U Osijeku </w:t>
      </w:r>
      <w:r w:rsidR="00B23886">
        <w:t>26</w:t>
      </w:r>
      <w:r w:rsidR="00B006FB">
        <w:t>. lipnja</w:t>
      </w:r>
      <w:r w:rsidR="00862196">
        <w:t xml:space="preserve"> 201</w:t>
      </w:r>
      <w:r w:rsidR="00F963E3">
        <w:t>8</w:t>
      </w:r>
      <w:r w:rsidR="00862196">
        <w:t>. g.</w:t>
      </w:r>
    </w:p>
    <w:p w:rsidRDefault="00EE7B8D" w:rsidP="00862196" w:rsidR="00EE7B8D">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EE7B8D">
      <w:pPr>
        <w:ind w:hanging="5760" w:left="5760"/>
      </w:pPr>
      <w:r>
        <w:tab/>
      </w:r>
      <w:r>
        <w:tab/>
        <w:t>Nada Roso</w:t>
      </w:r>
      <w:r w:rsidR="00DF5F6A">
        <w:t xml:space="preserve">     </w:t>
      </w:r>
    </w:p>
    <w:p w:rsidRDefault="00DF5F6A" w:rsidP="00984C3D" w:rsidR="00831D30">
      <w:pPr>
        <w:ind w:hanging="5760" w:left="5760"/>
      </w:pPr>
      <w:r>
        <w:t xml:space="preserve">   </w:t>
      </w:r>
    </w:p>
    <w:p w:rsidRDefault="00831D30" w:rsidP="00862196"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EE7B8D" w:rsidP="00DF5F6A" w:rsidR="00EE7B8D" w:rsidRPr="007C599D">
      <w:pPr>
        <w:jc w:val="both"/>
        <w:rPr>
          <w:b/>
        </w:rPr>
      </w:pPr>
    </w:p>
    <w:p w:rsidRDefault="00DF5F6A" w:rsidP="00DF5F6A" w:rsidR="00DF5F6A" w:rsidRPr="007D7E9A">
      <w:pPr>
        <w:jc w:val="both"/>
      </w:pPr>
      <w:r w:rsidRPr="007D7E9A">
        <w:t>DNA:</w:t>
      </w:r>
    </w:p>
    <w:p w:rsidRDefault="00DF5F6A" w:rsidP="00B006FB" w:rsidR="00E46DA1" w:rsidRPr="00B006FB">
      <w:pPr>
        <w:pStyle w:val="Odlomakpopisa"/>
        <w:numPr>
          <w:ilvl w:val="0"/>
          <w:numId w:val="27"/>
        </w:numPr>
        <w:spacing w:lineRule="auto" w:line="240"/>
      </w:pPr>
      <w:r w:rsidRPr="007D7E9A">
        <w:t>stečajn</w:t>
      </w:r>
      <w:r w:rsidR="00E33447" w:rsidRPr="007D7E9A">
        <w:t>i</w:t>
      </w:r>
      <w:r w:rsidRPr="007D7E9A">
        <w:t xml:space="preserve"> uprav. </w:t>
      </w:r>
      <w:r w:rsidR="00B006FB" w:rsidRPr="00B006FB">
        <w:t>Krešimir Tomac, Sl. Brod, Tome Bakača 35</w:t>
      </w:r>
    </w:p>
    <w:p w:rsidRDefault="00072AA6" w:rsidP="00B006FB" w:rsidR="00072AA6">
      <w:pPr>
        <w:pStyle w:val="Odlomakpopisa"/>
        <w:numPr>
          <w:ilvl w:val="0"/>
          <w:numId w:val="27"/>
        </w:numPr>
        <w:spacing w:lineRule="auto" w:line="240"/>
      </w:pPr>
      <w:r>
        <w:t>ŽDO Osijek</w:t>
      </w:r>
    </w:p>
    <w:p w:rsidRDefault="00724A45" w:rsidP="00B006FB" w:rsidR="00724A45">
      <w:pPr>
        <w:pStyle w:val="Odlomakpopisa"/>
        <w:numPr>
          <w:ilvl w:val="0"/>
          <w:numId w:val="27"/>
        </w:numPr>
        <w:spacing w:lineRule="auto" w:line="240"/>
      </w:pPr>
      <w:r>
        <w:t>FINA-nakon pravomoćnosti</w:t>
      </w:r>
    </w:p>
    <w:p w:rsidRDefault="00072AA6" w:rsidP="00B006FB" w:rsidR="00072AA6" w:rsidRPr="00E46DA1">
      <w:pPr>
        <w:pStyle w:val="Odlomakpopisa"/>
        <w:numPr>
          <w:ilvl w:val="0"/>
          <w:numId w:val="27"/>
        </w:numPr>
        <w:spacing w:lineRule="auto" w:line="240"/>
      </w:pPr>
      <w:r>
        <w:t>dužnik</w:t>
      </w:r>
    </w:p>
    <w:p w:rsidRDefault="007D7E9A" w:rsidP="00B006FB" w:rsidR="00163859">
      <w:pPr>
        <w:pStyle w:val="Odlomakpopisa"/>
        <w:numPr>
          <w:ilvl w:val="0"/>
          <w:numId w:val="27"/>
        </w:numPr>
        <w:spacing w:lineRule="auto" w:line="240"/>
      </w:pPr>
      <w:r>
        <w:t>e-</w:t>
      </w:r>
      <w:r w:rsidR="00DF5F6A" w:rsidRPr="007D7E9A">
        <w:t>ogl. pl.</w:t>
      </w:r>
    </w:p>
    <w:p w:rsidRDefault="00163859" w:rsidP="00B006FB" w:rsidR="00163859">
      <w:pPr>
        <w:pStyle w:val="Odlomakpopisa"/>
        <w:numPr>
          <w:ilvl w:val="0"/>
          <w:numId w:val="27"/>
        </w:numPr>
        <w:spacing w:lineRule="auto" w:line="240"/>
      </w:pPr>
      <w:r>
        <w:t>Registar</w:t>
      </w:r>
      <w:r w:rsidR="005456F8">
        <w:t xml:space="preserve"> TS Osijek</w:t>
      </w:r>
      <w:r w:rsidR="009F7994">
        <w:t xml:space="preserve"> </w:t>
      </w:r>
      <w:r w:rsidR="00F963E3">
        <w:t>–</w:t>
      </w:r>
      <w:r w:rsidR="009F7994">
        <w:t xml:space="preserve"> odmah</w:t>
      </w:r>
    </w:p>
    <w:p w:rsidRDefault="00163859" w:rsidP="00B006FB" w:rsidR="00F058D9" w:rsidRPr="00E46DA1">
      <w:pPr>
        <w:pStyle w:val="Odlomakpopisa"/>
        <w:numPr>
          <w:ilvl w:val="0"/>
          <w:numId w:val="27"/>
        </w:numPr>
        <w:spacing w:lineRule="auto" w:line="240"/>
        <w:jc w:val="both"/>
        <w:rPr>
          <w:sz w:val="20"/>
          <w:szCs w:val="20"/>
        </w:rPr>
      </w:pPr>
      <w:r>
        <w:t>kal.</w:t>
      </w:r>
      <w:r w:rsidR="00072AA6">
        <w:t xml:space="preserve"> </w:t>
      </w:r>
      <w:r w:rsidR="00B23886">
        <w:t>26.7.</w:t>
      </w:r>
    </w:p>
    <w:p w:rsidRDefault="007D7E9A" w:rsidP="00B006FB" w:rsidR="007D7E9A">
      <w:pPr>
        <w:jc w:val="both"/>
        <w:rPr>
          <w:sz w:val="20"/>
          <w:szCs w:val="20"/>
        </w:rPr>
      </w:pPr>
    </w:p>
    <w:p w:rsidRDefault="007D7E9A" w:rsidP="00B006FB" w:rsidR="007D7E9A">
      <w:pPr>
        <w:ind w:firstLine="720"/>
        <w:jc w:val="both"/>
        <w:rPr>
          <w:sz w:val="20"/>
          <w:szCs w:val="20"/>
        </w:rPr>
      </w:pPr>
    </w:p>
    <w:p w:rsidRDefault="007D7E9A" w:rsidP="00B006FB" w:rsidR="007D7E9A">
      <w:pPr>
        <w:jc w:val="both"/>
        <w:rPr>
          <w:sz w:val="20"/>
          <w:szCs w:val="20"/>
        </w:rPr>
      </w:pPr>
    </w:p>
    <w:p w:rsidRDefault="007D7E9A" w:rsidP="00B006FB" w:rsidR="007D7E9A">
      <w:pPr>
        <w:jc w:val="both"/>
        <w:rPr>
          <w:sz w:val="20"/>
          <w:szCs w:val="20"/>
        </w:rPr>
      </w:pPr>
    </w:p>
    <w:p w:rsidRDefault="007D7E9A" w:rsidP="00B006FB" w:rsidR="007D7E9A">
      <w:pPr>
        <w:jc w:val="both"/>
        <w:rPr>
          <w:sz w:val="20"/>
          <w:szCs w:val="20"/>
        </w:rPr>
      </w:pPr>
    </w:p>
    <w:p w:rsidRDefault="007D7E9A" w:rsidP="00B006FB"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2"/>
      <w:headerReference w:type="default" r:id="rId13"/>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490C" w:rsidR="0077490C">
      <w:r>
        <w:separator/>
      </w:r>
    </w:p>
  </w:endnote>
  <w:endnote w:id="0" w:type="continuationSeparator">
    <w:p w:rsidRDefault="0077490C" w:rsidR="00774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490C" w:rsidR="0077490C">
      <w:r>
        <w:separator/>
      </w:r>
    </w:p>
  </w:footnote>
  <w:footnote w:id="0" w:type="continuationSeparator">
    <w:p w:rsidRDefault="0077490C" w:rsidR="00774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7F18">
      <w:rPr>
        <w:rStyle w:val="Brojstranice"/>
        <w:noProof/>
      </w:rPr>
      <w:t>- 5 -</w:t>
    </w:r>
    <w:r>
      <w:rPr>
        <w:rStyle w:val="Brojstranice"/>
      </w:rPr>
      <w:fldChar w:fldCharType="end"/>
    </w:r>
  </w:p>
  <w:p w:rsidRDefault="00B006FB" w:rsidP="00B006FB" w:rsidR="00B006FB">
    <w:pPr>
      <w:jc w:val="right"/>
    </w:pPr>
    <w:r>
      <w:t>Broj: 6 St-124/2018-13</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44BC256C"/>
    <w:multiLevelType w:val="hybridMultilevel"/>
    <w:tmpl w:val="874CDAA8"/>
    <w:lvl w:tplc="8F5C593A" w:ilvl="0">
      <w:numFmt w:val="bullet"/>
      <w:lvlText w:val="-"/>
      <w:lvlJc w:val="left"/>
      <w:pPr>
        <w:ind w:hanging="360" w:left="1065"/>
      </w:pPr>
      <w:rPr>
        <w:rFonts w:eastAsiaTheme="minorHAnsi" w:cs="Calibri" w:hAnsi="Calibri" w:ascii="Calibri"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2">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D616C48"/>
    <w:multiLevelType w:val="hybridMultilevel"/>
    <w:tmpl w:val="B8AC4610"/>
    <w:lvl w:tplc="83421B00" w:ilvl="0">
      <w:start w:val="6"/>
      <w:numFmt w:val="bullet"/>
      <w:lvlText w:val="-"/>
      <w:lvlJc w:val="left"/>
      <w:pPr>
        <w:ind w:hanging="360" w:left="1428"/>
      </w:pPr>
      <w:rPr>
        <w:rFonts w:cs="Times New Roman" w:eastAsia="Times New Roman" w:hAnsi="Times New Roman" w:ascii="Times New Roman"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24">
    <w:nsid w:val="78E66DA4"/>
    <w:multiLevelType w:val="hybridMultilevel"/>
    <w:tmpl w:val="6DC203CA"/>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8"/>
  </w:num>
  <w:num w:numId="4">
    <w:abstractNumId w:val="11"/>
  </w:num>
  <w:num w:numId="5">
    <w:abstractNumId w:val="22"/>
  </w:num>
  <w:num w:numId="6">
    <w:abstractNumId w:val="27"/>
  </w:num>
  <w:num w:numId="7">
    <w:abstractNumId w:val="17"/>
  </w:num>
  <w:num w:numId="8">
    <w:abstractNumId w:val="21"/>
  </w:num>
  <w:num w:numId="9">
    <w:abstractNumId w:val="3"/>
  </w:num>
  <w:num w:numId="10">
    <w:abstractNumId w:val="1"/>
  </w:num>
  <w:num w:numId="11">
    <w:abstractNumId w:val="25"/>
  </w:num>
  <w:num w:numId="12">
    <w:abstractNumId w:val="5"/>
  </w:num>
  <w:num w:numId="13">
    <w:abstractNumId w:val="9"/>
  </w:num>
  <w:num w:numId="14">
    <w:abstractNumId w:val="19"/>
  </w:num>
  <w:num w:numId="15">
    <w:abstractNumId w:val="26"/>
  </w:num>
  <w:num w:numId="16">
    <w:abstractNumId w:val="0"/>
  </w:num>
  <w:num w:numId="17">
    <w:abstractNumId w:val="6"/>
  </w:num>
  <w:num w:numId="18">
    <w:abstractNumId w:val="13"/>
  </w:num>
  <w:num w:numId="19">
    <w:abstractNumId w:val="16"/>
  </w:num>
  <w:num w:numId="20">
    <w:abstractNumId w:val="4"/>
  </w:num>
  <w:num w:numId="21">
    <w:abstractNumId w:val="20"/>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num>
  <w:num w:numId="25">
    <w:abstractNumId w:val="7"/>
  </w:num>
  <w:num w:numId="26">
    <w:abstractNumId w:val="23"/>
  </w:num>
  <w:num w:numId="27">
    <w:abstractNumId w:val="24"/>
  </w:num>
  <w:num w:numId="28">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2AA6"/>
    <w:rsid w:val="00075FDF"/>
    <w:rsid w:val="00076B1B"/>
    <w:rsid w:val="00080341"/>
    <w:rsid w:val="00097EDD"/>
    <w:rsid w:val="000A0A06"/>
    <w:rsid w:val="000A36A9"/>
    <w:rsid w:val="000C2EBA"/>
    <w:rsid w:val="000E4DA4"/>
    <w:rsid w:val="000E532B"/>
    <w:rsid w:val="000F332B"/>
    <w:rsid w:val="0010057F"/>
    <w:rsid w:val="00101F68"/>
    <w:rsid w:val="0010241A"/>
    <w:rsid w:val="001031B8"/>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E01F8"/>
    <w:rsid w:val="001F1BA6"/>
    <w:rsid w:val="001F7662"/>
    <w:rsid w:val="00240917"/>
    <w:rsid w:val="00243617"/>
    <w:rsid w:val="002526D3"/>
    <w:rsid w:val="00271876"/>
    <w:rsid w:val="00271F61"/>
    <w:rsid w:val="002743AC"/>
    <w:rsid w:val="0028233E"/>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20FD"/>
    <w:rsid w:val="005A609C"/>
    <w:rsid w:val="005B2397"/>
    <w:rsid w:val="005B570E"/>
    <w:rsid w:val="005D023F"/>
    <w:rsid w:val="005E0664"/>
    <w:rsid w:val="005F38B0"/>
    <w:rsid w:val="00631AD2"/>
    <w:rsid w:val="00631B6D"/>
    <w:rsid w:val="006451E7"/>
    <w:rsid w:val="00665935"/>
    <w:rsid w:val="0066649B"/>
    <w:rsid w:val="00670C39"/>
    <w:rsid w:val="00674E85"/>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24A45"/>
    <w:rsid w:val="00730917"/>
    <w:rsid w:val="007326F3"/>
    <w:rsid w:val="00741717"/>
    <w:rsid w:val="0074545C"/>
    <w:rsid w:val="00746576"/>
    <w:rsid w:val="007520FE"/>
    <w:rsid w:val="007560B9"/>
    <w:rsid w:val="00756159"/>
    <w:rsid w:val="0077490C"/>
    <w:rsid w:val="00776768"/>
    <w:rsid w:val="0078508C"/>
    <w:rsid w:val="0079210F"/>
    <w:rsid w:val="00792EAD"/>
    <w:rsid w:val="007A00A5"/>
    <w:rsid w:val="007A4578"/>
    <w:rsid w:val="007A70EE"/>
    <w:rsid w:val="007C0819"/>
    <w:rsid w:val="007C38FB"/>
    <w:rsid w:val="007C599D"/>
    <w:rsid w:val="007D2041"/>
    <w:rsid w:val="007D7E9A"/>
    <w:rsid w:val="007D7F18"/>
    <w:rsid w:val="007E06AD"/>
    <w:rsid w:val="007E50F5"/>
    <w:rsid w:val="007F2FD6"/>
    <w:rsid w:val="007F6CE4"/>
    <w:rsid w:val="00801141"/>
    <w:rsid w:val="00816867"/>
    <w:rsid w:val="00820082"/>
    <w:rsid w:val="0082151F"/>
    <w:rsid w:val="00831D30"/>
    <w:rsid w:val="00834690"/>
    <w:rsid w:val="008361C1"/>
    <w:rsid w:val="00837349"/>
    <w:rsid w:val="008444F3"/>
    <w:rsid w:val="008527DE"/>
    <w:rsid w:val="00862196"/>
    <w:rsid w:val="00877BC5"/>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A4342"/>
    <w:rsid w:val="009C32E6"/>
    <w:rsid w:val="009F7994"/>
    <w:rsid w:val="00A04932"/>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06FB"/>
    <w:rsid w:val="00B0663D"/>
    <w:rsid w:val="00B21D21"/>
    <w:rsid w:val="00B23886"/>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5E44"/>
    <w:rsid w:val="00BF047F"/>
    <w:rsid w:val="00BF27D4"/>
    <w:rsid w:val="00BF30CF"/>
    <w:rsid w:val="00BF63E8"/>
    <w:rsid w:val="00C032AD"/>
    <w:rsid w:val="00C1549A"/>
    <w:rsid w:val="00C30F2B"/>
    <w:rsid w:val="00C30F2F"/>
    <w:rsid w:val="00C35C1B"/>
    <w:rsid w:val="00C41AEF"/>
    <w:rsid w:val="00C47C81"/>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26791"/>
    <w:rsid w:val="00D31877"/>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6DA1"/>
    <w:rsid w:val="00E60E30"/>
    <w:rsid w:val="00E6574D"/>
    <w:rsid w:val="00E91D99"/>
    <w:rsid w:val="00E91EAB"/>
    <w:rsid w:val="00E9219F"/>
    <w:rsid w:val="00E93865"/>
    <w:rsid w:val="00E95409"/>
    <w:rsid w:val="00EA4040"/>
    <w:rsid w:val="00EA6504"/>
    <w:rsid w:val="00EB066B"/>
    <w:rsid w:val="00ED72C6"/>
    <w:rsid w:val="00EE1979"/>
    <w:rsid w:val="00EE283C"/>
    <w:rsid w:val="00EE60C5"/>
    <w:rsid w:val="00EE7B8D"/>
    <w:rsid w:val="00EF29B1"/>
    <w:rsid w:val="00EF330B"/>
    <w:rsid w:val="00F00605"/>
    <w:rsid w:val="00F01EE1"/>
    <w:rsid w:val="00F058D9"/>
    <w:rsid w:val="00F07AB7"/>
    <w:rsid w:val="00F11DAD"/>
    <w:rsid w:val="00F21871"/>
    <w:rsid w:val="00F41C45"/>
    <w:rsid w:val="00F43FEE"/>
    <w:rsid w:val="00F63463"/>
    <w:rsid w:val="00F82A78"/>
    <w:rsid w:val="00F914E7"/>
    <w:rsid w:val="00F9515B"/>
    <w:rsid w:val="00F963E3"/>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7D7F18"/>
    <w:rPr>
      <w:color w:val="808080"/>
      <w:bdr w:space="0" w:sz="0" w:color="auto" w:val="none"/>
      <w:shd w:fill="CCFFFF" w:color="auto" w:val="clear"/>
    </w:rPr>
  </w:style>
  <w:style w:customStyle="true" w:styleId="eSPISCCParagraphDefaultFont" w:type="character">
    <w:name w:val="eSPIS_CC_Paragraph Default Font"/>
    <w:basedOn w:val="Zadanifontodlomka"/>
    <w:rsid w:val="007D7F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7F18"/>
    <w:rPr>
      <w:bdr w:space="0" w:sz="0" w:color="auto" w:val="none"/>
      <w:shd w:fill="FFFFCC" w:color="auto" w:val="clear"/>
      <w:lang w:val="hr-HR"/>
    </w:rPr>
  </w:style>
  <w:style w:customStyle="true" w:styleId="PozadinaSvijetloCrvena" w:type="character">
    <w:name w:val="Pozadina_SvijetloCrvena"/>
    <w:basedOn w:val="eSPISCCParagraphDefaultFont"/>
    <w:rsid w:val="007D7F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7F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7D7F18"/>
    <w:rPr>
      <w:color w:val="808080"/>
      <w:bdr w:color="auto" w:space="0" w:sz="0" w:val="none"/>
      <w:shd w:color="auto" w:fill="CCFFFF" w:val="clear"/>
    </w:rPr>
  </w:style>
  <w:style w:customStyle="1" w:styleId="eSPISCCParagraphDefaultFont" w:type="character">
    <w:name w:val="eSPIS_CC_Paragraph Default Font"/>
    <w:basedOn w:val="Zadanifontodlomka"/>
    <w:rsid w:val="007D7F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7F18"/>
    <w:rPr>
      <w:bdr w:color="auto" w:space="0" w:sz="0" w:val="none"/>
      <w:shd w:color="auto" w:fill="FFFFCC" w:val="clear"/>
      <w:lang w:val="hr-HR"/>
    </w:rPr>
  </w:style>
  <w:style w:customStyle="1" w:styleId="PozadinaSvijetloCrvena" w:type="character">
    <w:name w:val="Pozadina_SvijetloCrvena"/>
    <w:basedOn w:val="eSPISCCParagraphDefaultFont"/>
    <w:rsid w:val="007D7F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7F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367364272">
      <w:bodyDiv w:val="true"/>
      <w:marLeft w:val="0"/>
      <w:marRight w:val="0"/>
      <w:marTop w:val="0"/>
      <w:marBottom w:val="0"/>
      <w:divBdr>
        <w:top w:space="0" w:sz="0" w:color="auto" w:val="none"/>
        <w:left w:space="0" w:sz="0" w:color="auto" w:val="none"/>
        <w:bottom w:space="0" w:sz="0" w:color="auto" w:val="none"/>
        <w:right w:space="0" w:sz="0" w:color="auto" w:val="none"/>
      </w:divBdr>
    </w:div>
    <w:div w:id="1411393231">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8412656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orezna-uprava.hr/bi/Stranice/Neisplatiteljiplaca.aspx"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2018.</izvorni_sadrzaj>
    <derivirana_varijabla naziv="DomainObject.Predmet.DatumOsnivanja_1">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St-124/2018</izvorni_sadrzaj>
    <derivirana_varijabla naziv="DomainObject.Predmet.OznakaBroj_1">St-124/2018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FLEIS PROMET jednostavno društvo s ograničenom odgovornošću za trgovinu i usluge</izvorni_sadrzaj>
    <derivirana_varijabla naziv="DomainObject.Predmet.ProtustrankaFormated_1">  FLEIS PROMET jednostavno društvo s ograničenom odgovornošću za trgovinu i usluge</derivirana_varijabla>
  </DomainObject.Predmet.ProtustrankaFormated>
  <DomainObject.Predmet.ProtustrankaFormatedOIB>
    <izvorni_sadrzaj>  FLEIS PROMET jednostavno društvo s ograničenom odgovornošću za trgovinu i usluge, OIB 21012373533</izvorni_sadrzaj>
    <derivirana_varijabla naziv="DomainObject.Predmet.ProtustrankaFormatedOIB_1">  FLEIS PROMET jednostavno društvo s ograničenom odgovornošću za trgovinu i usluge, OIB 21012373533</derivirana_varijabla>
  </DomainObject.Predmet.ProtustrankaFormatedOIB>
  <DomainObject.Predmet.ProtustrankaFormatedWithAdress>
    <izvorni_sadrzaj> FLEIS PROMET jednostavno društvo s ograničenom odgovornošću za trgovinu i usluge, Ružina 41, 31000 Osijek</izvorni_sadrzaj>
    <derivirana_varijabla naziv="DomainObject.Predmet.ProtustrankaFormatedWithAdress_1"> FLEIS PROMET jednostavno društvo s ograničenom odgovornošću za trgovinu i usluge, Ružina 41, 31000 Osijek</derivirana_varijabla>
  </DomainObject.Predmet.ProtustrankaFormatedWithAdress>
  <DomainObject.Predmet.ProtustrankaFormatedWithAdressOIB>
    <izvorni_sadrzaj> FLEIS PROMET jednostavno društvo s ograničenom odgovornošću za trgovinu i usluge, OIB 21012373533, Ružina 41, 31000 Osijek</izvorni_sadrzaj>
    <derivirana_varijabla naziv="DomainObject.Predmet.ProtustrankaFormatedWithAdressOIB_1"> FLEIS PROMET jednostavno društvo s ograničenom odgovornošću za trgovinu i usluge, OIB 21012373533, Ružina 41, 31000 Osijek</derivirana_varijabla>
  </DomainObject.Predmet.ProtustrankaFormatedWithAdressOIB>
  <DomainObject.Predmet.ProtustrankaWithAdress>
    <izvorni_sadrzaj>FLEIS PROMET jednostavno društvo s ograničenom odgovornošću za trgovinu i usluge Ružina 41, 31000 Osijek</izvorni_sadrzaj>
    <derivirana_varijabla naziv="DomainObject.Predmet.ProtustrankaWithAdress_1">FLEIS PROMET jednostavno društvo s ograničenom odgovornošću za trgovinu i usluge Ružina 41, 31000 Osijek</derivirana_varijabla>
  </DomainObject.Predmet.ProtustrankaWithAdress>
  <DomainObject.Predmet.ProtustrankaWithAdressOIB>
    <izvorni_sadrzaj>FLEIS PROMET jednostavno društvo s ograničenom odgovornošću za trgovinu i usluge, OIB 21012373533, Ružina 41, 31000 Osijek</izvorni_sadrzaj>
    <derivirana_varijabla naziv="DomainObject.Predmet.ProtustrankaWithAdressOIB_1">FLEIS PROMET jednostavno društvo s ograničenom odgovornošću za trgovinu i usluge, OIB 21012373533, Ružina 41, 31000 Osijek</derivirana_varijabla>
  </DomainObject.Predmet.ProtustrankaWithAdressOIB>
  <DomainObject.Predmet.ProtustrankaNazivFormated>
    <izvorni_sadrzaj>FLEIS PROMET jednostavno društvo s ograničenom odgovornošću za trgovinu i usluge</izvorni_sadrzaj>
    <derivirana_varijabla naziv="DomainObject.Predmet.ProtustrankaNazivFormated_1">FLEIS PROMET jednostavno društvo s ograničenom odgovornošću za trgovinu i usluge</derivirana_varijabla>
  </DomainObject.Predmet.ProtustrankaNazivFormated>
  <DomainObject.Predmet.ProtustrankaNazivFormatedOIB>
    <izvorni_sadrzaj>FLEIS PROMET jednostavno društvo s ograničenom odgovornošću za trgovinu i usluge, OIB 21012373533</izvorni_sadrzaj>
    <derivirana_varijabla naziv="DomainObject.Predmet.ProtustrankaNazivFormatedOIB_1">FLEIS PROMET jednostavno društvo s ograničenom odgovornošću za trgovinu i usluge, OIB 21012373533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FLEIS PROMET jednostavno društvo s ograničenom odgovornošću za trgovinu i usluge</item>
    </izvorni_sadrzaj>
    <derivirana_varijabla naziv="DomainObject.Predmet.ProtuStrankaListFormated_1">
      <item>FLEIS PROMET jednostavno društvo s ograničenom odgovornošću za trgovinu i usluge</item>
    </derivirana_varijabla>
  </DomainObject.Predmet.ProtuStrankaListFormated>
  <DomainObject.Predmet.ProtuStrankaListFormatedOIB>
    <izvorni_sadrzaj>
      <item>FLEIS PROMET jednostavno društvo s ograničenom odgovornošću za trgovinu i usluge, OIB 21012373533</item>
    </izvorni_sadrzaj>
    <derivirana_varijabla naziv="DomainObject.Predmet.ProtuStrankaListFormatedOIB_1">
      <item>FLEIS PROMET jednostavno društvo s ograničenom odgovornošću za trgovinu i usluge, OIB 21012373533</item>
    </derivirana_varijabla>
  </DomainObject.Predmet.ProtuStrankaListFormatedOIB>
  <DomainObject.Predmet.ProtuStrankaListFormatedWithAdress>
    <izvorni_sadrzaj>
      <item>FLEIS PROMET jednostavno društvo s ograničenom odgovornošću za trgovinu i usluge, Ružina 41, 31000 Osijek</item>
    </izvorni_sadrzaj>
    <derivirana_varijabla naziv="DomainObject.Predmet.ProtuStrankaListFormatedWithAdress_1">
      <item>FLEIS PROMET jednostavno društvo s ograničenom odgovornošću za trgovinu i usluge, Ružina 41, 31000 Osijek</item>
    </derivirana_varijabla>
  </DomainObject.Predmet.ProtuStrankaListFormatedWithAdress>
  <DomainObject.Predmet.ProtuStrankaListFormatedWithAdressOIB>
    <izvorni_sadrzaj>
      <item>FLEIS PROMET jednostavno društvo s ograničenom odgovornošću za trgovinu i usluge, OIB 21012373533, Ružina 41, 31000 Osijek</item>
    </izvorni_sadrzaj>
    <derivirana_varijabla naziv="DomainObject.Predmet.ProtuStrankaListFormatedWithAdressOIB_1">
      <item>FLEIS PROMET jednostavno društvo s ograničenom odgovornošću za trgovinu i usluge, OIB 21012373533, Ružina 41, 31000 Osijek</item>
    </derivirana_varijabla>
  </DomainObject.Predmet.ProtuStrankaListFormatedWithAdressOIB>
  <DomainObject.Predmet.ProtuStrankaListNazivFormated>
    <izvorni_sadrzaj>
      <item>FLEIS PROMET jednostavno društvo s ograničenom odgovornošću za trgovinu i usluge</item>
    </izvorni_sadrzaj>
    <derivirana_varijabla naziv="DomainObject.Predmet.ProtuStrankaListNazivFormated_1">
      <item>FLEIS PROMET jednostavno društvo s ograničenom odgovornošću za trgovinu i usluge</item>
    </derivirana_varijabla>
  </DomainObject.Predmet.ProtuStrankaListNazivFormated>
  <DomainObject.Predmet.ProtuStrankaListNazivFormatedOIB>
    <izvorni_sadrzaj>
      <item>FLEIS PROMET jednostavno društvo s ograničenom odgovornošću za trgovinu i usluge, OIB 21012373533</item>
    </izvorni_sadrzaj>
    <derivirana_varijabla naziv="DomainObject.Predmet.ProtuStrankaListNazivFormatedOIB_1">
      <item>FLEIS PROMET jednostavno društvo s ograničenom odgovornošću za trgovinu i usluge, OIB 21012373533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FLEIS PROMET jednostavno društvo s ograničenom odgovornošću za trgovinu i usluge</izvorni_sadrzaj>
    <derivirana_varijabla naziv="DomainObject.Predmet.ProtustrankaIDrugi_1">FLEIS PROMET jednostavno društvo s ograničenom odgovornošću za trgovinu i usluge</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FLEIS PROMET jednostavno društvo s ograničenom odgovornošću za trgovinu i usluge, OIB 21012373533, Ružina 41, 31000 Osijek</izvorni_sadrzaj>
    <derivirana_varijabla naziv="DomainObject.Predmet.ProtustrankaIDrugiAdressOIB_1">FLEIS PROMET jednostavno društvo s ograničenom odgovornošću za trgovinu i usluge, OIB 21012373533, Ružina 41,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FLEIS PROMET jednostavno društvo s ograničenom odgovornošću za trgovinu i usluge</item>
      <item>RH MF PU PODRUČNI URED OSIJEK</item>
    </izvorni_sadrzaj>
    <derivirana_varijabla naziv="DomainObject.Predmet.SudioniciListNaziv_1">
      <item>FLEIS PROMET jednostavno društvo s ograničenom odgovornošću za trgovinu i usluge</item>
      <item>RH MF PU PODRUČNI URED OSIJEK</item>
    </derivirana_varijabla>
  </DomainObject.Predmet.SudioniciListNaziv>
  <DomainObject.Predmet.SudioniciListAdressOIB>
    <izvorni_sadrzaj>
      <item>FLEIS PROMET jednostavno društvo s ograničenom odgovornošću za trgovinu i usluge, OIB 21012373533, Ružina 41,31000 Osijek</item>
      <item>RH MF PU PODRUČNI URED OSIJEK, OIB 18683136487</item>
    </izvorni_sadrzaj>
    <derivirana_varijabla naziv="DomainObject.Predmet.SudioniciListAdressOIB_1">
      <item>FLEIS PROMET jednostavno društvo s ograničenom odgovornošću za trgovinu i usluge, OIB 21012373533, Ružina 41,31000 Osijek</item>
      <item>RH MF PU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21012373533</item>
      <item>, OIB 18683136487</item>
    </izvorni_sadrzaj>
    <derivirana_varijabla naziv="DomainObject.Predmet.SudioniciListNazivOIB_1">
      <item>, OIB 21012373533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590791-01F6-49DD-A1D6-60B841E688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1711</properties:Words>
  <properties:Characters>9719</properties:Characters>
  <properties:Lines>336</properties:Lines>
  <properties:Paragraphs>108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11447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2018-06-21T10:36:00Z</dcterms:created>
  <dc:creator>dsekulic</dc:creator>
  <cp:lastModifiedBy>Danijela Sekulić</cp:lastModifiedBy>
  <cp:lastPrinted>2018-06-26T07:13:00Z</cp:lastPrinted>
  <dcterms:modified xmlns:xsi="http://www.w3.org/2001/XMLSchema-instance" xsi:type="dcterms:W3CDTF">2018-06-26T07:15:00Z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(FLEIS PROMET.docx)</vt:lpwstr>
  </prop:property>
  <prop:property name="CC_coloring" pid="4" fmtid="{D5CDD505-2E9C-101B-9397-08002B2CF9AE}">
    <vt:bool>true</vt:bool>
  </prop:property>
  <prop:property name="BrojStranica" pid="5" fmtid="{D5CDD505-2E9C-101B-9397-08002B2CF9AE}">
    <vt:i4>7</vt:i4>
  </prop:property>
</prop:Properties>
</file>