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df30" w14:paraId="4b7df30" w:rsidRDefault="00F62DA8" w:rsidP="00F62DA8" w:rsidR="00F62DA8">
      <w:pPr>
        <w:jc w:val="center"/>
        <w15:collapsed w:val="false"/>
        <w:rPr>
          <w:rFonts w:eastAsia="Calibri"/>
          <w:lang w:eastAsia="en-US"/>
        </w:rPr>
      </w:pPr>
      <w:bookmarkStart w:name="_GoBack" w:id="0"/>
      <w:bookmarkEnd w:id="0"/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62DA8" w:rsidR="00F62DA8">
        <w:tc>
          <w:tcPr>
            <w:tcW w:type="dxa" w:w="2985"/>
            <w:hideMark/>
          </w:tcPr>
          <w:p w:rsidRDefault="00F62DA8" w:rsidR="00F62DA8">
            <w:pPr>
              <w:spacing w:lineRule="auto" w:line="276"/>
              <w:jc w:val="center"/>
              <w:rPr>
                <w:rFonts w:eastAsia="Calibri"/>
                <w:lang w:eastAsia="en-US" w:val="en-US"/>
              </w:rPr>
            </w:pPr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2DA8" w:rsidR="00F62DA8">
            <w:pPr>
              <w:jc w:val="center"/>
              <w:rPr>
                <w:rFonts w:eastAsia="Calibri"/>
                <w:lang w:eastAsia="en-US" w:val="en-US"/>
              </w:rPr>
            </w:pPr>
            <w:proofErr w:type="spellStart"/>
            <w:r>
              <w:rPr>
                <w:rFonts w:eastAsia="Calibri"/>
                <w:lang w:eastAsia="en-US" w:val="en-US"/>
              </w:rPr>
              <w:t>Republika</w:t>
            </w:r>
            <w:proofErr w:type="spellEnd"/>
            <w:r>
              <w:rPr>
                <w:rFonts w:eastAsia="Calibri"/>
                <w:lang w:eastAsia="en-US" w:val="en-US"/>
              </w:rPr>
              <w:t xml:space="preserve"> </w:t>
            </w:r>
            <w:proofErr w:type="spellStart"/>
            <w:r>
              <w:rPr>
                <w:rFonts w:eastAsia="Calibri"/>
                <w:lang w:eastAsia="en-US" w:val="en-US"/>
              </w:rPr>
              <w:t>Hrvatska</w:t>
            </w:r>
            <w:proofErr w:type="spellEnd"/>
          </w:p>
          <w:p w:rsidRDefault="00F62DA8" w:rsidR="00F62DA8">
            <w:pPr>
              <w:jc w:val="center"/>
              <w:rPr>
                <w:rFonts w:eastAsia="Calibri"/>
                <w:lang w:eastAsia="en-US" w:val="en-US"/>
              </w:rPr>
            </w:pPr>
            <w:proofErr w:type="spellStart"/>
            <w:r>
              <w:rPr>
                <w:rFonts w:eastAsia="Calibri"/>
                <w:lang w:eastAsia="en-US" w:val="en-US"/>
              </w:rPr>
              <w:t>Trgovački</w:t>
            </w:r>
            <w:proofErr w:type="spellEnd"/>
            <w:r>
              <w:rPr>
                <w:rFonts w:eastAsia="Calibri"/>
                <w:lang w:eastAsia="en-US" w:val="en-US"/>
              </w:rPr>
              <w:t xml:space="preserve"> </w:t>
            </w:r>
            <w:proofErr w:type="spellStart"/>
            <w:r>
              <w:rPr>
                <w:rFonts w:eastAsia="Calibri"/>
                <w:lang w:eastAsia="en-US" w:val="en-US"/>
              </w:rPr>
              <w:t>sud</w:t>
            </w:r>
            <w:proofErr w:type="spellEnd"/>
            <w:r>
              <w:rPr>
                <w:rFonts w:eastAsia="Calibri"/>
                <w:lang w:eastAsia="en-US" w:val="en-US"/>
              </w:rPr>
              <w:t xml:space="preserve"> u </w:t>
            </w:r>
            <w:proofErr w:type="spellStart"/>
            <w:r>
              <w:rPr>
                <w:rFonts w:eastAsia="Calibri"/>
                <w:lang w:eastAsia="en-US" w:val="en-US"/>
              </w:rPr>
              <w:t>Varaždinu</w:t>
            </w:r>
            <w:proofErr w:type="spellEnd"/>
          </w:p>
          <w:p w:rsidRDefault="00F62DA8" w:rsidR="00F62DA8">
            <w:pPr>
              <w:jc w:val="center"/>
              <w:rPr>
                <w:rFonts w:eastAsia="Calibri"/>
                <w:lang w:eastAsia="en-US" w:val="en-US"/>
              </w:rPr>
            </w:pPr>
            <w:proofErr w:type="spellStart"/>
            <w:r>
              <w:rPr>
                <w:rFonts w:eastAsia="Calibri"/>
                <w:lang w:eastAsia="en-US" w:val="en-US"/>
              </w:rPr>
              <w:t>Varaždin</w:t>
            </w:r>
            <w:proofErr w:type="spellEnd"/>
            <w:r>
              <w:rPr>
                <w:rFonts w:eastAsia="Calibri"/>
                <w:lang w:eastAsia="en-US" w:val="en-US"/>
              </w:rPr>
              <w:t xml:space="preserve">, </w:t>
            </w:r>
            <w:proofErr w:type="spellStart"/>
            <w:r>
              <w:rPr>
                <w:rFonts w:eastAsia="Calibri"/>
                <w:lang w:eastAsia="en-US" w:val="en-US"/>
              </w:rPr>
              <w:t>Braće</w:t>
            </w:r>
            <w:proofErr w:type="spellEnd"/>
            <w:r>
              <w:rPr>
                <w:rFonts w:eastAsia="Calibri"/>
                <w:lang w:eastAsia="en-US" w:val="en-US"/>
              </w:rPr>
              <w:t xml:space="preserve"> </w:t>
            </w:r>
            <w:proofErr w:type="spellStart"/>
            <w:r>
              <w:rPr>
                <w:rFonts w:eastAsia="Calibri"/>
                <w:lang w:eastAsia="en-US" w:val="en-US"/>
              </w:rPr>
              <w:t>Radić</w:t>
            </w:r>
            <w:proofErr w:type="spellEnd"/>
            <w:r>
              <w:rPr>
                <w:rFonts w:eastAsia="Calibri"/>
                <w:lang w:eastAsia="en-US" w:val="en-US"/>
              </w:rPr>
              <w:t xml:space="preserve"> 2</w:t>
            </w:r>
          </w:p>
        </w:tc>
      </w:tr>
    </w:tbl>
    <w:p w:rsidRDefault="00F62DA8" w:rsidP="00F62DA8" w:rsidR="00F62DA8">
      <w:pPr>
        <w:jc w:val="right"/>
        <w:rPr>
          <w:rFonts w:eastAsia="Calibri"/>
          <w:sz w:val="12"/>
          <w:lang w:eastAsia="en-US"/>
        </w:rPr>
      </w:pPr>
      <w:r>
        <w:rPr>
          <w:rFonts w:eastAsia="Calibri"/>
          <w:sz w:val="12"/>
          <w:lang w:eastAsia="en-US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62DA8" w:rsidR="00F62DA8">
        <w:trPr>
          <w:jc w:val="right"/>
        </w:trPr>
        <w:tc>
          <w:tcPr>
            <w:tcW w:type="dxa" w:w="4320"/>
            <w:hideMark/>
          </w:tcPr>
          <w:p w:rsidRDefault="00F62DA8" w:rsidR="00F62DA8">
            <w:pPr>
              <w:spacing w:lineRule="auto" w:line="276"/>
              <w:jc w:val="both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7 St-997/16-63</w:t>
            </w:r>
          </w:p>
        </w:tc>
      </w:tr>
    </w:tbl>
    <w:p w:rsidRDefault="00F62DA8" w:rsidP="00F62DA8" w:rsidR="00F62DA8">
      <w:pPr>
        <w:jc w:val="center"/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E P U B L I K A    H R V A T S K A</w:t>
      </w:r>
    </w:p>
    <w:p w:rsidRDefault="00F62DA8" w:rsidP="00F62DA8" w:rsidR="00F62DA8">
      <w:pPr>
        <w:jc w:val="both"/>
        <w:rPr>
          <w:rFonts w:eastAsia="Calibri"/>
          <w:b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NJ E</w:t>
      </w:r>
    </w:p>
    <w:p w:rsidRDefault="00F62DA8" w:rsidP="00F62DA8" w:rsidR="00F62DA8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</w:t>
      </w:r>
    </w:p>
    <w:p w:rsidRDefault="00F62DA8" w:rsidP="00F62DA8" w:rsidR="00F62DA8">
      <w:pPr>
        <w:tabs>
          <w:tab w:pos="851" w:val="left"/>
        </w:tabs>
        <w:ind w:firstLine="708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Trgovački sud u Varaždinu, po sucu toga suda Mariji Levanić-Škerbić, u stečajnom predmetu povodom prijedloga predlagatelja Financijska agencija, Regionalni centar Zagreb, Podružnica Varaždin, Augusta Cesarca br. 2, radi otvaranja stečajnog postupka nad dužnikom CONING d.d. Varaždin, Augusta Šenoe 4-6, OIB: 49557976962, 26. lipnja 2018.,</w:t>
      </w:r>
    </w:p>
    <w:p w:rsidRDefault="00F62DA8" w:rsidP="00F62DA8" w:rsidR="00F62DA8">
      <w:pPr>
        <w:jc w:val="both"/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 i  j  e  š  i  o       j   e</w:t>
      </w:r>
    </w:p>
    <w:p w:rsidRDefault="00F62DA8" w:rsidP="00F62DA8" w:rsidR="00F62DA8">
      <w:pPr>
        <w:rPr>
          <w:b/>
          <w:szCs w:val="20"/>
        </w:rPr>
      </w:pPr>
    </w:p>
    <w:p w:rsidRDefault="00F62DA8" w:rsidP="00F62DA8" w:rsidR="00F62DA8">
      <w:pPr>
        <w:ind w:hanging="720" w:left="720"/>
        <w:jc w:val="both"/>
        <w:rPr>
          <w:szCs w:val="20"/>
        </w:rPr>
      </w:pPr>
      <w:r>
        <w:rPr>
          <w:szCs w:val="20"/>
        </w:rPr>
        <w:t>I</w:t>
      </w:r>
      <w:r>
        <w:rPr>
          <w:szCs w:val="20"/>
        </w:rPr>
        <w:tab/>
        <w:t>Ispravlja se rješenje ovog suda broj St-997/2016-61 od 19. lipnja 2018. i to:</w:t>
      </w:r>
    </w:p>
    <w:p w:rsidRDefault="00F62DA8" w:rsidP="00F62DA8" w:rsidR="00F62DA8">
      <w:pPr>
        <w:ind w:hanging="12" w:left="720"/>
        <w:jc w:val="both"/>
        <w:rPr>
          <w:szCs w:val="20"/>
        </w:rPr>
      </w:pPr>
      <w:r>
        <w:rPr>
          <w:szCs w:val="20"/>
        </w:rPr>
        <w:t xml:space="preserve">- u izreci pod točkom 3), u osmom redu, u dijelu teksta koji se odnosi na broj </w:t>
      </w:r>
      <w:r>
        <w:rPr>
          <w:rFonts w:eastAsia="Calibri"/>
          <w:lang w:eastAsia="en-US"/>
        </w:rPr>
        <w:t xml:space="preserve">žiro-računa državnog proračuna </w:t>
      </w:r>
      <w:r>
        <w:rPr>
          <w:szCs w:val="20"/>
        </w:rPr>
        <w:t xml:space="preserve">gdje je došlo do pogreške u dijelu koji se odnosi na model,  te je pogrešno napisano: </w:t>
      </w:r>
    </w:p>
    <w:p w:rsidRDefault="00F62DA8" w:rsidP="00F62DA8" w:rsidR="00F62DA8">
      <w:pPr>
        <w:ind w:hanging="12" w:left="720"/>
        <w:jc w:val="both"/>
        <w:rPr>
          <w:szCs w:val="20"/>
        </w:rPr>
      </w:pPr>
      <w:r>
        <w:rPr>
          <w:szCs w:val="20"/>
        </w:rPr>
        <w:t>"</w:t>
      </w:r>
      <w:r>
        <w:rPr>
          <w:rFonts w:eastAsia="Calibri"/>
          <w:lang w:eastAsia="en-US"/>
        </w:rPr>
        <w:t>model HR64 5045-3574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lang w:eastAsia="en-US"/>
        </w:rPr>
        <w:t>220</w:t>
      </w:r>
      <w:r>
        <w:rPr>
          <w:rFonts w:eastAsia="Calibri"/>
          <w:b/>
          <w:u w:val="single"/>
          <w:lang w:eastAsia="en-US"/>
        </w:rPr>
        <w:t>75816</w:t>
      </w:r>
      <w:r>
        <w:rPr>
          <w:rFonts w:eastAsia="Calibri"/>
          <w:lang w:eastAsia="en-US"/>
        </w:rPr>
        <w:t>"</w:t>
      </w:r>
      <w:r>
        <w:rPr>
          <w:szCs w:val="20"/>
        </w:rPr>
        <w:t xml:space="preserve">, </w:t>
      </w:r>
      <w:r>
        <w:rPr>
          <w:b/>
          <w:szCs w:val="20"/>
        </w:rPr>
        <w:t xml:space="preserve">a ispravno treba stajati: </w:t>
      </w:r>
      <w:r>
        <w:rPr>
          <w:rFonts w:eastAsia="Calibri"/>
          <w:lang w:eastAsia="en-US"/>
        </w:rPr>
        <w:t>model HR64 5045-3574-220</w:t>
      </w:r>
      <w:r>
        <w:rPr>
          <w:rFonts w:eastAsia="Calibri"/>
          <w:b/>
          <w:u w:val="single"/>
          <w:lang w:eastAsia="en-US"/>
        </w:rPr>
        <w:t>99716</w:t>
      </w:r>
      <w:r>
        <w:rPr>
          <w:rFonts w:eastAsia="Calibri"/>
          <w:lang w:eastAsia="en-US"/>
        </w:rPr>
        <w:t>"</w:t>
      </w:r>
      <w:r>
        <w:t>.</w:t>
      </w: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jc w:val="both"/>
        <w:rPr>
          <w:szCs w:val="20"/>
        </w:rPr>
      </w:pPr>
      <w:r>
        <w:rPr>
          <w:szCs w:val="20"/>
        </w:rPr>
        <w:t>II</w:t>
      </w:r>
      <w:r>
        <w:rPr>
          <w:b/>
          <w:szCs w:val="20"/>
        </w:rPr>
        <w:tab/>
      </w:r>
      <w:r>
        <w:rPr>
          <w:szCs w:val="20"/>
        </w:rPr>
        <w:t>U svemu ostalom rješenje ostaje neizmijenjeno.</w:t>
      </w: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jc w:val="center"/>
        <w:rPr>
          <w:szCs w:val="20"/>
        </w:rPr>
      </w:pPr>
      <w:r>
        <w:rPr>
          <w:szCs w:val="20"/>
        </w:rPr>
        <w:t>Obrazloženje</w:t>
      </w:r>
    </w:p>
    <w:p w:rsidRDefault="00F62DA8" w:rsidP="00F62DA8" w:rsidR="00F62DA8">
      <w:pPr>
        <w:rPr>
          <w:szCs w:val="20"/>
        </w:rPr>
      </w:pPr>
    </w:p>
    <w:p w:rsidRDefault="00F62DA8" w:rsidP="00F62DA8" w:rsidR="00F62DA8">
      <w:pPr>
        <w:ind w:hanging="12"/>
        <w:jc w:val="both"/>
        <w:rPr>
          <w:b/>
          <w:szCs w:val="20"/>
        </w:rPr>
      </w:pPr>
      <w:r>
        <w:rPr>
          <w:szCs w:val="20"/>
        </w:rPr>
        <w:tab/>
      </w:r>
      <w:r>
        <w:rPr>
          <w:szCs w:val="20"/>
        </w:rPr>
        <w:tab/>
        <w:t>Prilikom pisanja</w:t>
      </w:r>
      <w:r>
        <w:rPr>
          <w:b/>
          <w:szCs w:val="20"/>
        </w:rPr>
        <w:t xml:space="preserve"> </w:t>
      </w:r>
      <w:r>
        <w:rPr>
          <w:szCs w:val="20"/>
        </w:rPr>
        <w:t>rješenja ovog suda broj St-997/2016-61 od 19. lipnja 2018, došlo je do omaške u pisanju, tako da je umjesto: "</w:t>
      </w:r>
      <w:r>
        <w:rPr>
          <w:rFonts w:eastAsia="Calibri"/>
          <w:lang w:eastAsia="en-US"/>
        </w:rPr>
        <w:t>model HR64 5045-3574-22099716"</w:t>
      </w:r>
      <w:r>
        <w:t>, napisano: "</w:t>
      </w:r>
      <w:r>
        <w:rPr>
          <w:rFonts w:eastAsia="Calibri"/>
          <w:lang w:eastAsia="en-US"/>
        </w:rPr>
        <w:t>model HR64 5045-3574-22075816".</w:t>
      </w: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ind w:firstLine="720"/>
        <w:jc w:val="both"/>
        <w:rPr>
          <w:szCs w:val="20"/>
        </w:rPr>
      </w:pPr>
      <w:r>
        <w:rPr>
          <w:szCs w:val="20"/>
        </w:rPr>
        <w:t>Kako se radi o očiglednoj pogrešci u pisanju, valjalo je temeljem čl. 342. Zakona o parničnom postupku</w:t>
      </w:r>
      <w:r>
        <w:t>, vezano uz čl. 10. Stečajnog zakona,</w:t>
      </w:r>
      <w:r>
        <w:rPr>
          <w:szCs w:val="20"/>
        </w:rPr>
        <w:t xml:space="preserve"> izvršiti ispravak, kako je to određeno ovim rješenjem.</w:t>
      </w:r>
    </w:p>
    <w:p w:rsidRDefault="00F62DA8" w:rsidP="00F62DA8" w:rsidR="00F62DA8">
      <w:pPr>
        <w:ind w:firstLine="720" w:left="720"/>
        <w:jc w:val="both"/>
        <w:rPr>
          <w:b/>
          <w:szCs w:val="20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Varaždinu 26. lipnja 2018.</w:t>
      </w:r>
    </w:p>
    <w:p w:rsidRDefault="00F62DA8" w:rsidP="00F62DA8" w:rsidR="00F62DA8">
      <w:pPr>
        <w:tabs>
          <w:tab w:pos="3390" w:val="left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F62DA8" w:rsidP="00F62DA8" w:rsidR="00F62DA8">
      <w:pPr>
        <w:tabs>
          <w:tab w:pos="3390" w:val="left"/>
        </w:tabs>
        <w:rPr>
          <w:rFonts w:eastAsia="Calibri"/>
          <w:lang w:eastAsia="en-US"/>
        </w:rPr>
      </w:pPr>
    </w:p>
    <w:p w:rsidRDefault="00F62DA8" w:rsidP="00F62DA8" w:rsidR="00F62D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Sudac:</w:t>
      </w:r>
    </w:p>
    <w:p w:rsidRDefault="00F62DA8" w:rsidP="00F62DA8" w:rsidR="00F62DA8">
      <w:pPr>
        <w:jc w:val="both"/>
        <w:rPr>
          <w:rFonts w:eastAsia="Calibri"/>
          <w:lang w:eastAsia="en-US"/>
        </w:rPr>
      </w:pPr>
    </w:p>
    <w:p w:rsidRDefault="00F62DA8" w:rsidP="00F62DA8" w:rsidR="00F62D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Levanić-Škerbić</w:t>
      </w:r>
    </w:p>
    <w:p w:rsidRDefault="00F62DA8" w:rsidP="00F62DA8" w:rsidR="00F62DA8">
      <w:pPr>
        <w:jc w:val="both"/>
        <w:rPr>
          <w:rFonts w:eastAsia="Calibri"/>
          <w:lang w:eastAsia="en-US"/>
        </w:rPr>
      </w:pPr>
    </w:p>
    <w:p w:rsidRDefault="00F62DA8" w:rsidP="00F62DA8" w:rsidR="00F62D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jc w:val="both"/>
        <w:rPr>
          <w:szCs w:val="20"/>
        </w:rPr>
      </w:pPr>
      <w:r>
        <w:rPr>
          <w:szCs w:val="20"/>
        </w:rPr>
        <w:t>Uputa o pravnom lijeku:</w:t>
      </w:r>
    </w:p>
    <w:p w:rsidRDefault="00F62DA8" w:rsidP="00F62DA8" w:rsidR="00F62DA8">
      <w:pPr>
        <w:jc w:val="both"/>
        <w:rPr>
          <w:szCs w:val="20"/>
        </w:rPr>
      </w:pPr>
      <w:r>
        <w:rPr>
          <w:szCs w:val="20"/>
        </w:rPr>
        <w:tab/>
        <w:t>Protiv ovog rješenja stranke mogu podnijeti žalbu u roku od 8 dana od dana objave ovog rješenja na mrežnoj stranici e-Oglasna ploča suda, Visokom trgovačkom sudu RH u Zagrebu, a žalba se podnosi putem ovog suda, u tri primjerka.</w:t>
      </w: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jc w:val="both"/>
        <w:rPr>
          <w:szCs w:val="20"/>
        </w:rPr>
      </w:pPr>
    </w:p>
    <w:p w:rsidRDefault="00F62DA8" w:rsidP="00F62DA8" w:rsidR="00F62DA8">
      <w:pPr>
        <w:jc w:val="both"/>
        <w:rPr>
          <w:szCs w:val="20"/>
        </w:rPr>
      </w:pPr>
      <w:r>
        <w:rPr>
          <w:szCs w:val="20"/>
        </w:rPr>
        <w:t>DNA:</w:t>
      </w:r>
    </w:p>
    <w:p w:rsidRDefault="00F62DA8" w:rsidP="00F62DA8" w:rsidR="00F62DA8">
      <w:pPr>
        <w:numPr>
          <w:ilvl w:val="0"/>
          <w:numId w:val="47"/>
        </w:numPr>
        <w:jc w:val="both"/>
        <w:rPr>
          <w:szCs w:val="20"/>
        </w:rPr>
      </w:pPr>
      <w:r>
        <w:rPr>
          <w:szCs w:val="20"/>
        </w:rPr>
        <w:t>e-Oglasna ploča suda.</w:t>
      </w:r>
    </w:p>
    <w:p w:rsidRDefault="00F62DA8" w:rsidP="00F62DA8" w:rsidR="00F62DA8">
      <w:pPr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</w:p>
    <w:p w:rsidRDefault="00F62DA8" w:rsidP="00F62DA8" w:rsidR="00F62DA8">
      <w:pPr>
        <w:jc w:val="center"/>
        <w:rPr>
          <w:rFonts w:eastAsia="Calibri"/>
          <w:lang w:eastAsia="en-US"/>
        </w:rPr>
      </w:pPr>
    </w:p>
    <w:p w:rsidRDefault="00F62DA8" w:rsidP="00F62DA8" w:rsidR="00F62DA8">
      <w:pPr>
        <w:spacing w:after="240"/>
        <w:jc w:val="both"/>
        <w:rPr>
          <w:rFonts w:eastAsia="Calibri"/>
          <w:lang w:eastAsia="en-US"/>
        </w:rPr>
      </w:pPr>
    </w:p>
    <w:p w:rsidRDefault="00F62DA8" w:rsidP="00F62DA8" w:rsidR="00F62D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E649C" w:rsidP="00582B64" w:rsidR="00AE649C" w:rsidRPr="00582B64"/>
    <w:sectPr w:rsidSect="0032366B" w:rsidR="00AE649C" w:rsidRPr="00582B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6E617F"/>
    <w:multiLevelType w:val="hybridMultilevel"/>
    <w:tmpl w:val="3AE60260"/>
    <w:lvl w:tplc="6874CA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B64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61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DA8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2D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2D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93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St-997/2016-63</izvorni_sadrzaj>
    <derivirana_varijabla naziv="DomainObject.Oznaka_1">St-997/2016-63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St-997/2016-63</izvorni_sadrzaj>
    <derivirana_varijabla naziv="DomainObject.PoslovniBrojDokumenta_1">St-997/2016-63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8C750-088F-4FD0-9254-F0A2C4C9C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1398</properties:Characters>
  <properties:Lines>65</properties:Lines>
  <properties:Paragraphs>22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2018-06-26T07:25:00Z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St-997/2016-63 / Odluka - Rješenje (odluka_St-997_2016-63.docx)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