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e9cd5" w14:paraId="60e9cd5" w:rsidRDefault="002821A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821A3" w:rsidP="002821A3" w:rsidR="00AE649C">
      <w:pPr>
        <w:pStyle w:val="NormaleSPIS"/>
        <w:spacing w:after="0"/>
      </w:pPr>
      <w:r>
        <w:t xml:space="preserve">       Republika Hrvatska</w:t>
      </w:r>
    </w:p>
    <w:p w:rsidRDefault="002821A3" w:rsidP="002821A3" w:rsidR="002821A3">
      <w:pPr>
        <w:pStyle w:val="NormaleSPIS"/>
        <w:spacing w:after="0"/>
      </w:pPr>
      <w:r>
        <w:t xml:space="preserve">     Trgovački sud u Bjelovaru</w:t>
      </w:r>
    </w:p>
    <w:p w:rsidRDefault="002821A3" w:rsidP="002821A3" w:rsidR="002821A3">
      <w:pPr>
        <w:pStyle w:val="NormaleSPIS"/>
        <w:spacing w:after="0"/>
      </w:pPr>
      <w:r>
        <w:t>Bjelovar, Šetalište dr.I.Lebovića 42.</w:t>
      </w:r>
    </w:p>
    <w:p w:rsidRDefault="002821A3" w:rsidP="002821A3" w:rsidR="002821A3">
      <w:pPr>
        <w:pStyle w:val="NormaleSPIS"/>
        <w:jc w:val="right"/>
        <w:rPr>
          <w:rFonts w:cs="Times New Roman"/>
          <w:b/>
        </w:rPr>
      </w:pPr>
      <w:r>
        <w:rPr>
          <w:rFonts w:cs="Times New Roman"/>
        </w:rPr>
        <w:t xml:space="preserve">Poslovni broj:7 St-798/2017-66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2821A3" w:rsidP="002821A3" w:rsidR="002821A3">
      <w:pPr>
        <w:jc w:val="center"/>
        <w:rPr>
          <w:rFonts w:cs="Times New Roman" w:eastAsia="Calibri"/>
        </w:rPr>
      </w:pPr>
      <w:bookmarkStart w:name="_GoBack" w:id="0"/>
      <w:bookmarkEnd w:id="0"/>
      <w:r>
        <w:rPr>
          <w:rFonts w:cs="Times New Roman" w:eastAsia="Calibri"/>
        </w:rPr>
        <w:t>R E P U B L I K A   H R V A T S K A</w:t>
      </w:r>
    </w:p>
    <w:p w:rsidRDefault="002821A3" w:rsidP="002821A3" w:rsidR="002821A3">
      <w:pPr>
        <w:jc w:val="center"/>
        <w:rPr>
          <w:rFonts w:cs="Times New Roman" w:eastAsia="Calibri"/>
        </w:rPr>
      </w:pPr>
      <w:r>
        <w:rPr>
          <w:rFonts w:cs="Times New Roman" w:eastAsia="Calibri"/>
        </w:rPr>
        <w:t>R J E Š E N J E</w:t>
      </w:r>
    </w:p>
    <w:p w:rsidRDefault="002821A3" w:rsidP="002821A3" w:rsidR="002821A3">
      <w:pPr>
        <w:ind w:firstLine="72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Trgovački sud u Bjelovaru, po sucu pojedincu Tomislavu Mrazović, u </w:t>
      </w:r>
      <w:proofErr w:type="spellStart"/>
      <w:r>
        <w:rPr>
          <w:rFonts w:cs="Times New Roman" w:eastAsia="Calibri"/>
        </w:rPr>
        <w:t>predstečajnom</w:t>
      </w:r>
      <w:proofErr w:type="spellEnd"/>
      <w:r>
        <w:rPr>
          <w:rFonts w:cs="Times New Roman" w:eastAsia="Calibri"/>
        </w:rPr>
        <w:t xml:space="preserve"> postupku povodom prijedloga dužnika BOŽIDARA ZAGORCA vlasnika  obrta KAVANA I SLASTIČARNA ZAGORJE iz Bjelovara, I.V.Trnskog 15, OIB 62988214414, kojeg zastupaju punomoćnici, odvjetnici iz ZOU Zlatko Gregurić, Tatjana </w:t>
      </w:r>
      <w:proofErr w:type="spellStart"/>
      <w:r>
        <w:rPr>
          <w:rFonts w:cs="Times New Roman" w:eastAsia="Calibri"/>
        </w:rPr>
        <w:t>Figač</w:t>
      </w:r>
      <w:proofErr w:type="spellEnd"/>
      <w:r>
        <w:rPr>
          <w:rFonts w:cs="Times New Roman" w:eastAsia="Calibri"/>
        </w:rPr>
        <w:t xml:space="preserve">-Gregurić, Hrvoje </w:t>
      </w:r>
      <w:proofErr w:type="spellStart"/>
      <w:r>
        <w:rPr>
          <w:rFonts w:cs="Times New Roman" w:eastAsia="Calibri"/>
        </w:rPr>
        <w:t>Mladinić</w:t>
      </w:r>
      <w:proofErr w:type="spellEnd"/>
      <w:r>
        <w:rPr>
          <w:rFonts w:cs="Times New Roman" w:eastAsia="Calibri"/>
        </w:rPr>
        <w:t xml:space="preserve"> iz Bjelovara, Mihanovićeva 15b, 7. siječnja 2019.</w:t>
      </w:r>
    </w:p>
    <w:p w:rsidRDefault="002821A3" w:rsidP="002821A3" w:rsidR="002821A3">
      <w:pPr>
        <w:jc w:val="center"/>
        <w:rPr>
          <w:rFonts w:cs="Times New Roman" w:eastAsia="Calibri"/>
        </w:rPr>
      </w:pPr>
      <w:r>
        <w:rPr>
          <w:rFonts w:cs="Times New Roman" w:eastAsia="Calibri"/>
        </w:rPr>
        <w:t>r i j e š i o   j e</w:t>
      </w:r>
    </w:p>
    <w:p w:rsidRDefault="002821A3" w:rsidP="002821A3" w:rsidR="002821A3">
      <w:pPr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1.Povjereniku </w:t>
      </w:r>
      <w:proofErr w:type="spellStart"/>
      <w:r>
        <w:rPr>
          <w:rFonts w:cs="Times New Roman" w:eastAsia="Calibri"/>
        </w:rPr>
        <w:t>predstečajne</w:t>
      </w:r>
      <w:proofErr w:type="spellEnd"/>
      <w:r>
        <w:rPr>
          <w:rFonts w:cs="Times New Roman" w:eastAsia="Calibri"/>
        </w:rPr>
        <w:t xml:space="preserve"> nagodbe Vinku Ljubičiću iz Osijeka, </w:t>
      </w:r>
      <w:proofErr w:type="spellStart"/>
      <w:r>
        <w:rPr>
          <w:rFonts w:cs="Times New Roman" w:eastAsia="Calibri"/>
        </w:rPr>
        <w:t>Orljavska</w:t>
      </w:r>
      <w:proofErr w:type="spellEnd"/>
      <w:r>
        <w:rPr>
          <w:rFonts w:cs="Times New Roman" w:eastAsia="Calibri"/>
        </w:rPr>
        <w:t xml:space="preserve"> 4A, OIB: 91327367435, određuje se nagrada za rad obavljen u postupku </w:t>
      </w:r>
      <w:proofErr w:type="spellStart"/>
      <w:r>
        <w:rPr>
          <w:rFonts w:cs="Times New Roman" w:eastAsia="Calibri"/>
        </w:rPr>
        <w:t>predstečajne</w:t>
      </w:r>
      <w:proofErr w:type="spellEnd"/>
      <w:r>
        <w:rPr>
          <w:rFonts w:cs="Times New Roman" w:eastAsia="Calibri"/>
        </w:rPr>
        <w:t xml:space="preserve"> nagodbe u </w:t>
      </w:r>
      <w:proofErr w:type="spellStart"/>
      <w:r>
        <w:rPr>
          <w:rFonts w:cs="Times New Roman" w:eastAsia="Calibri"/>
        </w:rPr>
        <w:t>brutto</w:t>
      </w:r>
      <w:proofErr w:type="spellEnd"/>
      <w:r>
        <w:rPr>
          <w:rFonts w:cs="Times New Roman" w:eastAsia="Calibri"/>
        </w:rPr>
        <w:t xml:space="preserve"> iznosu od 3.400,00 kuna. </w:t>
      </w:r>
    </w:p>
    <w:p w:rsidRDefault="002821A3" w:rsidP="002821A3" w:rsidR="002821A3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2.Nagrada određena u  točki 1. ovog rješenja isplatiti će se povjereniku </w:t>
      </w:r>
      <w:proofErr w:type="spellStart"/>
      <w:r>
        <w:rPr>
          <w:rFonts w:cs="Times New Roman" w:eastAsia="Calibri"/>
        </w:rPr>
        <w:t>predstečajne</w:t>
      </w:r>
      <w:proofErr w:type="spellEnd"/>
      <w:r>
        <w:rPr>
          <w:rFonts w:cs="Times New Roman" w:eastAsia="Calibri"/>
        </w:rPr>
        <w:t xml:space="preserve"> nagodbe Vinku Ljubičiću iz sredstava predujma uplaćenog po dužniku u ovom predmetu, nakon pravomoćnosti ovog rješenja.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534"/>
        <w:gridCol w:w="1997"/>
        <w:gridCol w:w="1124"/>
        <w:gridCol w:w="1289"/>
        <w:gridCol w:w="1261"/>
        <w:gridCol w:w="992"/>
        <w:gridCol w:w="2092"/>
      </w:tblGrid>
      <w:tr w:rsidTr="002821A3" w:rsidR="002821A3">
        <w:trPr>
          <w:trHeight w:val="204"/>
        </w:trPr>
        <w:tc>
          <w:tcPr>
            <w:tcW w:type="pct" w:w="287"/>
            <w:noWrap/>
            <w:vAlign w:val="bottom"/>
            <w:hideMark/>
          </w:tcPr>
          <w:p w:rsidRDefault="002821A3" w:rsidR="002821A3">
            <w:pPr>
              <w:spacing w:lineRule="auto" w:line="276" w:after="20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pct" w:w="1075"/>
            <w:vAlign w:val="bottom"/>
            <w:hideMark/>
          </w:tcPr>
          <w:p w:rsidRDefault="002821A3" w:rsidR="002821A3">
            <w:pPr>
              <w:spacing w:lineRule="auto" w:line="276" w:after="20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pct" w:w="605"/>
            <w:vAlign w:val="bottom"/>
            <w:hideMark/>
          </w:tcPr>
          <w:p w:rsidRDefault="002821A3" w:rsidR="002821A3">
            <w:pPr>
              <w:spacing w:lineRule="auto" w:line="276" w:after="20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pct" w:w="694"/>
            <w:vAlign w:val="bottom"/>
            <w:hideMark/>
          </w:tcPr>
          <w:p w:rsidRDefault="002821A3" w:rsidR="002821A3">
            <w:pPr>
              <w:spacing w:lineRule="auto" w:line="276" w:after="20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pct" w:w="679"/>
            <w:noWrap/>
            <w:vAlign w:val="bottom"/>
            <w:hideMark/>
          </w:tcPr>
          <w:p w:rsidRDefault="002821A3" w:rsidR="002821A3">
            <w:pPr>
              <w:spacing w:lineRule="auto" w:line="276" w:after="20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pct" w:w="534"/>
            <w:noWrap/>
            <w:vAlign w:val="bottom"/>
            <w:hideMark/>
          </w:tcPr>
          <w:p w:rsidRDefault="002821A3" w:rsidR="002821A3">
            <w:pPr>
              <w:spacing w:lineRule="auto" w:line="276" w:after="20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pct" w:w="1126"/>
            <w:vAlign w:val="bottom"/>
            <w:hideMark/>
          </w:tcPr>
          <w:p w:rsidRDefault="002821A3" w:rsidR="002821A3">
            <w:pPr>
              <w:spacing w:lineRule="auto" w:line="276" w:after="200"/>
              <w:rPr>
                <w:rFonts w:cs="Times New Roman"/>
                <w:sz w:val="22"/>
                <w:szCs w:val="22"/>
              </w:rPr>
            </w:pPr>
          </w:p>
        </w:tc>
      </w:tr>
      <w:tr w:rsidTr="002821A3" w:rsidR="002821A3">
        <w:trPr>
          <w:trHeight w:val="204"/>
        </w:trPr>
        <w:tc>
          <w:tcPr>
            <w:tcW w:type="pct" w:w="287"/>
            <w:noWrap/>
            <w:vAlign w:val="bottom"/>
            <w:hideMark/>
          </w:tcPr>
          <w:p w:rsidRDefault="002821A3" w:rsidR="002821A3">
            <w:pPr>
              <w:spacing w:lineRule="auto" w:line="276" w:after="20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pct" w:w="1075"/>
            <w:vAlign w:val="bottom"/>
            <w:hideMark/>
          </w:tcPr>
          <w:p w:rsidRDefault="002821A3" w:rsidR="002821A3">
            <w:pPr>
              <w:spacing w:lineRule="auto" w:line="276" w:after="20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pct" w:w="605"/>
            <w:vAlign w:val="bottom"/>
            <w:hideMark/>
          </w:tcPr>
          <w:p w:rsidRDefault="002821A3" w:rsidR="002821A3">
            <w:pPr>
              <w:spacing w:lineRule="auto" w:line="276" w:after="20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pct" w:w="694"/>
            <w:vAlign w:val="bottom"/>
            <w:hideMark/>
          </w:tcPr>
          <w:p w:rsidRDefault="002821A3" w:rsidR="002821A3">
            <w:pPr>
              <w:spacing w:lineRule="auto" w:line="276" w:after="20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pct" w:w="679"/>
            <w:noWrap/>
            <w:vAlign w:val="bottom"/>
            <w:hideMark/>
          </w:tcPr>
          <w:p w:rsidRDefault="002821A3" w:rsidR="002821A3">
            <w:pPr>
              <w:spacing w:lineRule="auto" w:line="276" w:after="20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pct" w:w="534"/>
            <w:noWrap/>
            <w:vAlign w:val="bottom"/>
            <w:hideMark/>
          </w:tcPr>
          <w:p w:rsidRDefault="002821A3" w:rsidR="002821A3">
            <w:pPr>
              <w:spacing w:lineRule="auto" w:line="276" w:after="20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pct" w:w="1126"/>
            <w:vAlign w:val="bottom"/>
            <w:hideMark/>
          </w:tcPr>
          <w:p w:rsidRDefault="002821A3" w:rsidR="002821A3">
            <w:pPr>
              <w:spacing w:lineRule="auto" w:line="276" w:after="200"/>
              <w:rPr>
                <w:rFonts w:cs="Times New Roman"/>
                <w:sz w:val="22"/>
                <w:szCs w:val="22"/>
              </w:rPr>
            </w:pPr>
          </w:p>
        </w:tc>
      </w:tr>
    </w:tbl>
    <w:p w:rsidRDefault="002821A3" w:rsidP="002821A3" w:rsidR="002821A3">
      <w:pPr>
        <w:jc w:val="center"/>
        <w:rPr>
          <w:rFonts w:cs="Times New Roman" w:eastAsia="Calibri"/>
        </w:rPr>
      </w:pPr>
      <w:r>
        <w:rPr>
          <w:rFonts w:cs="Times New Roman" w:eastAsia="Calibri"/>
        </w:rPr>
        <w:t>Obrazloženje</w:t>
      </w:r>
    </w:p>
    <w:p w:rsidRDefault="002821A3" w:rsidP="002821A3" w:rsidR="002821A3">
      <w:pPr>
        <w:ind w:firstLine="72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Rješenjem ovog suda od 20. studenog 2017. godine otvoren je postupak </w:t>
      </w:r>
      <w:proofErr w:type="spellStart"/>
      <w:r>
        <w:rPr>
          <w:rFonts w:cs="Times New Roman" w:eastAsia="Calibri"/>
        </w:rPr>
        <w:t>predstečajne</w:t>
      </w:r>
      <w:proofErr w:type="spellEnd"/>
      <w:r>
        <w:rPr>
          <w:rFonts w:cs="Times New Roman" w:eastAsia="Calibri"/>
        </w:rPr>
        <w:t xml:space="preserve"> nagodbe nad imovinom dužnika pojedinca BOŽIDARA ZAGORCA vlasnika obrta Kavana i slastičarna Zagorje iz Bjelovara, a za povjerenika </w:t>
      </w:r>
      <w:proofErr w:type="spellStart"/>
      <w:r>
        <w:rPr>
          <w:rFonts w:cs="Times New Roman" w:eastAsia="Calibri"/>
        </w:rPr>
        <w:t>predstečajne</w:t>
      </w:r>
      <w:proofErr w:type="spellEnd"/>
      <w:r>
        <w:rPr>
          <w:rFonts w:cs="Times New Roman" w:eastAsia="Calibri"/>
        </w:rPr>
        <w:t xml:space="preserve"> nagodbe imenovan je Vinko Ljubičić iz Osijeka. </w:t>
      </w:r>
    </w:p>
    <w:p w:rsidRDefault="002821A3" w:rsidP="002821A3" w:rsidR="002821A3">
      <w:pPr>
        <w:ind w:firstLine="72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Rješenjem ovog suda pod poslovnim brojem 7 St-798/2017-62 od 3. prosinca 2018. godine prihvaćen je Izmijenjeni Plan restrukturiranja dužnika pojedinca Božidara Zagorca vlasnika obrta Kavana i slastičarna Zagorje i potvrđen je </w:t>
      </w:r>
      <w:proofErr w:type="spellStart"/>
      <w:r>
        <w:rPr>
          <w:rFonts w:cs="Times New Roman" w:eastAsia="Calibri"/>
        </w:rPr>
        <w:t>predstečajni</w:t>
      </w:r>
      <w:proofErr w:type="spellEnd"/>
      <w:r>
        <w:rPr>
          <w:rFonts w:cs="Times New Roman" w:eastAsia="Calibri"/>
        </w:rPr>
        <w:t xml:space="preserve"> sporazum zaključen između dužnika pojedinca Božidara Zagorca vlasnika obrta Kavana i slastičarna Zagorje i njegovih vjerovnika, a povjerenik je zatražio nagradu za svoj rad u tom postupku </w:t>
      </w:r>
      <w:proofErr w:type="spellStart"/>
      <w:r>
        <w:rPr>
          <w:rFonts w:cs="Times New Roman" w:eastAsia="Calibri"/>
        </w:rPr>
        <w:t>predstečajne</w:t>
      </w:r>
      <w:proofErr w:type="spellEnd"/>
      <w:r>
        <w:rPr>
          <w:rFonts w:cs="Times New Roman" w:eastAsia="Calibri"/>
        </w:rPr>
        <w:t xml:space="preserve"> nagodbe.</w:t>
      </w:r>
    </w:p>
    <w:p w:rsidRDefault="002821A3" w:rsidP="002821A3" w:rsidR="002821A3">
      <w:pPr>
        <w:ind w:firstLine="720"/>
        <w:jc w:val="both"/>
        <w:rPr>
          <w:rFonts w:cs="Times New Roman" w:eastAsia="Calibri"/>
        </w:rPr>
      </w:pPr>
      <w:r>
        <w:rPr>
          <w:rFonts w:cs="Times New Roman" w:eastAsia="Calibri"/>
        </w:rPr>
        <w:t>Sukladno odredbi čl. 94. st.1. Stečajnog zakona ("Narodne novine" broj 71/15 i broj 104/17, dalje: SZ), koja se primjenjuje temeljem odredbe čl. 23. st.3. istog zakona na povjerenika, povjerenik ima pravo na nagradu za svoj rad.</w:t>
      </w:r>
    </w:p>
    <w:p w:rsidRDefault="002821A3" w:rsidP="002821A3" w:rsidR="002821A3">
      <w:pPr>
        <w:ind w:firstLine="720"/>
        <w:jc w:val="both"/>
        <w:rPr>
          <w:rFonts w:cs="Times New Roman" w:eastAsia="Calibri"/>
        </w:rPr>
      </w:pPr>
      <w:r>
        <w:rPr>
          <w:rFonts w:cs="Times New Roman" w:eastAsia="Calibri"/>
        </w:rPr>
        <w:t>Nagrada se, sukladno čl. 94. st.2. SZ-a, određuje primjenom Uredbe o kriterijima i načinu obračuna i plaćanja nagrada stečajnim upraviteljima ("Narodne novine" broj 105/2015 dalje: Uredba).</w:t>
      </w:r>
    </w:p>
    <w:p w:rsidRDefault="002821A3" w:rsidP="002821A3" w:rsidR="002821A3">
      <w:pPr>
        <w:ind w:firstLine="720"/>
        <w:jc w:val="right"/>
        <w:rPr>
          <w:rFonts w:cs="Times New Roman" w:eastAsia="Calibri"/>
        </w:rPr>
      </w:pPr>
    </w:p>
    <w:p w:rsidRDefault="002821A3" w:rsidP="002821A3" w:rsidR="002821A3">
      <w:pPr>
        <w:spacing w:after="0"/>
        <w:ind w:firstLine="720"/>
        <w:jc w:val="center"/>
        <w:rPr>
          <w:rFonts w:cs="Times New Roman" w:eastAsia="Calibri"/>
        </w:rPr>
      </w:pPr>
      <w:r>
        <w:rPr>
          <w:rFonts w:cs="Times New Roman" w:eastAsia="Calibri"/>
        </w:rPr>
        <w:lastRenderedPageBreak/>
        <w:t>2</w:t>
      </w:r>
    </w:p>
    <w:p w:rsidRDefault="002821A3" w:rsidP="002821A3" w:rsidR="002821A3">
      <w:pPr>
        <w:ind w:firstLine="720"/>
        <w:jc w:val="right"/>
        <w:rPr>
          <w:rFonts w:cs="Times New Roman" w:eastAsia="Calibri"/>
        </w:rPr>
      </w:pPr>
      <w:r>
        <w:rPr>
          <w:rFonts w:cs="Times New Roman" w:eastAsia="Calibri"/>
        </w:rPr>
        <w:t>Poslovni broj:7 St-798/2017-66</w:t>
      </w:r>
    </w:p>
    <w:p w:rsidRDefault="002821A3" w:rsidP="002821A3" w:rsidR="002821A3">
      <w:pPr>
        <w:ind w:firstLine="72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Člankom 3. st.1. Uredbe propisano je da povjereniku </w:t>
      </w:r>
      <w:proofErr w:type="spellStart"/>
      <w:r>
        <w:rPr>
          <w:rFonts w:cs="Times New Roman" w:eastAsia="Calibri"/>
        </w:rPr>
        <w:t>predstečajnog</w:t>
      </w:r>
      <w:proofErr w:type="spellEnd"/>
      <w:r>
        <w:rPr>
          <w:rFonts w:cs="Times New Roman" w:eastAsia="Calibri"/>
        </w:rPr>
        <w:t xml:space="preserve"> postupka pripada pravo na jednokratnu nagradu za poslove obavljene u </w:t>
      </w:r>
      <w:proofErr w:type="spellStart"/>
      <w:r>
        <w:rPr>
          <w:rFonts w:cs="Times New Roman" w:eastAsia="Calibri"/>
        </w:rPr>
        <w:t>predstečajnom</w:t>
      </w:r>
      <w:proofErr w:type="spellEnd"/>
      <w:r>
        <w:rPr>
          <w:rFonts w:cs="Times New Roman" w:eastAsia="Calibri"/>
        </w:rPr>
        <w:t xml:space="preserve"> postupku u iznosu od 3.000,00 kuna do 20.000,00 kuna. </w:t>
      </w:r>
    </w:p>
    <w:p w:rsidRDefault="002821A3" w:rsidP="002821A3" w:rsidR="002821A3">
      <w:pPr>
        <w:spacing w:after="0"/>
        <w:ind w:firstLine="72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Imajući u vidu složenost poslova koje je povjerenik obavio (ispitao poslovanje dužnika, ispitao vjerodostojnost 30 prijavljenih tražbina, nadzirao poslovanje dužnika, prisustvovao ročištu za ispitivanje tražbina i ročištu radi glasovanja o Izmijenjenom planu restrukturiranja dužnika) sud smatra primjerenu nagradu u </w:t>
      </w:r>
      <w:proofErr w:type="spellStart"/>
      <w:r>
        <w:rPr>
          <w:rFonts w:cs="Times New Roman" w:eastAsia="Calibri"/>
        </w:rPr>
        <w:t>brutto</w:t>
      </w:r>
      <w:proofErr w:type="spellEnd"/>
      <w:r>
        <w:rPr>
          <w:rFonts w:cs="Times New Roman" w:eastAsia="Calibri"/>
        </w:rPr>
        <w:t xml:space="preserve"> iznosu od 3.400,00 kuna, a koja će se isplatiti iz predujma uplaćenog po dužniku u ovom predmetu nakon pravomoćnosti ovog rješenja.</w:t>
      </w:r>
    </w:p>
    <w:p w:rsidRDefault="002821A3" w:rsidP="002821A3" w:rsidR="002821A3">
      <w:pPr>
        <w:ind w:firstLine="720"/>
        <w:jc w:val="center"/>
        <w:rPr>
          <w:rFonts w:cs="Times New Roman" w:eastAsia="Calibri"/>
        </w:rPr>
      </w:pPr>
      <w:r>
        <w:rPr>
          <w:rFonts w:cs="Times New Roman" w:eastAsia="Calibri"/>
        </w:rPr>
        <w:t>Bjelovar 7. siječnja 2019.</w:t>
      </w:r>
    </w:p>
    <w:p w:rsidRDefault="002821A3" w:rsidP="002821A3" w:rsidR="002821A3">
      <w:pPr>
        <w:spacing w:after="0"/>
        <w:ind w:firstLine="720"/>
        <w:jc w:val="both"/>
        <w:rPr>
          <w:rFonts w:cs="Times New Roman" w:eastAsia="Calibri"/>
        </w:rPr>
      </w:pP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  <w:t xml:space="preserve">                    Sudac</w:t>
      </w:r>
    </w:p>
    <w:p w:rsidRDefault="002821A3" w:rsidP="002821A3" w:rsidR="002821A3">
      <w:pPr>
        <w:ind w:firstLine="720"/>
        <w:jc w:val="both"/>
        <w:rPr>
          <w:rFonts w:cs="Times New Roman" w:eastAsia="Calibri"/>
        </w:rPr>
      </w:pP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  <w:t xml:space="preserve">         Tomislav Mrazović,v.r.</w:t>
      </w:r>
    </w:p>
    <w:p w:rsidRDefault="002821A3" w:rsidP="002821A3" w:rsidR="002821A3">
      <w:pPr>
        <w:spacing w:after="0"/>
        <w:ind w:firstLine="72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                                                                           Za točnost </w:t>
      </w:r>
      <w:proofErr w:type="spellStart"/>
      <w:r>
        <w:rPr>
          <w:rFonts w:cs="Times New Roman" w:eastAsia="Calibri"/>
        </w:rPr>
        <w:t>otpravka</w:t>
      </w:r>
      <w:proofErr w:type="spellEnd"/>
      <w:r>
        <w:rPr>
          <w:rFonts w:cs="Times New Roman" w:eastAsia="Calibri"/>
        </w:rPr>
        <w:t>-ovlašteni službenik</w:t>
      </w:r>
    </w:p>
    <w:p w:rsidRDefault="002821A3" w:rsidP="002821A3" w:rsidR="002821A3">
      <w:pPr>
        <w:ind w:firstLine="72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                                                                                              Jasmina </w:t>
      </w:r>
      <w:proofErr w:type="spellStart"/>
      <w:r>
        <w:rPr>
          <w:rFonts w:cs="Times New Roman" w:eastAsia="Calibri"/>
        </w:rPr>
        <w:t>Tubić</w:t>
      </w:r>
      <w:proofErr w:type="spellEnd"/>
    </w:p>
    <w:p w:rsidRDefault="002821A3" w:rsidP="002821A3" w:rsidR="002821A3">
      <w:pPr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POUKA O PRAVNOM LIJEKU:Protiv ovog rješenja može se podnijeti žalba u roku od 8 dana od dana dostave ovog rješenja, na Visoki trgovački sud RH u Zagrebu, a putem ovog suda (čl.19.st1. i 2. SZ). Dostava se smatra obavljenom istekom osmog dana od dana objave ovog rješenja na e-oglasnoj ploči suda (čl. 12. st.1. SZ). Žalba se podnosi u tri primjerka. </w:t>
      </w:r>
    </w:p>
    <w:p w:rsidRDefault="002821A3" w:rsidP="002821A3" w:rsidR="002821A3">
      <w:pPr>
        <w:jc w:val="both"/>
        <w:rPr>
          <w:rFonts w:cs="Times New Roman" w:eastAsia="Calibri"/>
        </w:rPr>
      </w:pPr>
    </w:p>
    <w:p w:rsidRDefault="002821A3" w:rsidP="002821A3" w:rsidR="002821A3">
      <w:pPr>
        <w:jc w:val="both"/>
        <w:rPr>
          <w:rFonts w:cs="Times New Roman" w:eastAsia="Calibri"/>
        </w:rPr>
      </w:pPr>
    </w:p>
    <w:p w:rsidRDefault="002821A3" w:rsidP="002821A3" w:rsidR="002821A3">
      <w:pPr>
        <w:ind w:firstLine="720"/>
        <w:jc w:val="both"/>
        <w:rPr>
          <w:rFonts w:cs="Times New Roman" w:eastAsia="Calibri"/>
        </w:rPr>
      </w:pP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  <w:t xml:space="preserve">   </w:t>
      </w:r>
    </w:p>
    <w:p w:rsidRDefault="002821A3" w:rsidP="002821A3" w:rsidR="002821A3">
      <w:pPr>
        <w:rPr>
          <w:rFonts w:cs="Times New Roman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21A3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233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St-798/2017-66</izvorni_sadrzaj>
    <derivirana_varijabla naziv="DomainObject.Oznaka_1">St-798/2017-66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798</izvorni_sadrzaj>
    <derivirana_varijabla naziv="DomainObject.Predmet.Broj_1">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2017.</izvorni_sadrzaj>
    <derivirana_varijabla naziv="DomainObject.Predmet.DatumOsnivanja_1">16.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prosinca 2018.</izvorni_sadrzaj>
    <derivirana_varijabla naziv="DomainObject.Predmet.DatumRjesavanja_1">4.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St-798/2017</izvorni_sadrzaj>
    <derivirana_varijabla naziv="DomainObject.Predmet.OznakaBroj_1">St-798/2017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BOŽIDAR ZAGOREC</izvorni_sadrzaj>
    <derivirana_varijabla naziv="DomainObject.Predmet.StrankaFormated_1">  BOŽIDAR ZAGOREC</derivirana_varijabla>
  </DomainObject.Predmet.StrankaFormated>
  <DomainObject.Predmet.StrankaFormatedOIB>
    <izvorni_sadrzaj>  BOŽIDAR ZAGOREC, OIB 62988214414</izvorni_sadrzaj>
    <derivirana_varijabla naziv="DomainObject.Predmet.StrankaFormatedOIB_1">  BOŽIDAR ZAGOREC, OIB 62988214414</derivirana_varijabla>
  </DomainObject.Predmet.StrankaFormatedOIB>
  <DomainObject.Predmet.StrankaFormatedWithAdress>
    <izvorni_sadrzaj> BOŽIDAR ZAGOREC, Ivana Viteza Trnskog 15, 43000 Bjelovar</izvorni_sadrzaj>
    <derivirana_varijabla naziv="DomainObject.Predmet.StrankaFormatedWithAdress_1"> BOŽIDAR ZAGOREC, Ivana Viteza Trnskog 15, 43000 Bjelovar</derivirana_varijabla>
  </DomainObject.Predmet.StrankaFormatedWithAdress>
  <DomainObject.Predmet.StrankaFormatedWithAdressOIB>
    <izvorni_sadrzaj> BOŽIDAR ZAGOREC, OIB 62988214414, Ivana Viteza Trnskog 15, 43000 Bjelovar</izvorni_sadrzaj>
    <derivirana_varijabla naziv="DomainObject.Predmet.StrankaFormatedWithAdressOIB_1"> BOŽIDAR ZAGOREC, OIB 62988214414, Ivana Viteza Trnskog 15, 43000 Bjelovar</derivirana_varijabla>
  </DomainObject.Predmet.StrankaFormatedWithAdressOIB>
  <DomainObject.Predmet.StrankaWithAdress>
    <izvorni_sadrzaj>BOŽIDAR ZAGOREC Ivana Viteza Trnskog 15,43000 Bjelovar</izvorni_sadrzaj>
    <derivirana_varijabla naziv="DomainObject.Predmet.StrankaWithAdress_1">BOŽIDAR ZAGOREC Ivana Viteza Trnskog 15,43000 Bjelovar</derivirana_varijabla>
  </DomainObject.Predmet.StrankaWithAdress>
  <DomainObject.Predmet.StrankaWithAdressOIB>
    <izvorni_sadrzaj>BOŽIDAR ZAGOREC, OIB 62988214414, Ivana Viteza Trnskog 15,43000 Bjelovar</izvorni_sadrzaj>
    <derivirana_varijabla naziv="DomainObject.Predmet.StrankaWithAdressOIB_1">BOŽIDAR ZAGOREC, OIB 62988214414, Ivana Viteza Trnskog 15,43000 Bjelovar</derivirana_varijabla>
  </DomainObject.Predmet.StrankaWithAdressOIB>
  <DomainObject.Predmet.StrankaNazivFormated>
    <izvorni_sadrzaj>BOŽIDAR ZAGOREC</izvorni_sadrzaj>
    <derivirana_varijabla naziv="DomainObject.Predmet.StrankaNazivFormated_1">BOŽIDAR ZAGOREC</derivirana_varijabla>
  </DomainObject.Predmet.StrankaNazivFormated>
  <DomainObject.Predmet.StrankaNazivFormatedOIB>
    <izvorni_sadrzaj>BOŽIDAR ZAGOREC, OIB 62988214414</izvorni_sadrzaj>
    <derivirana_varijabla naziv="DomainObject.Predmet.StrankaNazivFormatedOIB_1">BOŽIDAR ZAGOREC, OIB 62988214414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BOŽIDAR ZAGOREC</item>
    </izvorni_sadrzaj>
    <derivirana_varijabla naziv="DomainObject.Predmet.StrankaListFormated_1">
      <item>BOŽIDAR ZAGOREC</item>
    </derivirana_varijabla>
  </DomainObject.Predmet.StrankaListFormated>
  <DomainObject.Predmet.StrankaListFormatedOIB>
    <izvorni_sadrzaj>
      <item>BOŽIDAR ZAGOREC, OIB 62988214414</item>
    </izvorni_sadrzaj>
    <derivirana_varijabla naziv="DomainObject.Predmet.StrankaListFormatedOIB_1">
      <item>BOŽIDAR ZAGOREC, OIB 62988214414</item>
    </derivirana_varijabla>
  </DomainObject.Predmet.StrankaListFormatedOIB>
  <DomainObject.Predmet.StrankaListFormatedWithAdress>
    <izvorni_sadrzaj>
      <item>BOŽIDAR ZAGOREC, Ivana Viteza Trnskog 15, 43000 Bjelovar</item>
    </izvorni_sadrzaj>
    <derivirana_varijabla naziv="DomainObject.Predmet.StrankaListFormatedWithAdress_1">
      <item>BOŽIDAR ZAGOREC, Ivana Viteza Trnskog 15, 43000 Bjelovar</item>
    </derivirana_varijabla>
  </DomainObject.Predmet.StrankaListFormatedWithAdress>
  <DomainObject.Predmet.StrankaListFormatedWithAdressOIB>
    <izvorni_sadrzaj>
      <item>BOŽIDAR ZAGOREC, OIB 62988214414, Ivana Viteza Trnskog 15, 43000 Bjelovar</item>
    </izvorni_sadrzaj>
    <derivirana_varijabla naziv="DomainObject.Predmet.StrankaListFormatedWithAdressOIB_1">
      <item>BOŽIDAR ZAGOREC, OIB 62988214414, Ivana Viteza Trnskog 15, 43000 Bjelovar</item>
    </derivirana_varijabla>
  </DomainObject.Predmet.StrankaListFormatedWithAdressOIB>
  <DomainObject.Predmet.StrankaListNazivFormated>
    <izvorni_sadrzaj>
      <item>BOŽIDAR ZAGOREC</item>
    </izvorni_sadrzaj>
    <derivirana_varijabla naziv="DomainObject.Predmet.StrankaListNazivFormated_1">
      <item>BOŽIDAR ZAGOREC</item>
    </derivirana_varijabla>
  </DomainObject.Predmet.StrankaListNazivFormated>
  <DomainObject.Predmet.StrankaListNazivFormatedOIB>
    <izvorni_sadrzaj>
      <item>BOŽIDAR ZAGOREC, OIB 62988214414</item>
    </izvorni_sadrzaj>
    <derivirana_varijabla naziv="DomainObject.Predmet.StrankaListNazivFormatedOIB_1">
      <item>BOŽIDAR ZAGOREC, OIB 62988214414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ZOU Zlatko Gregurić, Tatjana Figač-Gregurić, Hrvoje Mladinić</item>
    </izvorni_sadrzaj>
    <derivirana_varijabla naziv="DomainObject.Predmet.OstaliListFormated_1">
      <item>ZOU Zlatko Gregurić, Tatjana Figač-Gregurić, Hrvoje Mladinić</item>
    </derivirana_varijabla>
  </DomainObject.Predmet.OstaliListFormated>
  <DomainObject.Predmet.OstaliListFormatedOIB>
    <izvorni_sadrzaj>
      <item>ZOU Zlatko Gregurić, Tatjana Figač-Gregurić, Hrvoje Mladinić, OIB 70851049834</item>
    </izvorni_sadrzaj>
    <derivirana_varijabla naziv="DomainObject.Predmet.OstaliListFormatedOIB_1">
      <item>ZOU Zlatko Gregurić, Tatjana Figač-Gregurić, Hrvoje Mladinić, OIB 70851049834</item>
    </derivirana_varijabla>
  </DomainObject.Predmet.OstaliListFormatedOIB>
  <DomainObject.Predmet.OstaliListFormatedWithAdress>
    <izvorni_sadrzaj>
      <item>ZOU Zlatko Gregurić, Tatjana Figač-Gregurić, Hrvoje Mladinić, Mihanovićeva 15b, 43000 Bjelovar</item>
    </izvorni_sadrzaj>
    <derivirana_varijabla naziv="DomainObject.Predmet.OstaliListFormatedWithAdress_1">
      <item>ZOU Zlatko Gregurić, Tatjana Figač-Gregurić, Hrvoje Mladinić, Mihanovićeva 15b, 43000 Bjelovar</item>
    </derivirana_varijabla>
  </DomainObject.Predmet.OstaliListFormatedWithAdress>
  <DomainObject.Predmet.OstaliListFormatedWithAdressOIB>
    <izvorni_sadrzaj>
      <item>ZOU Zlatko Gregurić, Tatjana Figač-Gregurić, Hrvoje Mladinić, OIB 70851049834, Mihanovićeva 15b, 43000 Bjelovar</item>
    </izvorni_sadrzaj>
    <derivirana_varijabla naziv="DomainObject.Predmet.OstaliListFormatedWithAdressOIB_1">
      <item>ZOU Zlatko Gregurić, Tatjana Figač-Gregurić, Hrvoje Mladinić, OIB 70851049834, Mihanovićeva 15b, 43000 Bjelovar</item>
    </derivirana_varijabla>
  </DomainObject.Predmet.OstaliListFormatedWithAdressOIB>
  <DomainObject.Predmet.OstaliListNazivFormated>
    <izvorni_sadrzaj>
      <item>ZOU Zlatko Gregurić, Tatjana Figač-Gregurić, Hrvoje Mladinić</item>
    </izvorni_sadrzaj>
    <derivirana_varijabla naziv="DomainObject.Predmet.OstaliListNazivFormated_1">
      <item>ZOU Zlatko Gregurić, Tatjana Figač-Gregurić, Hrvoje Mladinić</item>
    </derivirana_varijabla>
  </DomainObject.Predmet.OstaliListNazivFormated>
  <DomainObject.Predmet.OstaliListNazivFormatedOIB>
    <izvorni_sadrzaj>
      <item>ZOU Zlatko Gregurić, Tatjana Figač-Gregurić, Hrvoje Mladinić, OIB 70851049834</item>
    </izvorni_sadrzaj>
    <derivirana_varijabla naziv="DomainObject.Predmet.OstaliListNazivFormatedOIB_1">
      <item>ZOU Zlatko Gregurić, Tatjana Figač-Gregurić, Hrvoje Mladinić, OIB 70851049834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>St-798/2017-66</izvorni_sadrzaj>
    <derivirana_varijabla naziv="DomainObject.PoslovniBrojDokumenta_1">St-798/2017-66</derivirana_varijabla>
  </DomainObject.PoslovniBrojDokumenta>
  <DomainObject.Predmet.StrankaIDrugi>
    <izvorni_sadrzaj>BOŽIDAR ZAGOREC</izvorni_sadrzaj>
    <derivirana_varijabla naziv="DomainObject.Predmet.StrankaIDrugi_1">BOŽIDAR ZAGOREC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BOŽIDAR ZAGOREC, OIB 62988214414, Ivana Viteza Trnskog 15, 43000 Bjelovar</izvorni_sadrzaj>
    <derivirana_varijabla naziv="DomainObject.Predmet.StrankaIDrugiAdressOIB_1">BOŽIDAR ZAGOREC, OIB 62988214414, Ivana Viteza Trnskog 15,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prosinca 2018.</izvorni_sadrzaj>
    <derivirana_varijabla naziv="DomainObject.Predmet.OdlukaRjesenje.DatumDonosenjaOdluke_1">4. prosinca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St-798/2017-62</izvorni_sadrzaj>
    <derivirana_varijabla naziv="DomainObject.Predmet.OdlukaRjesenje.Oznaka_1">St-798/2017-62</derivirana_varijabla>
  </DomainObject.Predmet.OdlukaRjesenje.Oznaka>
  <DomainObject.Predmet.SudioniciListNaziv>
    <izvorni_sadrzaj>
      <item>BOŽIDAR ZAGOREC</item>
      <item>ZOU Zlatko Gregurić, Tatjana Figač-Gregurić, Hrvoje Mladinić</item>
    </izvorni_sadrzaj>
    <derivirana_varijabla naziv="DomainObject.Predmet.SudioniciListNaziv_1">
      <item>BOŽIDAR ZAGOREC</item>
      <item>ZOU Zlatko Gregurić, Tatjana Figač-Gregurić, Hrvoje Mladinić</item>
    </derivirana_varijabla>
  </DomainObject.Predmet.SudioniciListNaziv>
  <DomainObject.Predmet.SudioniciListAdressOIB>
    <izvorni_sadrzaj>
      <item>BOŽIDAR ZAGOREC, OIB 62988214414, Ivana Viteza Trnskog 15,43000 Bjelovar</item>
      <item>ZOU Zlatko Gregurić, Tatjana Figač-Gregurić, Hrvoje Mladinić, OIB 70851049834, Mihanovićeva 15b,43000 Bjelovar</item>
    </izvorni_sadrzaj>
    <derivirana_varijabla naziv="DomainObject.Predmet.SudioniciListAdressOIB_1">
      <item>BOŽIDAR ZAGOREC, OIB 62988214414, Ivana Viteza Trnskog 15,43000 Bjelovar</item>
      <item>ZOU Zlatko Gregurić, Tatjana Figač-Gregurić, Hrvoje Mladinić, OIB 70851049834, Mihanovićeva 15b,43000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C72C3A-00A4-4623-B6DE-E1BF003AB9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2788</properties:Characters>
  <properties:Lines>75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2019-01-07T12:59:00Z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St-798/2017-66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