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87d81" w14:paraId="ca87d81" w:rsidRDefault="00E12BFA"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1501140</wp:posOffset>
            </wp:positionH>
            <wp:positionV relativeFrom="page">
              <wp:posOffset>708660</wp:posOffset>
            </wp:positionV>
            <wp:extent cy="848995" cx="636270"/>
            <wp:effectExtent b="825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48995" cx="636270"/>
                    </a:xfrm>
                    <a:prstGeom prst="rect">
                      <a:avLst/>
                    </a:prstGeom>
                  </pic:spPr>
                </pic:pic>
              </a:graphicData>
            </a:graphic>
          </wp:anchor>
        </w:drawing>
      </w:r>
    </w:p>
    <w:p w:rsidRDefault="00AE649C" w:rsidP="004F27AE" w:rsidR="00AE649C" w:rsidRPr="00B76F3C">
      <w:pPr>
        <w:pStyle w:val="NormaleSPIS"/>
      </w:pPr>
    </w:p>
    <w:p w:rsidRDefault="00E12BFA" w:rsidP="00E12BFA" w:rsidR="00E12BFA">
      <w:pPr>
        <w:spacing w:after="0"/>
        <w:jc w:val="both"/>
      </w:pPr>
      <w:r>
        <w:t xml:space="preserve">           Republika Hrvatska</w:t>
      </w:r>
    </w:p>
    <w:p w:rsidRDefault="00E12BFA" w:rsidP="00E12BFA" w:rsidR="00E12BFA">
      <w:pPr>
        <w:tabs>
          <w:tab w:pos="3338" w:val="left"/>
        </w:tabs>
        <w:spacing w:after="0"/>
        <w:jc w:val="both"/>
      </w:pPr>
      <w:r>
        <w:t xml:space="preserve">     Trgovački sud u Bjelovaru</w:t>
      </w:r>
      <w:r>
        <w:tab/>
      </w:r>
    </w:p>
    <w:p w:rsidRDefault="00E12BFA" w:rsidP="00E12BFA" w:rsidR="00E12BFA">
      <w:pPr>
        <w:spacing w:after="0"/>
        <w:jc w:val="both"/>
      </w:pPr>
      <w:r>
        <w:t xml:space="preserve">Bjelovar, Šetalište dr. I. </w:t>
      </w:r>
      <w:proofErr w:type="spellStart"/>
      <w:r>
        <w:t>Lebovića</w:t>
      </w:r>
      <w:proofErr w:type="spellEnd"/>
      <w:r>
        <w:t xml:space="preserve"> 42</w:t>
      </w:r>
    </w:p>
    <w:p w:rsidRDefault="00E12BFA" w:rsidP="00E12BFA" w:rsidR="00E12BFA" w:rsidRPr="00E12BFA">
      <w:pPr>
        <w:overflowPunct w:val="false"/>
        <w:autoSpaceDE w:val="false"/>
        <w:autoSpaceDN w:val="false"/>
        <w:adjustRightInd w:val="false"/>
        <w:spacing w:after="0"/>
        <w:ind w:firstLine="4536"/>
        <w:jc w:val="right"/>
        <w:rPr>
          <w:rFonts w:cs="Times New Roman" w:eastAsia="Times New Roman"/>
          <w:noProof/>
          <w:szCs w:val="20"/>
          <w:lang w:eastAsia="hr-HR"/>
        </w:rPr>
      </w:pPr>
      <w:bookmarkStart w:name="_GoBack" w:id="0"/>
      <w:bookmarkEnd w:id="0"/>
      <w:r w:rsidRPr="00E12BFA">
        <w:rPr>
          <w:rFonts w:cs="Times New Roman" w:eastAsia="Times New Roman"/>
          <w:noProof/>
          <w:szCs w:val="20"/>
          <w:lang w:eastAsia="hr-HR"/>
        </w:rPr>
        <w:t xml:space="preserve">  Poslovni broj: 5. St-511/2017-13</w:t>
      </w:r>
    </w:p>
    <w:p w:rsidRDefault="00E12BFA" w:rsidP="00E12BFA" w:rsidR="00E12BFA" w:rsidRPr="00E12BFA">
      <w:pPr>
        <w:overflowPunct w:val="false"/>
        <w:autoSpaceDE w:val="false"/>
        <w:autoSpaceDN w:val="false"/>
        <w:adjustRightInd w:val="false"/>
        <w:spacing w:after="0"/>
        <w:rPr>
          <w:rFonts w:cs="Times New Roman" w:eastAsia="Times New Roman"/>
          <w:noProof/>
          <w:szCs w:val="20"/>
          <w:lang w:eastAsia="hr-HR"/>
        </w:rPr>
      </w:pPr>
    </w:p>
    <w:p w:rsidRDefault="00E12BFA" w:rsidP="00E12BFA" w:rsidR="00E12BFA" w:rsidRPr="00E12BFA">
      <w:pPr>
        <w:overflowPunct w:val="false"/>
        <w:autoSpaceDE w:val="false"/>
        <w:autoSpaceDN w:val="false"/>
        <w:adjustRightInd w:val="false"/>
        <w:spacing w:after="0"/>
        <w:rPr>
          <w:rFonts w:cs="Times New Roman" w:eastAsia="Times New Roman"/>
          <w:noProof/>
          <w:szCs w:val="20"/>
          <w:lang w:eastAsia="hr-HR"/>
        </w:rPr>
      </w:pPr>
    </w:p>
    <w:p w:rsidRDefault="00E12BFA" w:rsidP="00E12BFA" w:rsidR="00E12BFA" w:rsidRPr="00E12BFA">
      <w:pPr>
        <w:overflowPunct w:val="false"/>
        <w:autoSpaceDE w:val="false"/>
        <w:autoSpaceDN w:val="false"/>
        <w:adjustRightInd w:val="false"/>
        <w:spacing w:after="0"/>
        <w:rPr>
          <w:rFonts w:cs="Times New Roman" w:eastAsia="Times New Roman"/>
          <w:noProof/>
          <w:szCs w:val="20"/>
          <w:lang w:eastAsia="hr-HR"/>
        </w:rPr>
      </w:pPr>
    </w:p>
    <w:p w:rsidRDefault="00E12BFA" w:rsidP="00E12BFA" w:rsidR="00E12BFA" w:rsidRPr="00E12BFA">
      <w:pPr>
        <w:overflowPunct w:val="false"/>
        <w:autoSpaceDE w:val="false"/>
        <w:autoSpaceDN w:val="false"/>
        <w:adjustRightInd w:val="false"/>
        <w:spacing w:after="0"/>
        <w:jc w:val="center"/>
        <w:rPr>
          <w:rFonts w:cs="Times New Roman" w:eastAsia="Times New Roman"/>
          <w:noProof/>
          <w:szCs w:val="20"/>
          <w:lang w:eastAsia="hr-HR"/>
        </w:rPr>
      </w:pPr>
      <w:r w:rsidRPr="00E12BFA">
        <w:rPr>
          <w:rFonts w:cs="Times New Roman" w:eastAsia="Times New Roman"/>
          <w:noProof/>
          <w:szCs w:val="20"/>
          <w:lang w:eastAsia="hr-HR"/>
        </w:rPr>
        <w:t>U  I M E  R E P U B L I K E  H R V A T S K E</w:t>
      </w:r>
    </w:p>
    <w:p w:rsidRDefault="00E12BFA" w:rsidP="00E12BFA" w:rsidR="00E12BFA" w:rsidRPr="00E12BFA">
      <w:pPr>
        <w:overflowPunct w:val="false"/>
        <w:autoSpaceDE w:val="false"/>
        <w:autoSpaceDN w:val="false"/>
        <w:adjustRightInd w:val="false"/>
        <w:spacing w:after="0"/>
        <w:jc w:val="center"/>
        <w:rPr>
          <w:rFonts w:cs="Times New Roman" w:eastAsia="Times New Roman"/>
          <w:noProof/>
          <w:szCs w:val="20"/>
          <w:lang w:eastAsia="hr-HR"/>
        </w:rPr>
      </w:pPr>
    </w:p>
    <w:p w:rsidRDefault="00E12BFA" w:rsidP="00E12BFA" w:rsidR="00E12BFA" w:rsidRPr="00E12BFA">
      <w:pPr>
        <w:overflowPunct w:val="false"/>
        <w:autoSpaceDE w:val="false"/>
        <w:autoSpaceDN w:val="false"/>
        <w:adjustRightInd w:val="false"/>
        <w:spacing w:after="0"/>
        <w:jc w:val="center"/>
        <w:rPr>
          <w:rFonts w:cs="Times New Roman" w:eastAsia="Times New Roman"/>
          <w:noProof/>
          <w:szCs w:val="20"/>
          <w:lang w:eastAsia="hr-HR"/>
        </w:rPr>
      </w:pPr>
      <w:r w:rsidRPr="00E12BFA">
        <w:rPr>
          <w:rFonts w:cs="Times New Roman" w:eastAsia="Times New Roman"/>
          <w:noProof/>
          <w:szCs w:val="20"/>
          <w:lang w:eastAsia="hr-HR"/>
        </w:rPr>
        <w:t>R J E Š E N J E</w:t>
      </w:r>
    </w:p>
    <w:p w:rsidRDefault="00E12BFA" w:rsidP="00E12BFA" w:rsidR="00E12BFA" w:rsidRPr="00E12BFA">
      <w:pPr>
        <w:overflowPunct w:val="false"/>
        <w:autoSpaceDE w:val="false"/>
        <w:autoSpaceDN w:val="false"/>
        <w:adjustRightInd w:val="false"/>
        <w:spacing w:after="0"/>
        <w:outlineLvl w:val="0"/>
        <w:rPr>
          <w:rFonts w:cs="Times New Roman" w:eastAsia="Times New Roman"/>
          <w:noProof/>
          <w:szCs w:val="20"/>
          <w:lang w:eastAsia="hr-HR"/>
        </w:rPr>
      </w:pPr>
    </w:p>
    <w:p w:rsidRDefault="00E12BFA" w:rsidP="00E12BFA" w:rsidR="00E12BFA" w:rsidRPr="00E12BFA">
      <w:pPr>
        <w:overflowPunct w:val="false"/>
        <w:autoSpaceDE w:val="false"/>
        <w:autoSpaceDN w:val="false"/>
        <w:adjustRightInd w:val="false"/>
        <w:spacing w:after="0"/>
        <w:ind w:firstLine="851"/>
        <w:jc w:val="both"/>
        <w:rPr>
          <w:rFonts w:cs="Times New Roman" w:eastAsia="Times New Roman"/>
          <w:noProof/>
          <w:szCs w:val="20"/>
          <w:lang w:eastAsia="hr-HR"/>
        </w:rPr>
      </w:pPr>
      <w:r w:rsidRPr="00E12BFA">
        <w:rPr>
          <w:rFonts w:cs="Times New Roman" w:eastAsia="Times New Roman"/>
          <w:noProof/>
          <w:szCs w:val="20"/>
          <w:lang w:eastAsia="hr-HR"/>
        </w:rPr>
        <w:t xml:space="preserve">Trgovački sud u Bjelovaru, po stečajnoj sutkinji Mariji Petrina Kubica, </w:t>
      </w:r>
      <w:r w:rsidRPr="00E12BFA">
        <w:rPr>
          <w:rFonts w:cs="Times New Roman" w:eastAsia="Times New Roman"/>
          <w:szCs w:val="20"/>
          <w:lang w:eastAsia="hr-HR"/>
        </w:rPr>
        <w:t xml:space="preserve">povodom prijedloga Financijske agencije, OIB: 85821130368, RC ZAGREB, Podružnica Zagreb, Zagreb, Trg svibanjskih žrtava 1995. 1, za otvaranje stečajnog postupka nad dužnikom PETRINJČICA DOM društvo s ograničenom odgovornošću za smještaj, pomoć i njegu, Petrinja, Vladimira </w:t>
      </w:r>
      <w:proofErr w:type="spellStart"/>
      <w:r w:rsidRPr="00E12BFA">
        <w:rPr>
          <w:rFonts w:cs="Times New Roman" w:eastAsia="Times New Roman"/>
          <w:szCs w:val="20"/>
          <w:lang w:eastAsia="hr-HR"/>
        </w:rPr>
        <w:t>Stahuljaka</w:t>
      </w:r>
      <w:proofErr w:type="spellEnd"/>
      <w:r w:rsidRPr="00E12BFA">
        <w:rPr>
          <w:rFonts w:cs="Times New Roman" w:eastAsia="Times New Roman"/>
          <w:szCs w:val="20"/>
          <w:lang w:eastAsia="hr-HR"/>
        </w:rPr>
        <w:t xml:space="preserve"> 1, MBS: 120001282, OIB: 62821173567, 29. lipnja 2018.</w:t>
      </w:r>
      <w:r w:rsidRPr="00E12BFA">
        <w:rPr>
          <w:rFonts w:cs="Times New Roman" w:eastAsia="Times New Roman"/>
          <w:noProof/>
          <w:szCs w:val="20"/>
          <w:lang w:eastAsia="hr-HR"/>
        </w:rPr>
        <w:t xml:space="preserve"> </w:t>
      </w:r>
    </w:p>
    <w:p w:rsidRDefault="00E12BFA" w:rsidP="00E12BFA" w:rsidR="00E12BFA" w:rsidRPr="00E12BFA">
      <w:pPr>
        <w:overflowPunct w:val="false"/>
        <w:autoSpaceDE w:val="false"/>
        <w:autoSpaceDN w:val="false"/>
        <w:adjustRightInd w:val="false"/>
        <w:spacing w:after="0"/>
        <w:outlineLvl w:val="0"/>
        <w:rPr>
          <w:rFonts w:cs="Times New Roman" w:eastAsia="Times New Roman"/>
          <w:noProof/>
          <w:szCs w:val="20"/>
          <w:lang w:eastAsia="hr-HR"/>
        </w:rPr>
      </w:pPr>
    </w:p>
    <w:p w:rsidRDefault="00E12BFA" w:rsidP="00E12BFA" w:rsidR="00E12BFA" w:rsidRPr="00E12BFA">
      <w:pPr>
        <w:overflowPunct w:val="false"/>
        <w:autoSpaceDE w:val="false"/>
        <w:autoSpaceDN w:val="false"/>
        <w:adjustRightInd w:val="false"/>
        <w:spacing w:after="0"/>
        <w:jc w:val="center"/>
        <w:rPr>
          <w:rFonts w:cs="Times New Roman" w:eastAsia="Times New Roman"/>
          <w:szCs w:val="20"/>
          <w:lang w:eastAsia="hr-HR"/>
        </w:rPr>
      </w:pPr>
      <w:r w:rsidRPr="00E12BFA">
        <w:rPr>
          <w:rFonts w:cs="Times New Roman" w:eastAsia="Times New Roman"/>
          <w:szCs w:val="20"/>
          <w:lang w:eastAsia="hr-HR"/>
        </w:rPr>
        <w:t>r i j e š i o   j e</w:t>
      </w:r>
    </w:p>
    <w:p w:rsidRDefault="00E12BFA" w:rsidP="00E12BFA" w:rsidR="00E12BFA" w:rsidRPr="00E12BFA">
      <w:pPr>
        <w:overflowPunct w:val="false"/>
        <w:autoSpaceDE w:val="false"/>
        <w:autoSpaceDN w:val="false"/>
        <w:adjustRightInd w:val="false"/>
        <w:spacing w:after="0"/>
        <w:jc w:val="both"/>
        <w:rPr>
          <w:rFonts w:cs="Times New Roman" w:eastAsia="Times New Roman"/>
          <w:noProof/>
          <w:szCs w:val="20"/>
          <w:lang w:eastAsia="hr-HR"/>
        </w:rPr>
      </w:pPr>
    </w:p>
    <w:p w:rsidRDefault="00E12BFA" w:rsidP="00E12BFA" w:rsidR="00E12BFA" w:rsidRPr="00E12BFA">
      <w:pPr>
        <w:overflowPunct w:val="false"/>
        <w:autoSpaceDE w:val="false"/>
        <w:autoSpaceDN w:val="false"/>
        <w:adjustRightInd w:val="false"/>
        <w:spacing w:after="0"/>
        <w:ind w:firstLine="851"/>
        <w:jc w:val="both"/>
        <w:rPr>
          <w:rFonts w:cs="Times New Roman" w:eastAsia="Times New Roman"/>
          <w:szCs w:val="20"/>
          <w:lang w:eastAsia="hr-HR"/>
        </w:rPr>
      </w:pPr>
      <w:r w:rsidRPr="00E12BFA">
        <w:rPr>
          <w:rFonts w:cs="Times New Roman" w:eastAsia="Times New Roman"/>
          <w:szCs w:val="20"/>
          <w:lang w:eastAsia="hr-HR"/>
        </w:rPr>
        <w:t xml:space="preserve">1. Otvara se stečajni postupak nad dužnikom PETRINJČICA DOM društvo s ograničenom odgovornošću za smještaj, pomoć i njegu, Petrinja, Vladimira </w:t>
      </w:r>
      <w:proofErr w:type="spellStart"/>
      <w:r w:rsidRPr="00E12BFA">
        <w:rPr>
          <w:rFonts w:cs="Times New Roman" w:eastAsia="Times New Roman"/>
          <w:szCs w:val="20"/>
          <w:lang w:eastAsia="hr-HR"/>
        </w:rPr>
        <w:t>Stahuljaka</w:t>
      </w:r>
      <w:proofErr w:type="spellEnd"/>
      <w:r w:rsidRPr="00E12BFA">
        <w:rPr>
          <w:rFonts w:cs="Times New Roman" w:eastAsia="Times New Roman"/>
          <w:szCs w:val="20"/>
          <w:lang w:eastAsia="hr-HR"/>
        </w:rPr>
        <w:t xml:space="preserve"> 1, MBS: 120001282, OIB: 62821173567.</w:t>
      </w:r>
    </w:p>
    <w:p w:rsidRDefault="00E12BFA" w:rsidP="00E12BFA" w:rsidR="00E12BFA" w:rsidRPr="00E12BFA">
      <w:pPr>
        <w:overflowPunct w:val="false"/>
        <w:autoSpaceDE w:val="false"/>
        <w:autoSpaceDN w:val="false"/>
        <w:adjustRightInd w:val="false"/>
        <w:spacing w:after="0"/>
        <w:ind w:firstLine="851"/>
        <w:jc w:val="both"/>
        <w:rPr>
          <w:rFonts w:cs="Times New Roman" w:eastAsia="Times New Roman"/>
          <w:szCs w:val="20"/>
          <w:lang w:eastAsia="hr-HR"/>
        </w:rPr>
      </w:pPr>
    </w:p>
    <w:p w:rsidRDefault="00E12BFA" w:rsidP="00E12BFA" w:rsidR="00E12BFA" w:rsidRPr="00E12BFA">
      <w:pPr>
        <w:overflowPunct w:val="false"/>
        <w:autoSpaceDE w:val="false"/>
        <w:autoSpaceDN w:val="false"/>
        <w:adjustRightInd w:val="false"/>
        <w:spacing w:after="0"/>
        <w:ind w:firstLine="851"/>
        <w:jc w:val="both"/>
        <w:rPr>
          <w:rFonts w:cs="Times New Roman" w:eastAsia="Times New Roman"/>
          <w:szCs w:val="20"/>
          <w:lang w:eastAsia="hr-HR"/>
        </w:rPr>
      </w:pPr>
      <w:r w:rsidRPr="00E12BFA">
        <w:rPr>
          <w:rFonts w:cs="Times New Roman" w:eastAsia="Times New Roman"/>
          <w:szCs w:val="20"/>
          <w:lang w:eastAsia="hr-HR"/>
        </w:rPr>
        <w:t xml:space="preserve">2. Za stečajnog upravitelja imenuje se </w:t>
      </w:r>
      <w:r w:rsidRPr="00E12BFA">
        <w:rPr>
          <w:rFonts w:cs="Times New Roman" w:eastAsia="Times New Roman"/>
          <w:noProof/>
          <w:lang w:eastAsia="hr-HR"/>
        </w:rPr>
        <w:t>Mijo Rončević, dipl. ekonomist iz Osijeka, Vijenac Ivana Meštrovića 74, OIB: 97146101285.</w:t>
      </w:r>
    </w:p>
    <w:p w:rsidRDefault="00E12BFA" w:rsidP="00E12BFA" w:rsidR="00E12BFA" w:rsidRPr="00E12BFA">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E12BFA" w:rsidP="00E12BFA" w:rsidR="00E12BFA" w:rsidRPr="00E12BFA">
      <w:pPr>
        <w:overflowPunct w:val="false"/>
        <w:autoSpaceDE w:val="false"/>
        <w:autoSpaceDN w:val="false"/>
        <w:adjustRightInd w:val="false"/>
        <w:spacing w:after="0"/>
        <w:ind w:firstLine="851"/>
        <w:jc w:val="both"/>
        <w:rPr>
          <w:rFonts w:cs="Times New Roman" w:eastAsia="Times New Roman"/>
          <w:szCs w:val="20"/>
          <w:lang w:eastAsia="hr-HR"/>
        </w:rPr>
      </w:pPr>
      <w:r w:rsidRPr="00E12BFA">
        <w:rPr>
          <w:rFonts w:cs="Times New Roman" w:eastAsia="Times New Roman"/>
          <w:szCs w:val="20"/>
          <w:lang w:eastAsia="hr-HR"/>
        </w:rPr>
        <w:t xml:space="preserve">3. Zaključuje se stečajni postupak nad dužnikom PETRINJČICA DOM društvo s ograničenom odgovornošću za smještaj, pomoć i njegu, Petrinja, Vladimira </w:t>
      </w:r>
      <w:proofErr w:type="spellStart"/>
      <w:r w:rsidRPr="00E12BFA">
        <w:rPr>
          <w:rFonts w:cs="Times New Roman" w:eastAsia="Times New Roman"/>
          <w:szCs w:val="20"/>
          <w:lang w:eastAsia="hr-HR"/>
        </w:rPr>
        <w:t>Stahuljaka</w:t>
      </w:r>
      <w:proofErr w:type="spellEnd"/>
      <w:r w:rsidRPr="00E12BFA">
        <w:rPr>
          <w:rFonts w:cs="Times New Roman" w:eastAsia="Times New Roman"/>
          <w:szCs w:val="20"/>
          <w:lang w:eastAsia="hr-HR"/>
        </w:rPr>
        <w:t xml:space="preserve"> 1, MBS: 120001282, OIB: 62821173567.</w:t>
      </w:r>
    </w:p>
    <w:p w:rsidRDefault="00E12BFA" w:rsidP="00E12BFA" w:rsidR="00E12BFA" w:rsidRPr="00E12BFA">
      <w:pPr>
        <w:overflowPunct w:val="false"/>
        <w:autoSpaceDE w:val="false"/>
        <w:autoSpaceDN w:val="false"/>
        <w:adjustRightInd w:val="false"/>
        <w:spacing w:after="0"/>
        <w:ind w:firstLine="851"/>
        <w:jc w:val="both"/>
        <w:rPr>
          <w:rFonts w:cs="Times New Roman" w:eastAsia="Times New Roman"/>
          <w:szCs w:val="20"/>
          <w:lang w:eastAsia="hr-HR"/>
        </w:rPr>
      </w:pPr>
    </w:p>
    <w:p w:rsidRDefault="00E12BFA" w:rsidP="00E12BFA" w:rsidR="00E12BFA" w:rsidRPr="00E12BFA">
      <w:pPr>
        <w:overflowPunct w:val="false"/>
        <w:autoSpaceDE w:val="false"/>
        <w:autoSpaceDN w:val="false"/>
        <w:adjustRightInd w:val="false"/>
        <w:spacing w:after="0"/>
        <w:ind w:firstLine="851"/>
        <w:jc w:val="both"/>
        <w:rPr>
          <w:rFonts w:cs="Times New Roman" w:eastAsia="Times New Roman"/>
          <w:szCs w:val="20"/>
          <w:lang w:eastAsia="hr-HR"/>
        </w:rPr>
      </w:pPr>
      <w:r w:rsidRPr="00E12BFA">
        <w:rPr>
          <w:rFonts w:cs="Times New Roman" w:eastAsia="Times New Roman"/>
          <w:szCs w:val="20"/>
          <w:lang w:eastAsia="hr-HR"/>
        </w:rPr>
        <w:t>4. Stečajni postupak je otvoren i zaključen s danom 29. lipnja 2018. u 14,30 sati, kada je ovo rješenje objavljeno na e-oglasnoj ploči ovoga suda.</w:t>
      </w:r>
    </w:p>
    <w:p w:rsidRDefault="00E12BFA" w:rsidP="00E12BFA" w:rsidR="00E12BFA" w:rsidRPr="00E12BFA">
      <w:pPr>
        <w:overflowPunct w:val="false"/>
        <w:autoSpaceDE w:val="false"/>
        <w:autoSpaceDN w:val="false"/>
        <w:adjustRightInd w:val="false"/>
        <w:spacing w:after="0"/>
        <w:ind w:firstLine="851"/>
        <w:jc w:val="both"/>
        <w:rPr>
          <w:rFonts w:cs="Times New Roman" w:eastAsia="Times New Roman"/>
          <w:szCs w:val="20"/>
          <w:lang w:eastAsia="hr-HR"/>
        </w:rPr>
      </w:pPr>
    </w:p>
    <w:p w:rsidRDefault="00E12BFA" w:rsidP="00E12BFA" w:rsidR="00E12BFA" w:rsidRPr="00E12BFA">
      <w:pPr>
        <w:overflowPunct w:val="false"/>
        <w:autoSpaceDE w:val="false"/>
        <w:autoSpaceDN w:val="false"/>
        <w:adjustRightInd w:val="false"/>
        <w:spacing w:after="0"/>
        <w:ind w:firstLine="851"/>
        <w:jc w:val="both"/>
        <w:rPr>
          <w:rFonts w:cs="Times New Roman" w:eastAsia="Calibri"/>
          <w:szCs w:val="20"/>
          <w:lang w:eastAsia="hr-HR"/>
        </w:rPr>
      </w:pPr>
      <w:r w:rsidRPr="00E12BFA">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E12BFA" w:rsidP="00E12BFA" w:rsidR="00E12BFA" w:rsidRPr="00E12BFA">
      <w:pPr>
        <w:overflowPunct w:val="false"/>
        <w:autoSpaceDE w:val="false"/>
        <w:autoSpaceDN w:val="false"/>
        <w:adjustRightInd w:val="false"/>
        <w:spacing w:after="0"/>
        <w:ind w:firstLine="851"/>
        <w:rPr>
          <w:rFonts w:cs="Times New Roman" w:eastAsia="Times New Roman"/>
          <w:szCs w:val="20"/>
          <w:lang w:eastAsia="hr-HR"/>
        </w:rPr>
      </w:pPr>
    </w:p>
    <w:p w:rsidRDefault="00E12BFA" w:rsidP="00E12BFA" w:rsidR="00E12BFA" w:rsidRPr="00E12BFA">
      <w:pPr>
        <w:overflowPunct w:val="false"/>
        <w:autoSpaceDE w:val="false"/>
        <w:autoSpaceDN w:val="false"/>
        <w:adjustRightInd w:val="false"/>
        <w:spacing w:after="0"/>
        <w:ind w:firstLine="851"/>
        <w:jc w:val="both"/>
        <w:rPr>
          <w:rFonts w:cs="Times New Roman" w:eastAsia="Times New Roman"/>
          <w:szCs w:val="20"/>
          <w:lang w:eastAsia="hr-HR"/>
        </w:rPr>
      </w:pPr>
      <w:r w:rsidRPr="00E12BFA">
        <w:rPr>
          <w:rFonts w:cs="Times New Roman" w:eastAsia="Times New Roman"/>
          <w:szCs w:val="20"/>
          <w:lang w:eastAsia="hr-HR"/>
        </w:rPr>
        <w:t>6. Nakon pravomoćnosti ovoga rješenja stečajni dužnik će se brisati iz sudskog registra.</w:t>
      </w:r>
    </w:p>
    <w:p w:rsidRDefault="00E12BFA" w:rsidP="00E12BFA" w:rsidR="00E12BFA" w:rsidRPr="00E12BFA">
      <w:pPr>
        <w:overflowPunct w:val="false"/>
        <w:autoSpaceDE w:val="false"/>
        <w:autoSpaceDN w:val="false"/>
        <w:adjustRightInd w:val="false"/>
        <w:spacing w:after="0"/>
        <w:ind w:firstLine="851"/>
        <w:rPr>
          <w:rFonts w:cs="Times New Roman" w:eastAsia="Times New Roman"/>
          <w:szCs w:val="20"/>
          <w:lang w:eastAsia="hr-HR"/>
        </w:rPr>
      </w:pPr>
    </w:p>
    <w:p w:rsidRDefault="00E12BFA" w:rsidP="00E12BFA" w:rsidR="00E12BFA" w:rsidRPr="00E12BFA">
      <w:pPr>
        <w:overflowPunct w:val="false"/>
        <w:autoSpaceDE w:val="false"/>
        <w:autoSpaceDN w:val="false"/>
        <w:adjustRightInd w:val="false"/>
        <w:spacing w:after="0"/>
        <w:jc w:val="center"/>
        <w:outlineLvl w:val="0"/>
        <w:rPr>
          <w:rFonts w:cs="Times New Roman" w:eastAsia="Times New Roman"/>
          <w:noProof/>
          <w:szCs w:val="20"/>
          <w:lang w:eastAsia="hr-HR"/>
        </w:rPr>
      </w:pPr>
      <w:r w:rsidRPr="00E12BFA">
        <w:rPr>
          <w:rFonts w:cs="Times New Roman" w:eastAsia="Times New Roman"/>
          <w:noProof/>
          <w:szCs w:val="20"/>
          <w:lang w:eastAsia="hr-HR"/>
        </w:rPr>
        <w:t>Obrazloženje</w:t>
      </w:r>
    </w:p>
    <w:p w:rsidRDefault="00E12BFA" w:rsidP="00E12BFA" w:rsidR="00E12BFA" w:rsidRPr="00E12BFA">
      <w:pPr>
        <w:overflowPunct w:val="false"/>
        <w:autoSpaceDE w:val="false"/>
        <w:autoSpaceDN w:val="false"/>
        <w:adjustRightInd w:val="false"/>
        <w:spacing w:after="0"/>
        <w:jc w:val="both"/>
        <w:rPr>
          <w:rFonts w:cs="Times New Roman" w:eastAsia="Times New Roman"/>
          <w:szCs w:val="20"/>
          <w:lang w:eastAsia="hr-HR"/>
        </w:rPr>
      </w:pPr>
    </w:p>
    <w:p w:rsidRDefault="00E12BFA" w:rsidP="00E12BFA" w:rsidR="00E12BFA" w:rsidRPr="00E12BFA">
      <w:pPr>
        <w:overflowPunct w:val="false"/>
        <w:autoSpaceDE w:val="false"/>
        <w:autoSpaceDN w:val="false"/>
        <w:adjustRightInd w:val="false"/>
        <w:spacing w:after="0"/>
        <w:ind w:firstLine="851"/>
        <w:jc w:val="both"/>
        <w:rPr>
          <w:rFonts w:cs="Times New Roman" w:eastAsia="Times New Roman"/>
          <w:szCs w:val="20"/>
          <w:lang w:eastAsia="hr-HR"/>
        </w:rPr>
      </w:pPr>
      <w:r w:rsidRPr="00E12BFA">
        <w:rPr>
          <w:rFonts w:cs="Times New Roman" w:eastAsia="Times New Roman"/>
          <w:noProof/>
          <w:szCs w:val="20"/>
          <w:lang w:eastAsia="hr-HR"/>
        </w:rPr>
        <w:t>Financijska agencija je, na temelju čl.444. st.2. Stečajnog zakona ("Narodne novine" br. 71/15 i 104/17, dalje: SZ), 6. lipnja 2016. Trgovačkom sudu u Zagrebu podnijela prijedlog za otvaranje stečajnog postupka nad dužnikom</w:t>
      </w:r>
      <w:r w:rsidRPr="00E12BFA">
        <w:rPr>
          <w:rFonts w:cs="Times New Roman" w:eastAsia="Times New Roman"/>
          <w:szCs w:val="20"/>
          <w:lang w:eastAsia="hr-HR"/>
        </w:rPr>
        <w:t xml:space="preserve"> PETRINJČICA DOM društvo s ograničenom odgovornošću za smještaj, pomoć i njegu, Petrinja, koji je zaprimljen pod brojem St-</w:t>
      </w:r>
      <w:r w:rsidRPr="00E12BFA">
        <w:rPr>
          <w:rFonts w:cs="Times New Roman" w:eastAsia="Times New Roman"/>
          <w:szCs w:val="20"/>
          <w:lang w:eastAsia="hr-HR"/>
        </w:rPr>
        <w:lastRenderedPageBreak/>
        <w:t xml:space="preserve">4753/2016 i sukladno rješenju predsjednika Visokog trgovačkog suda Republike Hrvatske poslovni broj Su-525/17-9 od 26. lipnja 2017. ustupljen je ovom sudu na daljnji postupak. </w:t>
      </w:r>
    </w:p>
    <w:p w:rsidRDefault="00E12BFA" w:rsidP="00E12BFA" w:rsidR="00E12BFA" w:rsidRPr="00E12BFA">
      <w:pPr>
        <w:overflowPunct w:val="false"/>
        <w:autoSpaceDE w:val="false"/>
        <w:autoSpaceDN w:val="false"/>
        <w:adjustRightInd w:val="false"/>
        <w:spacing w:after="0"/>
        <w:ind w:firstLine="851"/>
        <w:jc w:val="both"/>
        <w:rPr>
          <w:rFonts w:cs="Times New Roman" w:eastAsia="Times New Roman"/>
          <w:noProof/>
          <w:szCs w:val="20"/>
          <w:lang w:eastAsia="hr-HR"/>
        </w:rPr>
      </w:pPr>
      <w:r w:rsidRPr="00E12BFA">
        <w:rPr>
          <w:rFonts w:cs="Times New Roman" w:eastAsia="Times New Roman"/>
          <w:szCs w:val="20"/>
          <w:lang w:eastAsia="hr-HR"/>
        </w:rPr>
        <w:t>Iz prijedloga je proizlazilo da je dužnik 1. rujna 2015. u Očevidniku redoslijeda osnova za plaćanje imao evidentirane neizvršene osnove za plaćanje u neprekinutom razdoblju od 3192 dana, u ukupnom iznosu od 622.802,69 kn, u koji iznos je uračunata kamata i naknada Financijske agencije za provedbu ovrhe na novčanim sredstvima te da je imao 5</w:t>
      </w:r>
      <w:r w:rsidRPr="00E12BFA">
        <w:rPr>
          <w:rFonts w:cs="Times New Roman" w:eastAsia="Times New Roman"/>
          <w:noProof/>
          <w:szCs w:val="20"/>
          <w:lang w:eastAsia="hr-HR"/>
        </w:rPr>
        <w:t xml:space="preserve"> zaposlenih.</w:t>
      </w:r>
    </w:p>
    <w:p w:rsidRDefault="00E12BFA" w:rsidP="00E12BFA" w:rsidR="00E12BFA" w:rsidRPr="00E12BFA">
      <w:pPr>
        <w:overflowPunct w:val="false"/>
        <w:autoSpaceDE w:val="false"/>
        <w:autoSpaceDN w:val="false"/>
        <w:adjustRightInd w:val="false"/>
        <w:spacing w:after="0"/>
        <w:ind w:firstLine="851"/>
        <w:jc w:val="both"/>
        <w:rPr>
          <w:rFonts w:cs="Times New Roman" w:eastAsia="Times New Roman"/>
          <w:szCs w:val="20"/>
          <w:lang w:eastAsia="hr-HR"/>
        </w:rPr>
      </w:pPr>
    </w:p>
    <w:p w:rsidRDefault="00E12BFA" w:rsidP="00E12BFA" w:rsidR="00E12BFA" w:rsidRPr="00E12BFA">
      <w:pPr>
        <w:overflowPunct w:val="false"/>
        <w:autoSpaceDE w:val="false"/>
        <w:autoSpaceDN w:val="false"/>
        <w:adjustRightInd w:val="false"/>
        <w:spacing w:after="0"/>
        <w:ind w:firstLine="851"/>
        <w:jc w:val="both"/>
        <w:rPr>
          <w:rFonts w:cs="Times New Roman" w:eastAsia="Times New Roman"/>
          <w:noProof/>
          <w:szCs w:val="20"/>
          <w:lang w:eastAsia="hr-HR"/>
        </w:rPr>
      </w:pPr>
      <w:r w:rsidRPr="00E12BFA">
        <w:rPr>
          <w:rFonts w:cs="Times New Roman" w:eastAsia="Times New Roman"/>
          <w:szCs w:val="20"/>
          <w:lang w:eastAsia="hr-HR"/>
        </w:rPr>
        <w:t>Temeljem čl.115. st.1. SZ-a sud je rješenjem od 11. prosinca 2017.</w:t>
      </w:r>
      <w:r w:rsidRPr="00E12BFA">
        <w:rPr>
          <w:rFonts w:cs="Times New Roman" w:eastAsia="Times New Roman"/>
          <w:noProof/>
          <w:szCs w:val="20"/>
          <w:lang w:eastAsia="hr-HR"/>
        </w:rPr>
        <w:t xml:space="preserve"> </w:t>
      </w:r>
      <w:r w:rsidRPr="00E12BFA">
        <w:rPr>
          <w:rFonts w:cs="Times New Roman" w:eastAsia="Times New Roman"/>
          <w:szCs w:val="20"/>
          <w:lang w:eastAsia="hr-HR"/>
        </w:rPr>
        <w:t>pokrenuo  prethodni postupak radi utvrđivanja pretpostavki za otvaranje stečajnog postupka, zakazano je ročište radi izjašnjenja o prijedlogu i rasprave o uvjetima za otvaranje stečajnog postupka i zakonskom zastupniku dužnika je, sukladno čl.117. st.2. SZ, naloženo da sastavi i podnese sudu pisano izvješće o financijsko-gospodarskom stanju dužnika.</w:t>
      </w:r>
    </w:p>
    <w:p w:rsidRDefault="00E12BFA" w:rsidP="00E12BFA" w:rsidR="00E12BFA" w:rsidRPr="00E12BFA">
      <w:pPr>
        <w:overflowPunct w:val="false"/>
        <w:autoSpaceDE w:val="false"/>
        <w:autoSpaceDN w:val="false"/>
        <w:adjustRightInd w:val="false"/>
        <w:spacing w:after="0"/>
        <w:ind w:firstLine="851"/>
        <w:jc w:val="both"/>
        <w:rPr>
          <w:rFonts w:cs="Times New Roman" w:eastAsia="Times New Roman"/>
          <w:szCs w:val="20"/>
          <w:lang w:eastAsia="hr-HR"/>
        </w:rPr>
      </w:pPr>
    </w:p>
    <w:p w:rsidRDefault="00E12BFA" w:rsidP="00E12BFA" w:rsidR="00E12BFA" w:rsidRPr="00E12BFA">
      <w:pPr>
        <w:overflowPunct w:val="false"/>
        <w:autoSpaceDE w:val="false"/>
        <w:autoSpaceDN w:val="false"/>
        <w:adjustRightInd w:val="false"/>
        <w:spacing w:after="0"/>
        <w:ind w:firstLine="851"/>
        <w:jc w:val="both"/>
        <w:rPr>
          <w:rFonts w:cs="Times New Roman" w:eastAsia="Times New Roman"/>
          <w:szCs w:val="20"/>
          <w:lang w:eastAsia="hr-HR"/>
        </w:rPr>
      </w:pPr>
      <w:r w:rsidRPr="00E12BFA">
        <w:rPr>
          <w:rFonts w:cs="Times New Roman" w:eastAsia="Times New Roman"/>
          <w:szCs w:val="20"/>
          <w:lang w:eastAsia="hr-HR"/>
        </w:rPr>
        <w:t xml:space="preserve">Zakonski zastupnik dužnika Đuro Borojević dostavio je sudu 29. prosinca 2017. izvješće o financijsko-gospodarskom stanju dužnika iz kojeg proizlazi da dužnik ima imovinu – pokretnine knjigovodstvene vrijednosti od 1.170,42 kn i potraživanja od HZZO-a u iznosu od 4.380,56 kn. </w:t>
      </w:r>
    </w:p>
    <w:p w:rsidRDefault="00E12BFA" w:rsidP="00E12BFA" w:rsidR="00E12BFA" w:rsidRPr="00E12BFA">
      <w:pPr>
        <w:overflowPunct w:val="false"/>
        <w:autoSpaceDE w:val="false"/>
        <w:autoSpaceDN w:val="false"/>
        <w:adjustRightInd w:val="false"/>
        <w:spacing w:after="0"/>
        <w:ind w:firstLine="851"/>
        <w:jc w:val="both"/>
        <w:rPr>
          <w:rFonts w:cs="Times New Roman" w:eastAsia="Times New Roman"/>
          <w:szCs w:val="20"/>
          <w:lang w:eastAsia="hr-HR"/>
        </w:rPr>
      </w:pPr>
    </w:p>
    <w:p w:rsidRDefault="00E12BFA" w:rsidP="00E12BFA" w:rsidR="00E12BFA" w:rsidRPr="00E12BFA">
      <w:pPr>
        <w:overflowPunct w:val="false"/>
        <w:autoSpaceDE w:val="false"/>
        <w:autoSpaceDN w:val="false"/>
        <w:adjustRightInd w:val="false"/>
        <w:spacing w:after="0"/>
        <w:ind w:firstLine="851"/>
        <w:jc w:val="both"/>
        <w:rPr>
          <w:rFonts w:cs="Times New Roman" w:eastAsia="Times New Roman"/>
          <w:szCs w:val="20"/>
          <w:lang w:eastAsia="hr-HR"/>
        </w:rPr>
      </w:pPr>
      <w:r w:rsidRPr="00E12BFA">
        <w:rPr>
          <w:rFonts w:cs="Times New Roman" w:eastAsia="Times New Roman"/>
          <w:szCs w:val="20"/>
          <w:lang w:eastAsia="hr-HR"/>
        </w:rPr>
        <w:t>Na ročištu 9. siječnja 2018. zakonski zastupnici dužnika Đuro Borojević i Marica Borojević nisu se protivili otvaranju stečajnog postupka nad dužnikom. Naveli su da je cjelokupna imovina dužnika izgorjela u požaru 7. prosinca 2017. Kao dokaz navedenom dostavili su na spis Izvješće Vatrogasne postrojbe grada Petrinje od 8. prosinca 2017. (list 18-20).</w:t>
      </w:r>
    </w:p>
    <w:p w:rsidRDefault="00E12BFA" w:rsidP="00E12BFA" w:rsidR="00E12BFA" w:rsidRPr="00E12BFA">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E12BFA" w:rsidP="00E12BFA" w:rsidR="00E12BFA" w:rsidRPr="00E12BFA">
      <w:pPr>
        <w:overflowPunct w:val="false"/>
        <w:autoSpaceDE w:val="false"/>
        <w:autoSpaceDN w:val="false"/>
        <w:adjustRightInd w:val="false"/>
        <w:spacing w:after="0"/>
        <w:ind w:firstLine="851"/>
        <w:jc w:val="both"/>
        <w:rPr>
          <w:rFonts w:cs="Times New Roman" w:eastAsia="Times New Roman"/>
          <w:noProof/>
          <w:szCs w:val="20"/>
          <w:lang w:eastAsia="hr-HR"/>
        </w:rPr>
      </w:pPr>
      <w:r w:rsidRPr="00E12BFA">
        <w:rPr>
          <w:rFonts w:cs="Times New Roman" w:eastAsia="Times New Roman"/>
          <w:noProof/>
          <w:szCs w:val="20"/>
          <w:lang w:eastAsia="hr-HR"/>
        </w:rPr>
        <w:t>Temeljem čl.</w:t>
      </w:r>
      <w:r w:rsidRPr="00E12BFA">
        <w:rPr>
          <w:rFonts w:cs="Times New Roman" w:eastAsia="Times New Roman"/>
          <w:szCs w:val="20"/>
          <w:lang w:eastAsia="hr-HR"/>
        </w:rPr>
        <w:t xml:space="preserve">118. SZ-a sud je rješenjem od 13. veljače 2018. po službenoj dužnosti odredio mjeru osiguranja imenovanjem privremenog stečajnog upravitelja, kojem je naloženo provesti potrebne radnje radi utvrđivanja </w:t>
      </w:r>
      <w:r w:rsidRPr="00E12BFA">
        <w:rPr>
          <w:rFonts w:cs="Times New Roman" w:eastAsia="Times New Roman"/>
          <w:noProof/>
          <w:szCs w:val="20"/>
          <w:lang w:eastAsia="hr-HR"/>
        </w:rPr>
        <w:t>mogu li se imovinom dužnika pokriti troškovi postupka.</w:t>
      </w:r>
    </w:p>
    <w:p w:rsidRDefault="00E12BFA" w:rsidP="00E12BFA" w:rsidR="00E12BFA" w:rsidRPr="00E12BFA">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E12BFA" w:rsidP="00E12BFA" w:rsidR="00E12BFA" w:rsidRPr="00E12BFA">
      <w:pPr>
        <w:overflowPunct w:val="false"/>
        <w:autoSpaceDE w:val="false"/>
        <w:autoSpaceDN w:val="false"/>
        <w:adjustRightInd w:val="false"/>
        <w:spacing w:after="0"/>
        <w:ind w:firstLine="851"/>
        <w:jc w:val="both"/>
        <w:rPr>
          <w:rFonts w:cs="Times New Roman" w:eastAsia="Times New Roman"/>
          <w:szCs w:val="20"/>
          <w:lang w:eastAsia="hr-HR"/>
        </w:rPr>
      </w:pPr>
      <w:r w:rsidRPr="00E12BFA">
        <w:rPr>
          <w:rFonts w:cs="Times New Roman" w:eastAsia="Times New Roman"/>
          <w:szCs w:val="20"/>
          <w:lang w:eastAsia="hr-HR"/>
        </w:rPr>
        <w:t>Privremeni stečajni upravitelj Mijo Rončević iz Osijeka je podnio 7. ožujka 2018. sudu pisano izvješće (list 23-28) iz kojeg je proizlazilo da dužnik nema u vlasništvu nekretnine, dok je pokretna imovina dužnika knjigovodstvene vrijednosti od 1.170,42 kn, a postoje i potraživanja dužnika od Hrvatskog zavoda za zdravstveno osiguranje u iznosu od 4.380,56 kn. Po procjeni privremenog stečajnog upravitelja dužnik nema imovinu dostatnu za pokriće troškova prethodnog i otvorenog stečajnog postupka, koji bi, za 12 mjeseci trajanja postupka iznosili oko 8.975,00 kn, a odnosili bi se na izradu pečata (150,00 kn), knjigovodstvene troškove (4.800,00 kn), nagradu stečajnom upravitelju (3.225,00 kn) i materijalne troškove kancelarijskog materijala i poštarine (800,00 kn).</w:t>
      </w:r>
    </w:p>
    <w:p w:rsidRDefault="00E12BFA" w:rsidP="00E12BFA" w:rsidR="00E12BFA" w:rsidRPr="00E12BFA">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E12BFA" w:rsidP="00E12BFA" w:rsidR="00E12BFA" w:rsidRPr="00E12BFA">
      <w:pPr>
        <w:overflowPunct w:val="false"/>
        <w:autoSpaceDE w:val="false"/>
        <w:autoSpaceDN w:val="false"/>
        <w:adjustRightInd w:val="false"/>
        <w:spacing w:after="0"/>
        <w:ind w:firstLine="851"/>
        <w:jc w:val="both"/>
        <w:rPr>
          <w:rFonts w:cs="Times New Roman" w:eastAsia="Times New Roman"/>
          <w:szCs w:val="20"/>
          <w:lang w:eastAsia="hr-HR"/>
        </w:rPr>
      </w:pPr>
      <w:r w:rsidRPr="00E12BFA">
        <w:rPr>
          <w:rFonts w:cs="Times New Roman" w:eastAsia="Times New Roman"/>
          <w:noProof/>
          <w:szCs w:val="20"/>
          <w:lang w:eastAsia="hr-HR"/>
        </w:rPr>
        <w:t xml:space="preserve">Temeljem izvješća privremenog stečajnog upravitelja i navoda zakonskih zastupnika dužnika sud je utvrdio da </w:t>
      </w:r>
      <w:r w:rsidRPr="00E12BFA">
        <w:rPr>
          <w:rFonts w:cs="Times New Roman" w:eastAsia="Times New Roman"/>
          <w:szCs w:val="20"/>
          <w:lang w:eastAsia="hr-HR"/>
        </w:rPr>
        <w:t xml:space="preserve">dužnik ne raspolaže imovinom koja bi bila dovoljna za namirenje troškova prethodnog i stečajnog postupka te su ispunjeni uvjeti za otvaranje i zaključenje stečajnog postupka. Stoga je, sukladno odredbi čl.132. st.1. SZ-a, rješenjem od 5. lipnja 2018., </w:t>
      </w:r>
      <w:r w:rsidRPr="00E12BFA">
        <w:rPr>
          <w:rFonts w:cs="Times New Roman" w:eastAsia="Times New Roman"/>
          <w:noProof/>
          <w:szCs w:val="20"/>
          <w:lang w:eastAsia="hr-HR"/>
        </w:rPr>
        <w:t xml:space="preserve">pozvao </w:t>
      </w:r>
      <w:r w:rsidRPr="00E12BFA">
        <w:rPr>
          <w:rFonts w:cs="Times New Roman" w:eastAsia="Times New Roman"/>
          <w:szCs w:val="20"/>
          <w:lang w:eastAsia="hr-HR"/>
        </w:rPr>
        <w:t>osobe koje imaju interes za provedbom stečajnog postupka da u roku od 15 dana uplate predujam za namirenje troškova stečajnog postupka u iznosu od 8.500,00 kn, uz upozorenje da će, ukoliko predujam ne bude plaćen u roku, donijeti rješenje o otvaranju i zaključenju stečajnog postupka nad dužnikom.</w:t>
      </w:r>
    </w:p>
    <w:p w:rsidRDefault="00E12BFA" w:rsidP="00E12BFA" w:rsidR="00E12BFA" w:rsidRPr="00E12BFA">
      <w:pPr>
        <w:overflowPunct w:val="false"/>
        <w:autoSpaceDE w:val="false"/>
        <w:autoSpaceDN w:val="false"/>
        <w:adjustRightInd w:val="false"/>
        <w:spacing w:after="0"/>
        <w:ind w:firstLine="851"/>
        <w:jc w:val="both"/>
        <w:rPr>
          <w:rFonts w:cs="Times New Roman" w:eastAsia="Times New Roman"/>
          <w:szCs w:val="20"/>
          <w:lang w:eastAsia="hr-HR"/>
        </w:rPr>
      </w:pPr>
    </w:p>
    <w:p w:rsidRDefault="00E12BFA" w:rsidP="00E12BFA" w:rsidR="00E12BFA" w:rsidRPr="00E12BFA">
      <w:pPr>
        <w:overflowPunct w:val="false"/>
        <w:autoSpaceDE w:val="false"/>
        <w:autoSpaceDN w:val="false"/>
        <w:adjustRightInd w:val="false"/>
        <w:spacing w:after="0"/>
        <w:ind w:firstLine="851"/>
        <w:jc w:val="both"/>
        <w:rPr>
          <w:rFonts w:cs="Times New Roman" w:eastAsia="Times New Roman"/>
          <w:szCs w:val="20"/>
          <w:lang w:eastAsia="hr-HR"/>
        </w:rPr>
      </w:pPr>
      <w:r w:rsidRPr="00E12BFA">
        <w:rPr>
          <w:rFonts w:cs="Times New Roman" w:eastAsia="Times New Roman"/>
          <w:szCs w:val="20"/>
          <w:lang w:eastAsia="hr-HR"/>
        </w:rPr>
        <w:t>U roku od 15 dana nitko od osoba koje imaju pravni interes za vođenje stečajnog postupka nije uplatio predujam za namirenje troškova stečajnog postupka.</w:t>
      </w:r>
    </w:p>
    <w:p w:rsidRDefault="00E12BFA" w:rsidP="00E12BFA" w:rsidR="00E12BFA" w:rsidRPr="00E12BFA">
      <w:pPr>
        <w:overflowPunct w:val="false"/>
        <w:autoSpaceDE w:val="false"/>
        <w:autoSpaceDN w:val="false"/>
        <w:adjustRightInd w:val="false"/>
        <w:spacing w:after="0"/>
        <w:ind w:firstLine="851"/>
        <w:jc w:val="both"/>
        <w:rPr>
          <w:rFonts w:cs="Times New Roman" w:eastAsia="Times New Roman"/>
          <w:szCs w:val="20"/>
          <w:lang w:eastAsia="hr-HR"/>
        </w:rPr>
      </w:pPr>
    </w:p>
    <w:p w:rsidRDefault="00E12BFA" w:rsidP="00E12BFA" w:rsidR="00E12BFA" w:rsidRPr="00E12BFA">
      <w:pPr>
        <w:overflowPunct w:val="false"/>
        <w:autoSpaceDE w:val="false"/>
        <w:autoSpaceDN w:val="false"/>
        <w:adjustRightInd w:val="false"/>
        <w:spacing w:after="0"/>
        <w:ind w:firstLine="851"/>
        <w:jc w:val="both"/>
        <w:rPr>
          <w:rFonts w:cs="Times New Roman" w:eastAsia="Times New Roman"/>
          <w:szCs w:val="20"/>
          <w:lang w:eastAsia="hr-HR"/>
        </w:rPr>
      </w:pPr>
      <w:r w:rsidRPr="00E12BFA">
        <w:rPr>
          <w:rFonts w:cs="Times New Roman" w:eastAsia="Times New Roman"/>
          <w:szCs w:val="20"/>
          <w:lang w:eastAsia="hr-HR"/>
        </w:rPr>
        <w:t xml:space="preserve">Temeljem podataka Financijske agencije iz prijedloga za otvaranje stečajnog postupka o blokadi i navoda zakonskih zastupnika dužnika danih na ročištu 9. siječnja 2018.  sud utvrđuje da je ispunjen stečajni razlog nesposobnosti za plaćanje iz čl.6. SZ-a. </w:t>
      </w:r>
    </w:p>
    <w:p w:rsidRDefault="00E12BFA" w:rsidP="00E12BFA" w:rsidR="00E12BFA" w:rsidRPr="00E12BFA">
      <w:pPr>
        <w:overflowPunct w:val="false"/>
        <w:autoSpaceDE w:val="false"/>
        <w:autoSpaceDN w:val="false"/>
        <w:adjustRightInd w:val="false"/>
        <w:spacing w:after="0"/>
        <w:ind w:firstLine="851"/>
        <w:jc w:val="both"/>
        <w:rPr>
          <w:rFonts w:cs="Times New Roman" w:eastAsia="Times New Roman"/>
          <w:szCs w:val="20"/>
          <w:lang w:eastAsia="hr-HR"/>
        </w:rPr>
      </w:pPr>
    </w:p>
    <w:p w:rsidRDefault="00E12BFA" w:rsidP="00E12BFA" w:rsidR="00E12BFA" w:rsidRPr="00E12BFA">
      <w:pPr>
        <w:overflowPunct w:val="false"/>
        <w:autoSpaceDE w:val="false"/>
        <w:autoSpaceDN w:val="false"/>
        <w:adjustRightInd w:val="false"/>
        <w:spacing w:after="0"/>
        <w:ind w:firstLine="851"/>
        <w:jc w:val="both"/>
        <w:rPr>
          <w:rFonts w:cs="Times New Roman" w:eastAsia="Times New Roman"/>
          <w:szCs w:val="20"/>
          <w:lang w:eastAsia="hr-HR"/>
        </w:rPr>
      </w:pPr>
      <w:r w:rsidRPr="00E12BFA">
        <w:rPr>
          <w:rFonts w:cs="Times New Roman" w:eastAsia="Times New Roman"/>
          <w:szCs w:val="20"/>
          <w:lang w:eastAsia="hr-HR"/>
        </w:rPr>
        <w:t>S obzirom da dužnik ne raspolaže imovinom kojom bi se mogli namiriti troškovi stečajnog postupka, ispunjeni su uvjeti za otvaranje i zaključenje stečajnog postupka jer stečajna masa nije dovoljna za namirenje troškova toga postupka i sud je, temeljem odredbe čl.132. st.1. i 2. SZ-a, riješio kao u izreci.</w:t>
      </w:r>
    </w:p>
    <w:p w:rsidRDefault="00E12BFA" w:rsidP="00E12BFA" w:rsidR="00E12BFA" w:rsidRPr="00E12BFA">
      <w:pPr>
        <w:overflowPunct w:val="false"/>
        <w:autoSpaceDE w:val="false"/>
        <w:autoSpaceDN w:val="false"/>
        <w:adjustRightInd w:val="false"/>
        <w:spacing w:after="0"/>
        <w:ind w:firstLine="851"/>
        <w:jc w:val="both"/>
        <w:rPr>
          <w:rFonts w:cs="Times New Roman" w:eastAsia="Times New Roman"/>
          <w:szCs w:val="20"/>
          <w:lang w:eastAsia="hr-HR"/>
        </w:rPr>
      </w:pPr>
    </w:p>
    <w:p w:rsidRDefault="00E12BFA" w:rsidP="00E12BFA" w:rsidR="00E12BFA" w:rsidRPr="00E12BFA">
      <w:pPr>
        <w:overflowPunct w:val="false"/>
        <w:autoSpaceDE w:val="false"/>
        <w:autoSpaceDN w:val="false"/>
        <w:adjustRightInd w:val="false"/>
        <w:spacing w:after="0"/>
        <w:ind w:firstLine="851"/>
        <w:jc w:val="both"/>
        <w:rPr>
          <w:rFonts w:cs="Times New Roman" w:eastAsia="Times New Roman"/>
          <w:szCs w:val="20"/>
          <w:lang w:eastAsia="hr-HR"/>
        </w:rPr>
      </w:pPr>
      <w:r w:rsidRPr="00E12BFA">
        <w:rPr>
          <w:rFonts w:cs="Times New Roman" w:eastAsia="Times New Roman"/>
          <w:szCs w:val="20"/>
          <w:lang w:eastAsia="hr-HR"/>
        </w:rPr>
        <w:t>Objava rješenja na e-oglasnoj ploči suda određena je sukladno čl.132. st.3. SZ-a.</w:t>
      </w:r>
    </w:p>
    <w:p w:rsidRDefault="00E12BFA" w:rsidP="00E12BFA" w:rsidR="00E12BFA" w:rsidRPr="00E12BFA">
      <w:pPr>
        <w:overflowPunct w:val="false"/>
        <w:autoSpaceDE w:val="false"/>
        <w:autoSpaceDN w:val="false"/>
        <w:adjustRightInd w:val="false"/>
        <w:spacing w:after="0"/>
        <w:ind w:firstLine="851"/>
        <w:jc w:val="both"/>
        <w:rPr>
          <w:rFonts w:cs="Times New Roman" w:eastAsia="Times New Roman"/>
          <w:szCs w:val="20"/>
          <w:lang w:eastAsia="hr-HR"/>
        </w:rPr>
      </w:pPr>
    </w:p>
    <w:p w:rsidRDefault="00E12BFA" w:rsidP="00E12BFA" w:rsidR="00E12BFA" w:rsidRPr="00E12BFA">
      <w:pPr>
        <w:overflowPunct w:val="false"/>
        <w:autoSpaceDE w:val="false"/>
        <w:autoSpaceDN w:val="false"/>
        <w:adjustRightInd w:val="false"/>
        <w:spacing w:after="0"/>
        <w:ind w:firstLine="851"/>
        <w:rPr>
          <w:rFonts w:cs="Times New Roman" w:eastAsia="Times New Roman"/>
          <w:szCs w:val="20"/>
          <w:lang w:eastAsia="hr-HR"/>
        </w:rPr>
      </w:pPr>
      <w:r w:rsidRPr="00E12BFA">
        <w:rPr>
          <w:rFonts w:cs="Times New Roman" w:eastAsia="Times New Roman"/>
          <w:szCs w:val="20"/>
          <w:lang w:eastAsia="hr-HR"/>
        </w:rPr>
        <w:t>Temeljem čl.85. st.2. SZ-a sud je privremenog stečajnog upravitelja Miju Rončevića iz Osijeka, koji je imenovan rješenjem od 13. veljače 2018., imenovao stečajnim upraviteljem.</w:t>
      </w:r>
    </w:p>
    <w:p w:rsidRDefault="00E12BFA" w:rsidP="00E12BFA" w:rsidR="00E12BFA" w:rsidRPr="00E12BFA">
      <w:pPr>
        <w:overflowPunct w:val="false"/>
        <w:autoSpaceDE w:val="false"/>
        <w:autoSpaceDN w:val="false"/>
        <w:adjustRightInd w:val="false"/>
        <w:spacing w:after="0"/>
        <w:ind w:firstLine="851"/>
        <w:jc w:val="both"/>
        <w:rPr>
          <w:rFonts w:cs="Times New Roman" w:eastAsia="Times New Roman"/>
          <w:szCs w:val="20"/>
          <w:lang w:eastAsia="hr-HR"/>
        </w:rPr>
      </w:pPr>
    </w:p>
    <w:p w:rsidRDefault="00E12BFA" w:rsidP="00E12BFA" w:rsidR="00E12BFA" w:rsidRPr="00E12BFA">
      <w:pPr>
        <w:overflowPunct w:val="false"/>
        <w:autoSpaceDE w:val="false"/>
        <w:autoSpaceDN w:val="false"/>
        <w:adjustRightInd w:val="false"/>
        <w:spacing w:after="0"/>
        <w:ind w:firstLine="851"/>
        <w:jc w:val="both"/>
        <w:rPr>
          <w:rFonts w:cs="Times New Roman" w:eastAsia="Calibri"/>
          <w:szCs w:val="20"/>
          <w:lang w:eastAsia="hr-HR"/>
        </w:rPr>
      </w:pPr>
      <w:r w:rsidRPr="00E12BFA">
        <w:rPr>
          <w:rFonts w:cs="Times New Roman" w:eastAsia="Calibri"/>
          <w:szCs w:val="20"/>
          <w:lang w:eastAsia="hr-HR"/>
        </w:rPr>
        <w:t>Nakon donošenja ovog rješenja stečajni upravitelj će, sukladno odredbi čl.133. st.1. SZ-a, imovinu unovčiti u ime i za račun stečajne mase te prikupljenim sredstvima podmiriti nastale troškove stečajnog postupka, dok će neiskorišteni ostatak uplatiti u Fond za namirenje troškova stečajnog postupka.</w:t>
      </w:r>
    </w:p>
    <w:p w:rsidRDefault="00E12BFA" w:rsidP="00E12BFA" w:rsidR="00E12BFA" w:rsidRPr="00E12BFA">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E12BFA" w:rsidP="00E12BFA" w:rsidR="00E12BFA" w:rsidRPr="00E12BFA">
      <w:pPr>
        <w:overflowPunct w:val="false"/>
        <w:autoSpaceDE w:val="false"/>
        <w:autoSpaceDN w:val="false"/>
        <w:adjustRightInd w:val="false"/>
        <w:spacing w:after="0"/>
        <w:ind w:firstLine="851"/>
        <w:jc w:val="both"/>
        <w:rPr>
          <w:rFonts w:cs="Times New Roman" w:eastAsia="Times New Roman"/>
          <w:szCs w:val="20"/>
          <w:lang w:eastAsia="hr-HR"/>
        </w:rPr>
      </w:pPr>
      <w:r w:rsidRPr="00E12BFA">
        <w:rPr>
          <w:rFonts w:cs="Times New Roman" w:eastAsia="Times New Roman"/>
          <w:szCs w:val="20"/>
          <w:lang w:eastAsia="hr-HR"/>
        </w:rPr>
        <w:t>O brisanju dužnika iz sudskog registra odlučeno je sukladno čl.286. st.3. SZ-a.</w:t>
      </w:r>
    </w:p>
    <w:p w:rsidRDefault="00E12BFA" w:rsidP="00E12BFA" w:rsidR="00E12BFA" w:rsidRPr="00E12BFA">
      <w:pPr>
        <w:overflowPunct w:val="false"/>
        <w:autoSpaceDE w:val="false"/>
        <w:autoSpaceDN w:val="false"/>
        <w:adjustRightInd w:val="false"/>
        <w:spacing w:after="0"/>
        <w:ind w:firstLine="851"/>
        <w:jc w:val="both"/>
        <w:rPr>
          <w:rFonts w:cs="Times New Roman" w:eastAsia="Times New Roman"/>
          <w:szCs w:val="20"/>
          <w:lang w:eastAsia="hr-HR"/>
        </w:rPr>
      </w:pPr>
    </w:p>
    <w:p w:rsidRDefault="00E12BFA" w:rsidP="00E12BFA" w:rsidR="00E12BFA" w:rsidRPr="00E12BFA">
      <w:pPr>
        <w:overflowPunct w:val="false"/>
        <w:autoSpaceDE w:val="false"/>
        <w:autoSpaceDN w:val="false"/>
        <w:adjustRightInd w:val="false"/>
        <w:spacing w:after="0"/>
        <w:jc w:val="center"/>
        <w:rPr>
          <w:rFonts w:cs="Times New Roman" w:eastAsia="Times New Roman"/>
          <w:szCs w:val="20"/>
          <w:lang w:eastAsia="hr-HR"/>
        </w:rPr>
      </w:pPr>
      <w:r w:rsidRPr="00E12BFA">
        <w:rPr>
          <w:rFonts w:cs="Times New Roman" w:eastAsia="Times New Roman"/>
          <w:szCs w:val="20"/>
          <w:lang w:eastAsia="hr-HR"/>
        </w:rPr>
        <w:t>U Bjelovaru 29. lipnja 2018.</w:t>
      </w:r>
    </w:p>
    <w:p w:rsidRDefault="00E12BFA" w:rsidP="00E12BFA" w:rsidR="00E12BFA" w:rsidRPr="00E12BFA">
      <w:pPr>
        <w:overflowPunct w:val="false"/>
        <w:autoSpaceDE w:val="false"/>
        <w:autoSpaceDN w:val="false"/>
        <w:adjustRightInd w:val="false"/>
        <w:spacing w:after="0"/>
        <w:jc w:val="both"/>
        <w:rPr>
          <w:rFonts w:cs="Times New Roman" w:eastAsia="Times New Roman"/>
          <w:szCs w:val="20"/>
          <w:lang w:eastAsia="hr-HR"/>
        </w:rPr>
      </w:pPr>
    </w:p>
    <w:p w:rsidRDefault="00E12BFA" w:rsidP="00E12BFA" w:rsidR="00E12BFA" w:rsidRPr="00E12BFA">
      <w:pPr>
        <w:overflowPunct w:val="false"/>
        <w:autoSpaceDE w:val="false"/>
        <w:autoSpaceDN w:val="false"/>
        <w:adjustRightInd w:val="false"/>
        <w:spacing w:after="0"/>
        <w:ind w:firstLine="5103"/>
        <w:jc w:val="both"/>
        <w:rPr>
          <w:rFonts w:cs="Times New Roman" w:eastAsia="Times New Roman"/>
          <w:szCs w:val="20"/>
          <w:lang w:eastAsia="hr-HR"/>
        </w:rPr>
      </w:pPr>
      <w:r w:rsidRPr="00E12BFA">
        <w:rPr>
          <w:rFonts w:cs="Times New Roman" w:eastAsia="Times New Roman"/>
          <w:szCs w:val="20"/>
          <w:lang w:eastAsia="hr-HR"/>
        </w:rPr>
        <w:t xml:space="preserve">        Stečajna sutkinja</w:t>
      </w:r>
    </w:p>
    <w:p w:rsidRDefault="00E12BFA" w:rsidP="00E12BFA" w:rsidR="00E12BFA" w:rsidRPr="00E12BFA">
      <w:pPr>
        <w:overflowPunct w:val="false"/>
        <w:autoSpaceDE w:val="false"/>
        <w:autoSpaceDN w:val="false"/>
        <w:adjustRightInd w:val="false"/>
        <w:spacing w:after="0"/>
        <w:ind w:firstLine="4820"/>
        <w:jc w:val="both"/>
        <w:rPr>
          <w:rFonts w:cs="Times New Roman" w:eastAsia="Times New Roman"/>
          <w:szCs w:val="20"/>
          <w:lang w:eastAsia="hr-HR"/>
        </w:rPr>
      </w:pPr>
      <w:r w:rsidRPr="00E12BFA">
        <w:rPr>
          <w:rFonts w:cs="Times New Roman" w:eastAsia="Times New Roman"/>
          <w:szCs w:val="20"/>
          <w:lang w:eastAsia="hr-HR"/>
        </w:rPr>
        <w:t xml:space="preserve">        Marija Petrina Kubica v.r.</w:t>
      </w:r>
    </w:p>
    <w:p w:rsidRDefault="00E12BFA" w:rsidP="00E12BFA" w:rsidR="00E12BFA" w:rsidRPr="00E12BFA">
      <w:pPr>
        <w:overflowPunct w:val="false"/>
        <w:autoSpaceDE w:val="false"/>
        <w:autoSpaceDN w:val="false"/>
        <w:adjustRightInd w:val="false"/>
        <w:spacing w:after="0"/>
        <w:ind w:firstLine="4820"/>
        <w:jc w:val="both"/>
        <w:rPr>
          <w:rFonts w:cs="Times New Roman" w:eastAsia="Times New Roman"/>
          <w:szCs w:val="20"/>
          <w:lang w:eastAsia="hr-HR"/>
        </w:rPr>
      </w:pPr>
    </w:p>
    <w:p w:rsidRDefault="00E12BFA" w:rsidP="00E12BFA" w:rsidR="00E12BFA" w:rsidRPr="00E12BFA">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E12BFA">
        <w:rPr>
          <w:rFonts w:cs="Times New Roman" w:eastAsia="Times New Roman"/>
          <w:noProof/>
          <w:szCs w:val="20"/>
          <w:lang w:eastAsia="hr-HR"/>
        </w:rPr>
        <w:t xml:space="preserve">    Za točnost otpravka - ovlašteni službenik</w:t>
      </w:r>
    </w:p>
    <w:p w:rsidRDefault="00E12BFA" w:rsidP="00E12BFA" w:rsidR="00E12BFA" w:rsidRPr="00E12BFA">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E12BFA">
        <w:rPr>
          <w:rFonts w:cs="Times New Roman" w:eastAsia="Times New Roman"/>
          <w:noProof/>
          <w:szCs w:val="20"/>
          <w:lang w:eastAsia="hr-HR"/>
        </w:rPr>
        <w:t xml:space="preserve">                       Željka Vitez</w:t>
      </w:r>
    </w:p>
    <w:p w:rsidRDefault="00E12BFA" w:rsidP="00E12BFA" w:rsidR="00E12BFA" w:rsidRPr="00E12BFA">
      <w:pPr>
        <w:overflowPunct w:val="false"/>
        <w:autoSpaceDE w:val="false"/>
        <w:autoSpaceDN w:val="false"/>
        <w:adjustRightInd w:val="false"/>
        <w:spacing w:after="0"/>
        <w:jc w:val="both"/>
        <w:rPr>
          <w:rFonts w:cs="Times New Roman" w:eastAsia="Times New Roman"/>
          <w:noProof/>
          <w:szCs w:val="20"/>
          <w:lang w:eastAsia="hr-HR"/>
        </w:rPr>
      </w:pPr>
    </w:p>
    <w:p w:rsidRDefault="00E12BFA" w:rsidP="00E12BFA" w:rsidR="00E12BFA" w:rsidRPr="00E12BFA">
      <w:pPr>
        <w:overflowPunct w:val="false"/>
        <w:autoSpaceDE w:val="false"/>
        <w:autoSpaceDN w:val="false"/>
        <w:adjustRightInd w:val="false"/>
        <w:spacing w:after="0"/>
        <w:jc w:val="both"/>
        <w:rPr>
          <w:rFonts w:cs="Times New Roman" w:eastAsia="Times New Roman"/>
          <w:noProof/>
          <w:szCs w:val="20"/>
          <w:lang w:eastAsia="hr-HR"/>
        </w:rPr>
      </w:pPr>
    </w:p>
    <w:p w:rsidRDefault="00E12BFA" w:rsidP="00E12BFA" w:rsidR="00E12BFA" w:rsidRPr="00E12BFA">
      <w:pPr>
        <w:overflowPunct w:val="false"/>
        <w:autoSpaceDE w:val="false"/>
        <w:autoSpaceDN w:val="false"/>
        <w:adjustRightInd w:val="false"/>
        <w:spacing w:after="0"/>
        <w:jc w:val="both"/>
        <w:rPr>
          <w:rFonts w:cs="Times New Roman" w:eastAsia="Times New Roman"/>
          <w:noProof/>
          <w:szCs w:val="20"/>
          <w:lang w:eastAsia="hr-HR"/>
        </w:rPr>
      </w:pPr>
    </w:p>
    <w:p w:rsidRDefault="00E12BFA" w:rsidP="00E12BFA" w:rsidR="00E12BFA" w:rsidRPr="00E12BFA">
      <w:pPr>
        <w:overflowPunct w:val="false"/>
        <w:autoSpaceDE w:val="false"/>
        <w:autoSpaceDN w:val="false"/>
        <w:adjustRightInd w:val="false"/>
        <w:spacing w:after="0"/>
        <w:jc w:val="both"/>
        <w:rPr>
          <w:rFonts w:cs="Times New Roman" w:eastAsia="Times New Roman"/>
          <w:szCs w:val="20"/>
          <w:lang w:eastAsia="hr-HR"/>
        </w:rPr>
      </w:pPr>
      <w:r w:rsidRPr="00E12BFA">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E12BFA" w:rsidP="00E12BFA" w:rsidR="00E12BFA" w:rsidRPr="00E12BFA">
      <w:pPr>
        <w:overflowPunct w:val="false"/>
        <w:autoSpaceDE w:val="false"/>
        <w:autoSpaceDN w:val="false"/>
        <w:adjustRightInd w:val="false"/>
        <w:spacing w:after="0"/>
        <w:jc w:val="both"/>
        <w:rPr>
          <w:rFonts w:cs="Times New Roman" w:eastAsia="Times New Roman"/>
          <w:noProof/>
          <w:szCs w:val="20"/>
          <w:lang w:eastAsia="hr-HR"/>
        </w:rPr>
      </w:pPr>
      <w:r w:rsidRPr="00E12BFA">
        <w:rPr>
          <w:rFonts w:cs="Times New Roman" w:eastAsia="Times New Roman"/>
          <w:noProof/>
          <w:szCs w:val="20"/>
          <w:lang w:eastAsia="hr-HR"/>
        </w:rPr>
        <w:t xml:space="preserve">  </w:t>
      </w:r>
    </w:p>
    <w:p w:rsidRDefault="00E12BFA" w:rsidP="00E12BFA" w:rsidR="00E12BFA" w:rsidRPr="00E12BFA">
      <w:pPr>
        <w:overflowPunct w:val="false"/>
        <w:autoSpaceDE w:val="false"/>
        <w:autoSpaceDN w:val="false"/>
        <w:adjustRightInd w:val="false"/>
        <w:spacing w:after="0"/>
        <w:jc w:val="both"/>
        <w:rPr>
          <w:rFonts w:cs="Times New Roman" w:eastAsia="Times New Roman"/>
          <w:noProof/>
          <w:szCs w:val="20"/>
          <w:lang w:eastAsia="hr-HR"/>
        </w:rPr>
      </w:pPr>
    </w:p>
    <w:p w:rsidRDefault="00E12BFA" w:rsidP="00E12BFA" w:rsidR="00E12BFA" w:rsidRPr="00E12BFA">
      <w:pPr>
        <w:overflowPunct w:val="false"/>
        <w:autoSpaceDE w:val="false"/>
        <w:autoSpaceDN w:val="false"/>
        <w:adjustRightInd w:val="false"/>
        <w:spacing w:after="0"/>
        <w:jc w:val="both"/>
        <w:rPr>
          <w:rFonts w:cs="Times New Roman" w:eastAsia="Times New Roman"/>
          <w:noProof/>
          <w:szCs w:val="20"/>
          <w:lang w:eastAsia="hr-HR"/>
        </w:rPr>
      </w:pPr>
    </w:p>
    <w:p w:rsidRDefault="00AE649C" w:rsidP="004F27AE" w:rsidR="00AE649C" w:rsidRPr="00B76F3C">
      <w:pPr>
        <w:pStyle w:val="NormaleSPIS"/>
      </w:pPr>
    </w:p>
    <w:sectPr w:rsidSect="00E12BFA"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74788241"/>
      <w:docPartObj>
        <w:docPartGallery w:val="Page Numbers (Top of Page)"/>
        <w:docPartUnique/>
      </w:docPartObj>
    </w:sdtPr>
    <w:sdtContent>
      <w:p w:rsidRDefault="00E12BFA" w:rsidP="00E12BFA" w:rsidR="00E12BFA">
        <w:pPr>
          <w:pStyle w:val="Zaglavlje"/>
          <w:spacing w:after="0"/>
          <w:jc w:val="center"/>
        </w:pPr>
        <w:r>
          <w:fldChar w:fldCharType="begin"/>
        </w:r>
        <w:r>
          <w:instrText>PAGE   \* MERGEFORMAT</w:instrText>
        </w:r>
        <w:r>
          <w:fldChar w:fldCharType="separate"/>
        </w:r>
        <w:r>
          <w:t>3</w:t>
        </w:r>
        <w:r>
          <w:fldChar w:fldCharType="end"/>
        </w:r>
      </w:p>
    </w:sdtContent>
  </w:sdt>
  <w:p w:rsidRDefault="00E12BFA" w:rsidP="00E12BFA" w:rsidR="008333A9">
    <w:pPr>
      <w:overflowPunct w:val="false"/>
      <w:autoSpaceDE w:val="false"/>
      <w:autoSpaceDN w:val="false"/>
      <w:adjustRightInd w:val="false"/>
      <w:spacing w:after="0"/>
      <w:ind w:firstLine="4536"/>
      <w:jc w:val="right"/>
      <w:rPr>
        <w:rFonts w:cs="Times New Roman" w:eastAsia="Times New Roman"/>
        <w:noProof/>
        <w:szCs w:val="20"/>
        <w:lang w:eastAsia="hr-HR"/>
      </w:rPr>
    </w:pPr>
    <w:r w:rsidRPr="00E12BFA">
      <w:rPr>
        <w:rFonts w:cs="Times New Roman" w:eastAsia="Times New Roman"/>
        <w:noProof/>
        <w:szCs w:val="20"/>
        <w:lang w:eastAsia="hr-HR"/>
      </w:rPr>
      <w:t>Poslovni broj: 5. St-511/2017-13</w:t>
    </w:r>
  </w:p>
  <w:p w:rsidRDefault="00E12BFA" w:rsidP="00E12BFA" w:rsidR="00E12BFA" w:rsidRPr="00E12BFA">
    <w:pPr>
      <w:overflowPunct w:val="false"/>
      <w:autoSpaceDE w:val="false"/>
      <w:autoSpaceDN w:val="false"/>
      <w:adjustRightInd w:val="false"/>
      <w:spacing w:after="0"/>
      <w:ind w:firstLine="4536"/>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BFA"/>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05213345">
      <w:bodyDiv w:val="true"/>
      <w:marLeft w:val="0"/>
      <w:marRight w:val="0"/>
      <w:marTop w:val="0"/>
      <w:marBottom w:val="0"/>
      <w:divBdr>
        <w:top w:space="0" w:sz="0" w:color="auto" w:val="none"/>
        <w:left w:space="0" w:sz="0" w:color="auto" w:val="none"/>
        <w:bottom w:space="0" w:sz="0" w:color="auto" w:val="none"/>
        <w:right w:space="0" w:sz="0" w:color="auto" w:val="none"/>
      </w:divBdr>
    </w:div>
    <w:div w:id="171157035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2018.</izvorni_sadrzaj>
    <derivirana_varijabla naziv="DomainObject.DatumDonosenjaOdluke_1">29.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St-511/2017-13</izvorni_sadrzaj>
    <derivirana_varijabla naziv="DomainObject.Oznaka_1">St-511/2017-13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511</izvorni_sadrzaj>
    <derivirana_varijabla naziv="DomainObject.Predmet.Broj_1">511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St-511/2017</izvorni_sadrzaj>
    <derivirana_varijabla naziv="DomainObject.Predmet.OznakaBroj_1">St-511/2017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PETRINJČICA DOM d.o.o. zastupanog po punomoćniku Đuro Borojević; Marica Borojević</izvorni_sadrzaj>
    <derivirana_varijabla naziv="DomainObject.Predmet.ProtustrankaFormated_1">  PETRINJČICA DOM d.o.o. zastupanog po punomoćniku Đuro Borojević; Marica Borojević</derivirana_varijabla>
  </DomainObject.Predmet.ProtustrankaFormated>
  <DomainObject.Predmet.ProtustrankaFormatedOIB>
    <izvorni_sadrzaj>  PETRINJČICA DOM d.o.o., OIB 62821173567 zastupanog po punomoćniku Đuro Borojević; Marica Borojević</izvorni_sadrzaj>
    <derivirana_varijabla naziv="DomainObject.Predmet.ProtustrankaFormatedOIB_1">  PETRINJČICA DOM d.o.o., OIB 62821173567 zastupanog po punomoćniku Đuro Borojević; Marica Borojević</derivirana_varijabla>
  </DomainObject.Predmet.ProtustrankaFormatedOIB>
  <DomainObject.Predmet.ProtustrankaFormatedWithAdress>
    <izvorni_sadrzaj> PETRINJČICA DOM d.o.o., Vladimira Stahuljaka 1, 44250 Petrinja zastupanog po punomoćniku Đuro Borojević; Marica Borojević</izvorni_sadrzaj>
    <derivirana_varijabla naziv="DomainObject.Predmet.ProtustrankaFormatedWithAdress_1"> PETRINJČICA DOM d.o.o., Vladimira Stahuljaka 1, 44250 Petrinja zastupanog po punomoćniku Đuro Borojević; Marica Borojević</derivirana_varijabla>
  </DomainObject.Predmet.ProtustrankaFormatedWithAdress>
  <DomainObject.Predmet.ProtustrankaFormatedWithAdressOIB>
    <izvorni_sadrzaj> PETRINJČICA DOM d.o.o., OIB 62821173567, Vladimira Stahuljaka 1, 44250 Petrinja zastupanog po punomoćniku Đuro Borojević; Marica Borojević</izvorni_sadrzaj>
    <derivirana_varijabla naziv="DomainObject.Predmet.ProtustrankaFormatedWithAdressOIB_1"> PETRINJČICA DOM d.o.o., OIB 62821173567, Vladimira Stahuljaka 1, 44250 Petrinja zastupanog po punomoćniku Đuro Borojević; Marica Borojević</derivirana_varijabla>
  </DomainObject.Predmet.ProtustrankaFormatedWithAdressOIB>
  <DomainObject.Predmet.ProtustrankaWithAdress>
    <izvorni_sadrzaj>PETRINJČICA DOM d.o.o. Vladimira Stahuljaka 1, 44250 Petrinja</izvorni_sadrzaj>
    <derivirana_varijabla naziv="DomainObject.Predmet.ProtustrankaWithAdress_1">PETRINJČICA DOM d.o.o. Vladimira Stahuljaka 1, 44250 Petrinja</derivirana_varijabla>
  </DomainObject.Predmet.ProtustrankaWithAdress>
  <DomainObject.Predmet.ProtustrankaWithAdressOIB>
    <izvorni_sadrzaj>PETRINJČICA DOM d.o.o., OIB 62821173567, Vladimira Stahuljaka 1, 44250 Petrinja</izvorni_sadrzaj>
    <derivirana_varijabla naziv="DomainObject.Predmet.ProtustrankaWithAdressOIB_1">PETRINJČICA DOM d.o.o., OIB 62821173567, Vladimira Stahuljaka 1, 44250 Petrinja</derivirana_varijabla>
  </DomainObject.Predmet.ProtustrankaWithAdressOIB>
  <DomainObject.Predmet.ProtustrankaNazivFormated>
    <izvorni_sadrzaj>PETRINJČICA DOM d.o.o.</izvorni_sadrzaj>
    <derivirana_varijabla naziv="DomainObject.Predmet.ProtustrankaNazivFormated_1">PETRINJČICA DOM d.o.o.</derivirana_varijabla>
  </DomainObject.Predmet.ProtustrankaNazivFormated>
  <DomainObject.Predmet.ProtustrankaNazivFormatedOIB>
    <izvorni_sadrzaj>PETRINJČICA DOM d.o.o., OIB 62821173567</izvorni_sadrzaj>
    <derivirana_varijabla naziv="DomainObject.Predmet.ProtustrankaNazivFormatedOIB_1">PETRINJČICA DOM d.o.o., OIB 62821173567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PETRINJČICA DOM d.o.o. zastupanog po punomoćniku Đuro Borojević; Marica Borojević</item>
    </izvorni_sadrzaj>
    <derivirana_varijabla naziv="DomainObject.Predmet.ProtuStrankaListFormated_1">
      <item>PETRINJČICA DOM d.o.o. zastupanog po punomoćniku Đuro Borojević; Marica Borojević</item>
    </derivirana_varijabla>
  </DomainObject.Predmet.ProtuStrankaListFormated>
  <DomainObject.Predmet.ProtuStrankaListFormatedOIB>
    <izvorni_sadrzaj>
      <item>PETRINJČICA DOM d.o.o., OIB 62821173567 zastupanog po punomoćniku Đuro Borojević; Marica Borojević</item>
    </izvorni_sadrzaj>
    <derivirana_varijabla naziv="DomainObject.Predmet.ProtuStrankaListFormatedOIB_1">
      <item>PETRINJČICA DOM d.o.o., OIB 62821173567 zastupanog po punomoćniku Đuro Borojević; Marica Borojević</item>
    </derivirana_varijabla>
  </DomainObject.Predmet.ProtuStrankaListFormatedOIB>
  <DomainObject.Predmet.ProtuStrankaListFormatedWithAdress>
    <izvorni_sadrzaj>
      <item>PETRINJČICA DOM d.o.o., Vladimira Stahuljaka 1, 44250 Petrinja zastupanog po punomoćniku Đuro Borojević; Marica Borojević</item>
    </izvorni_sadrzaj>
    <derivirana_varijabla naziv="DomainObject.Predmet.ProtuStrankaListFormatedWithAdress_1">
      <item>PETRINJČICA DOM d.o.o., Vladimira Stahuljaka 1, 44250 Petrinja zastupanog po punomoćniku Đuro Borojević; Marica Borojević</item>
    </derivirana_varijabla>
  </DomainObject.Predmet.ProtuStrankaListFormatedWithAdress>
  <DomainObject.Predmet.ProtuStrankaListFormatedWithAdressOIB>
    <izvorni_sadrzaj>
      <item>PETRINJČICA DOM d.o.o., OIB 62821173567, Vladimira Stahuljaka 1, 44250 Petrinja zastupanog po punomoćniku Đuro Borojević; Marica Borojević</item>
    </izvorni_sadrzaj>
    <derivirana_varijabla naziv="DomainObject.Predmet.ProtuStrankaListFormatedWithAdressOIB_1">
      <item>PETRINJČICA DOM d.o.o., OIB 62821173567, Vladimira Stahuljaka 1, 44250 Petrinja zastupanog po punomoćniku Đuro Borojević; Marica Borojević</item>
    </derivirana_varijabla>
  </DomainObject.Predmet.ProtuStrankaListFormatedWithAdressOIB>
  <DomainObject.Predmet.ProtuStrankaListNazivFormated>
    <izvorni_sadrzaj>
      <item>PETRINJČICA DOM d.o.o.</item>
    </izvorni_sadrzaj>
    <derivirana_varijabla naziv="DomainObject.Predmet.ProtuStrankaListNazivFormated_1">
      <item>PETRINJČICA DOM d.o.o.</item>
    </derivirana_varijabla>
  </DomainObject.Predmet.ProtuStrankaListNazivFormated>
  <DomainObject.Predmet.ProtuStrankaListNazivFormatedOIB>
    <izvorni_sadrzaj>
      <item>PETRINJČICA DOM d.o.o., OIB 62821173567</item>
    </izvorni_sadrzaj>
    <derivirana_varijabla naziv="DomainObject.Predmet.ProtuStrankaListNazivFormatedOIB_1">
      <item>PETRINJČICA DOM d.o.o., OIB 62821173567</item>
    </derivirana_varijabla>
  </DomainObject.Predmet.ProtuStrankaListNazivFormatedOIB>
  <DomainObject.Predmet.OstaliListFormated>
    <izvorni_sadrzaj>
      <item>Đuro Borojević punomoćnik sudionika u postupku PETRINJČICA DOM d.o.o.</item>
      <item>Marica Borojević punomoćnik sudionika u postupku PETRINJČICA DOM d.o.o.</item>
    </izvorni_sadrzaj>
    <derivirana_varijabla naziv="DomainObject.Predmet.OstaliListFormated_1">
      <item>Đuro Borojević punomoćnik sudionika u postupku PETRINJČICA DOM d.o.o.</item>
      <item>Marica Borojević punomoćnik sudionika u postupku PETRINJČICA DOM d.o.o.</item>
    </derivirana_varijabla>
  </DomainObject.Predmet.OstaliListFormated>
  <DomainObject.Predmet.OstaliListFormatedOIB>
    <izvorni_sadrzaj>
      <item>Đuro Borojević, OIB 92846366100 punomoćnik sudionika u postupku PETRINJČICA DOM d.o.o.</item>
      <item>Marica Borojević, OIB 91419803676 punomoćnik sudionika u postupku PETRINJČICA DOM d.o.o.</item>
    </izvorni_sadrzaj>
    <derivirana_varijabla naziv="DomainObject.Predmet.OstaliListFormatedOIB_1">
      <item>Đuro Borojević, OIB 92846366100 punomoćnik sudionika u postupku PETRINJČICA DOM d.o.o.</item>
      <item>Marica Borojević, OIB 91419803676 punomoćnik sudionika u postupku PETRINJČICA DOM d.o.o.</item>
    </derivirana_varijabla>
  </DomainObject.Predmet.OstaliListFormatedOIB>
  <DomainObject.Predmet.OstaliListFormatedWithAdress>
    <izvorni_sadrzaj>
      <item>Đuro Borojević, Vladimira Strahuljaka 1, 44250 Petrinja punomoćnik sudionika u postupku PETRINJČICA DOM d.o.o.</item>
      <item>Marica Borojević, Vladimira Strahuljaka 1, 44250 Petrinja punomoćnik sudionika u postupku PETRINJČICA DOM d.o.o.</item>
    </izvorni_sadrzaj>
    <derivirana_varijabla naziv="DomainObject.Predmet.OstaliListFormatedWithAdress_1">
      <item>Đuro Borojević, Vladimira Strahuljaka 1, 44250 Petrinja punomoćnik sudionika u postupku PETRINJČICA DOM d.o.o.</item>
      <item>Marica Borojević, Vladimira Strahuljaka 1, 44250 Petrinja punomoćnik sudionika u postupku PETRINJČICA DOM d.o.o.</item>
    </derivirana_varijabla>
  </DomainObject.Predmet.OstaliListFormatedWithAdress>
  <DomainObject.Predmet.OstaliListFormatedWithAdressOIB>
    <izvorni_sadrzaj>
      <item>Đuro Borojević, OIB 92846366100, Vladimira Strahuljaka 1, 44250 Petrinja punomoćnik sudionika u postupku PETRINJČICA DOM d.o.o.</item>
      <item>Marica Borojević, OIB 91419803676, Vladimira Strahuljaka 1, 44250 Petrinja punomoćnik sudionika u postupku PETRINJČICA DOM d.o.o.</item>
    </izvorni_sadrzaj>
    <derivirana_varijabla naziv="DomainObject.Predmet.OstaliListFormatedWithAdressOIB_1">
      <item>Đuro Borojević, OIB 92846366100, Vladimira Strahuljaka 1, 44250 Petrinja punomoćnik sudionika u postupku PETRINJČICA DOM d.o.o.</item>
      <item>Marica Borojević, OIB 91419803676, Vladimira Strahuljaka 1, 44250 Petrinja punomoćnik sudionika u postupku PETRINJČICA DOM d.o.o.</item>
    </derivirana_varijabla>
  </DomainObject.Predmet.OstaliListFormatedWithAdressOIB>
  <DomainObject.Predmet.OstaliListNazivFormated>
    <izvorni_sadrzaj>
      <item>Đuro Borojević</item>
      <item>Marica Borojević</item>
    </izvorni_sadrzaj>
    <derivirana_varijabla naziv="DomainObject.Predmet.OstaliListNazivFormated_1">
      <item>Đuro Borojević</item>
      <item>Marica Borojević</item>
    </derivirana_varijabla>
  </DomainObject.Predmet.OstaliListNazivFormated>
  <DomainObject.Predmet.OstaliListNazivFormatedOIB>
    <izvorni_sadrzaj>
      <item>Đuro Borojević, OIB 92846366100</item>
      <item>Marica Borojević, OIB 91419803676</item>
    </izvorni_sadrzaj>
    <derivirana_varijabla naziv="DomainObject.Predmet.OstaliListNazivFormatedOIB_1">
      <item>Đuro Borojević, OIB 92846366100</item>
      <item>Marica Borojević, OIB 91419803676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2018.</izvorni_sadrzaj>
    <derivirana_varijabla naziv="DomainObject.Datum_1">29. lipnja 2018.</derivirana_varijabla>
  </DomainObject.Datum>
  <DomainObject.PoslovniBrojDokumenta>
    <izvorni_sadrzaj>St-511/2017-13</izvorni_sadrzaj>
    <derivirana_varijabla naziv="DomainObject.PoslovniBrojDokumenta_1">St-511/2017-13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PETRINJČICA DOM d.o.o.</izvorni_sadrzaj>
    <derivirana_varijabla naziv="DomainObject.Predmet.ProtustrankaIDrugi_1">PETRINJČICA DOM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PETRINJČICA DOM d.o.o., OIB 62821173567, Vladimira Stahuljaka 1, 44250 Petrinja</izvorni_sadrzaj>
    <derivirana_varijabla naziv="DomainObject.Predmet.ProtustrankaIDrugiAdressOIB_1">PETRINJČICA DOM d.o.o., OIB 62821173567, Vladimira Stahuljaka 1,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PETRINJČICA DOM d.o.o.</item>
      <item>FINA Regionalni centar Zagreb</item>
      <item>Đuro Borojević</item>
      <item>Marica Borojević</item>
    </izvorni_sadrzaj>
    <derivirana_varijabla naziv="DomainObject.Predmet.SudioniciListNaziv_1">
      <item>PETRINJČICA DOM d.o.o.</item>
      <item>FINA Regionalni centar Zagreb</item>
      <item>Đuro Borojević</item>
      <item>Marica Borojević</item>
    </derivirana_varijabla>
  </DomainObject.Predmet.SudioniciListNaziv>
  <DomainObject.Predmet.SudioniciListAdressOIB>
    <izvorni_sadrzaj>
      <item>PETRINJČICA DOM d.o.o., OIB 62821173567, Vladimira Stahuljaka 1,44250 Petrinja</item>
      <item>FINA Regionalni centar Zagreb, OIB 85821130368, Trg svibanjskih žrtava 1995. 1,10000 Zagreb</item>
      <item>Đuro Borojević, OIB 92846366100, Vladimira Strahuljaka 1,44250 Petrinja</item>
      <item>Marica Borojević, OIB 91419803676, Vladimira Strahuljaka 1,44250 Petrinja</item>
    </izvorni_sadrzaj>
    <derivirana_varijabla naziv="DomainObject.Predmet.SudioniciListAdressOIB_1">
      <item>PETRINJČICA DOM d.o.o., OIB 62821173567, Vladimira Stahuljaka 1,44250 Petrinja</item>
      <item>FINA Regionalni centar Zagreb, OIB 85821130368, Trg svibanjskih žrtava 1995. 1,10000 Zagreb</item>
      <item>Đuro Borojević, OIB 92846366100, Vladimira Strahuljaka 1,44250 Petrinja</item>
      <item>Marica Borojević, OIB 91419803676, Vladimira Strahuljaka 1,44250 Petrinja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B96415-591F-4FA6-9A91-9E4EF45F6E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1083</properties:Words>
  <properties:Characters>6255</properties:Characters>
  <properties:Lines>141</properties:Lines>
  <properties:Paragraphs>36</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7379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2018-06-29T12:36:00Z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St-511/2017-13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