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b00bf" w14:paraId="31b00bf" w:rsidRDefault="00E60E1C" w:rsidP="00E60E1C" w:rsidR="00E60E1C" w:rsidRPr="00E60E1C">
      <w:pPr>
        <w:spacing w:lineRule="auto" w:line="240" w:after="0"/>
        <w15:collapsed w:val="false"/>
        <w:rPr>
          <w:rFonts w:cs="Times New Roman" w:hAnsi="Times New Roman" w:ascii="Times New Roman"/>
          <w:sz w:val="24"/>
          <w:szCs w:val="24"/>
        </w:rPr>
      </w:pPr>
      <w:bookmarkStart w:name="_GoBack" w:id="0"/>
      <w:bookmarkEnd w:id="0"/>
    </w:p>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9149"/>
      </w:tblGrid>
      <w:tr w:rsidTr="00E60E1C" w:rsidR="00E60E1C" w:rsidRPr="00E60E1C">
        <w:trPr>
          <w:trHeight w:val="2358"/>
        </w:trPr>
        <w:tc>
          <w:tcPr>
            <w:tcW w:type="dxa" w:w="9149"/>
            <w:tcMar>
              <w:top w:type="dxa" w:w="0"/>
              <w:left w:type="dxa" w:w="108"/>
              <w:bottom w:type="dxa" w:w="0"/>
              <w:right w:type="dxa" w:w="108"/>
            </w:tcMar>
          </w:tcPr>
          <w:p w:rsidRDefault="00E60E1C" w:rsidP="00E60E1C" w:rsidR="00E60E1C" w:rsidRPr="00E60E1C">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w:t>
            </w:r>
            <w:r w:rsidRPr="00E60E1C">
              <w:rPr>
                <w:rFonts w:cs="Times New Roman" w:hAnsi="Times New Roman" w:ascii="Times New Roman"/>
                <w:noProof/>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E60E1C" w:rsidP="00E60E1C" w:rsidR="00E60E1C" w:rsidRPr="00E60E1C">
            <w:pPr>
              <w:spacing w:lineRule="auto" w:line="240" w:after="0"/>
              <w:rPr>
                <w:rFonts w:cs="Times New Roman" w:hAnsi="Times New Roman" w:ascii="Times New Roman"/>
                <w:bCs/>
                <w:sz w:val="24"/>
                <w:szCs w:val="24"/>
              </w:rPr>
            </w:pPr>
            <w:r>
              <w:rPr>
                <w:rFonts w:cs="Times New Roman" w:hAnsi="Times New Roman" w:ascii="Times New Roman"/>
                <w:bCs/>
                <w:sz w:val="24"/>
                <w:szCs w:val="24"/>
              </w:rPr>
              <w:t xml:space="preserve">                     </w:t>
            </w:r>
            <w:r w:rsidRPr="00E60E1C">
              <w:rPr>
                <w:rFonts w:cs="Times New Roman" w:hAnsi="Times New Roman" w:ascii="Times New Roman"/>
                <w:bCs/>
                <w:sz w:val="24"/>
                <w:szCs w:val="24"/>
              </w:rPr>
              <w:t>REPUBLIKA HRVATSKA</w:t>
            </w:r>
          </w:p>
          <w:p w:rsidRDefault="00E60E1C" w:rsidP="00E60E1C" w:rsidR="00E60E1C">
            <w:pPr>
              <w:spacing w:lineRule="auto" w:line="240" w:after="0"/>
              <w:ind w:right="-5340"/>
              <w:rPr>
                <w:rFonts w:cs="Times New Roman" w:hAnsi="Times New Roman" w:ascii="Times New Roman"/>
                <w:bCs/>
                <w:sz w:val="24"/>
                <w:szCs w:val="24"/>
              </w:rPr>
            </w:pPr>
            <w:r>
              <w:rPr>
                <w:rFonts w:cs="Times New Roman" w:hAnsi="Times New Roman" w:ascii="Times New Roman"/>
                <w:bCs/>
                <w:sz w:val="24"/>
                <w:szCs w:val="24"/>
              </w:rPr>
              <w:t>VISOKI TRGOVAČKI SUD  REPUBLIKE HRVATSKE</w:t>
            </w:r>
          </w:p>
          <w:p w:rsidRDefault="00E60E1C" w:rsidP="00E60E1C" w:rsidR="00E60E1C" w:rsidRPr="00E60E1C">
            <w:pPr>
              <w:spacing w:lineRule="auto" w:line="240" w:after="0"/>
              <w:ind w:right="-2222"/>
              <w:rPr>
                <w:rFonts w:cs="Times New Roman" w:hAnsi="Times New Roman" w:ascii="Times New Roman"/>
                <w:sz w:val="24"/>
                <w:szCs w:val="24"/>
              </w:rPr>
            </w:pPr>
            <w:r>
              <w:rPr>
                <w:rFonts w:cs="Times New Roman" w:hAnsi="Times New Roman" w:ascii="Times New Roman"/>
                <w:bCs/>
                <w:sz w:val="24"/>
                <w:szCs w:val="24"/>
              </w:rPr>
              <w:t xml:space="preserve">                             Z A G R E B</w:t>
            </w:r>
          </w:p>
        </w:tc>
      </w:tr>
    </w:tbl>
    <w:p w:rsidRDefault="00E60E1C" w:rsidP="00E60E1C" w:rsidR="00E60E1C" w:rsidRPr="00E60E1C">
      <w:pPr>
        <w:spacing w:after="0"/>
        <w:rPr>
          <w:rFonts w:cs="Times New Roman" w:hAnsi="Times New Roman" w:ascii="Times New Roman"/>
          <w:sz w:val="24"/>
          <w:szCs w:val="24"/>
        </w:rPr>
      </w:pPr>
    </w:p>
    <w:p w:rsidRDefault="00E60E1C" w:rsidP="00E60E1C" w:rsidR="00E60E1C" w:rsidRPr="00E60E1C">
      <w:pPr>
        <w:spacing w:after="0"/>
        <w:jc w:val="center"/>
        <w:rPr>
          <w:rFonts w:cs="Times New Roman" w:hAnsi="Times New Roman" w:ascii="Times New Roman"/>
          <w:sz w:val="24"/>
          <w:szCs w:val="24"/>
        </w:rPr>
      </w:pPr>
      <w:r w:rsidRPr="00E60E1C">
        <w:rPr>
          <w:rFonts w:cs="Times New Roman" w:hAnsi="Times New Roman" w:ascii="Times New Roman"/>
          <w:sz w:val="24"/>
          <w:szCs w:val="24"/>
        </w:rPr>
        <w:t>R E P U B L I K A   H R V A TS K A</w:t>
      </w:r>
    </w:p>
    <w:p w:rsidRDefault="00E60E1C" w:rsidP="00E60E1C" w:rsidR="00E60E1C" w:rsidRPr="00E60E1C">
      <w:pPr>
        <w:spacing w:after="0"/>
        <w:jc w:val="center"/>
        <w:rPr>
          <w:rFonts w:cs="Times New Roman" w:hAnsi="Times New Roman" w:ascii="Times New Roman"/>
          <w:sz w:val="24"/>
          <w:szCs w:val="24"/>
        </w:rPr>
      </w:pPr>
      <w:r w:rsidRPr="00E60E1C">
        <w:rPr>
          <w:rFonts w:cs="Times New Roman" w:hAnsi="Times New Roman" w:ascii="Times New Roman"/>
          <w:sz w:val="24"/>
          <w:szCs w:val="24"/>
        </w:rPr>
        <w:t>R J E Š E NJ E</w:t>
      </w:r>
    </w:p>
    <w:p w:rsidRDefault="00E60E1C" w:rsidP="00E60E1C" w:rsidR="00E60E1C" w:rsidRPr="00E60E1C">
      <w:pPr>
        <w:spacing w:after="0"/>
        <w:rPr>
          <w:rFonts w:cs="Times New Roman" w:hAnsi="Times New Roman" w:ascii="Times New Roman"/>
          <w:sz w:val="24"/>
          <w:szCs w:val="24"/>
        </w:rPr>
      </w:pPr>
    </w:p>
    <w:p w:rsidRDefault="00E60E1C" w:rsidP="00E60E1C" w:rsidR="00E60E1C" w:rsidRPr="00E60E1C">
      <w:pPr>
        <w:spacing w:after="0"/>
        <w:rPr>
          <w:rFonts w:cs="Times New Roman" w:hAnsi="Times New Roman" w:ascii="Times New Roman"/>
          <w:sz w:val="24"/>
          <w:szCs w:val="24"/>
        </w:rPr>
      </w:pPr>
      <w:r w:rsidRPr="00E60E1C">
        <w:rPr>
          <w:rFonts w:cs="Times New Roman" w:hAnsi="Times New Roman" w:ascii="Times New Roman"/>
          <w:sz w:val="24"/>
          <w:szCs w:val="24"/>
        </w:rPr>
        <w:tab/>
        <w:t xml:space="preserve">Visoki trgovački sud Republike Hrvatske, u vijeću sastavljenom od sudaca Lidije Tomljenović, predsjednika vijeća, Kristine </w:t>
      </w:r>
      <w:proofErr w:type="spellStart"/>
      <w:r w:rsidRPr="00E60E1C">
        <w:rPr>
          <w:rFonts w:cs="Times New Roman" w:hAnsi="Times New Roman" w:ascii="Times New Roman"/>
          <w:sz w:val="24"/>
          <w:szCs w:val="24"/>
        </w:rPr>
        <w:t>Saganić</w:t>
      </w:r>
      <w:proofErr w:type="spellEnd"/>
      <w:r w:rsidRPr="00E60E1C">
        <w:rPr>
          <w:rFonts w:cs="Times New Roman" w:hAnsi="Times New Roman" w:ascii="Times New Roman"/>
          <w:sz w:val="24"/>
          <w:szCs w:val="24"/>
        </w:rPr>
        <w:t xml:space="preserve">, suca izvjestitelja i Draženke </w:t>
      </w:r>
      <w:proofErr w:type="spellStart"/>
      <w:r w:rsidRPr="00E60E1C">
        <w:rPr>
          <w:rFonts w:cs="Times New Roman" w:hAnsi="Times New Roman" w:ascii="Times New Roman"/>
          <w:sz w:val="24"/>
          <w:szCs w:val="24"/>
        </w:rPr>
        <w:t>Deladio</w:t>
      </w:r>
      <w:proofErr w:type="spellEnd"/>
      <w:r w:rsidRPr="00E60E1C">
        <w:rPr>
          <w:rFonts w:cs="Times New Roman" w:hAnsi="Times New Roman" w:ascii="Times New Roman"/>
          <w:sz w:val="24"/>
          <w:szCs w:val="24"/>
        </w:rPr>
        <w:t>, člana vijeća u stečajnom postupku nad stečajnom masom stečajnog dužnika VIVA GRUPA d.o.o. u stečaju, Zagreb, Voćarska cesta 63/B, OIB 15996184185, odlučujući o žalbi stečajnog vjerovnika REPUBLIKA HRVATSKA, Ministarstvo financija, Porezna uprave, Područni ured Zagreb, kojeg zastupa Županijsko državno odvjetništvo u Sisku, protiv rješenja Trgovačkog suda u Zagrebu poslovni broj St-871/2012-73 od 19. rujna 2017., u sjednici vijeća održanoj 5. prosinca 2017.</w:t>
      </w:r>
    </w:p>
    <w:p w:rsidRDefault="00E60E1C" w:rsidP="00E60E1C" w:rsidR="00E60E1C" w:rsidRPr="00E60E1C">
      <w:pPr>
        <w:spacing w:after="0"/>
        <w:rPr>
          <w:rFonts w:cs="Times New Roman" w:hAnsi="Times New Roman" w:ascii="Times New Roman"/>
          <w:sz w:val="24"/>
          <w:szCs w:val="24"/>
        </w:rPr>
      </w:pPr>
    </w:p>
    <w:p w:rsidRDefault="00E60E1C" w:rsidP="00E60E1C" w:rsidR="00E60E1C" w:rsidRPr="00E60E1C">
      <w:pPr>
        <w:spacing w:after="0"/>
        <w:jc w:val="center"/>
        <w:rPr>
          <w:rFonts w:cs="Times New Roman" w:hAnsi="Times New Roman" w:ascii="Times New Roman"/>
          <w:sz w:val="24"/>
          <w:szCs w:val="24"/>
        </w:rPr>
      </w:pPr>
      <w:r w:rsidRPr="00E60E1C">
        <w:rPr>
          <w:rFonts w:cs="Times New Roman" w:hAnsi="Times New Roman" w:ascii="Times New Roman"/>
          <w:sz w:val="24"/>
          <w:szCs w:val="24"/>
        </w:rPr>
        <w:t>r i j e š i o   j e</w:t>
      </w:r>
    </w:p>
    <w:p w:rsidRDefault="00E60E1C" w:rsidP="00E60E1C" w:rsidR="00E60E1C" w:rsidRPr="00E60E1C">
      <w:pPr>
        <w:spacing w:after="0"/>
        <w:rPr>
          <w:rFonts w:cs="Times New Roman" w:hAnsi="Times New Roman" w:ascii="Times New Roman"/>
          <w:sz w:val="24"/>
          <w:szCs w:val="24"/>
        </w:rPr>
      </w:pPr>
    </w:p>
    <w:p w:rsidRDefault="00E60E1C" w:rsidP="00E60E1C" w:rsidR="00E60E1C" w:rsidRPr="00E60E1C">
      <w:pPr>
        <w:spacing w:after="0"/>
        <w:rPr>
          <w:rFonts w:cs="Times New Roman" w:hAnsi="Times New Roman" w:ascii="Times New Roman"/>
          <w:sz w:val="24"/>
          <w:szCs w:val="24"/>
        </w:rPr>
      </w:pPr>
      <w:r w:rsidRPr="00E60E1C">
        <w:rPr>
          <w:rFonts w:cs="Times New Roman" w:hAnsi="Times New Roman" w:ascii="Times New Roman"/>
          <w:sz w:val="24"/>
          <w:szCs w:val="24"/>
        </w:rPr>
        <w:tab/>
        <w:t>I. Odbija se žalba stečajnog vjerovnika Republika Hrvatska, Ministarstvo financija, Porezna uprave, Područni ured Zagreb, kao neosnovana i potvrđuje rješenje Trgovačkog suda u Zagrebu poslovni broj St-871/2012-73 od 19. rujna 2017., u dijelu kojim je stečajnom upravitelju Božidaru Brkljaču iz Zagreba određena nagrada za rad u stečajnom postupku nad stečajnim dužnikom u iznosu od 332.438,14 kn bruto.</w:t>
      </w:r>
    </w:p>
    <w:p w:rsidRDefault="00E60E1C" w:rsidP="00E60E1C" w:rsidR="00E60E1C" w:rsidRPr="00E60E1C">
      <w:pPr>
        <w:spacing w:after="0"/>
        <w:rPr>
          <w:rFonts w:cs="Times New Roman" w:hAnsi="Times New Roman" w:ascii="Times New Roman"/>
          <w:sz w:val="24"/>
          <w:szCs w:val="24"/>
        </w:rPr>
      </w:pPr>
    </w:p>
    <w:p w:rsidRDefault="00E60E1C" w:rsidP="00E60E1C" w:rsidR="00E60E1C" w:rsidRPr="00E60E1C">
      <w:pPr>
        <w:spacing w:after="0"/>
        <w:rPr>
          <w:rFonts w:cs="Times New Roman" w:hAnsi="Times New Roman" w:ascii="Times New Roman"/>
          <w:sz w:val="24"/>
          <w:szCs w:val="24"/>
        </w:rPr>
      </w:pPr>
      <w:r w:rsidRPr="00E60E1C">
        <w:rPr>
          <w:rFonts w:cs="Times New Roman" w:hAnsi="Times New Roman" w:ascii="Times New Roman"/>
          <w:sz w:val="24"/>
          <w:szCs w:val="24"/>
        </w:rPr>
        <w:tab/>
        <w:t>II. Ukida se rješenje Trgovačkog suda u Zagrebu poslovni broj St-871/2012-73 od 19. rujna 2017., kojim je stečajnom upravitelju Božidaru Brkljaču iz Zagreba određena nagrada za rad u stečajnom postupku nad stečajnim dužnikom u iznosu od 67.561,84 kn (</w:t>
      </w:r>
      <w:proofErr w:type="spellStart"/>
      <w:r w:rsidRPr="00E60E1C">
        <w:rPr>
          <w:rFonts w:cs="Times New Roman" w:hAnsi="Times New Roman" w:ascii="Times New Roman"/>
          <w:sz w:val="24"/>
          <w:szCs w:val="24"/>
        </w:rPr>
        <w:t>šezdesetsedamtisućapetstošezdesetjedna</w:t>
      </w:r>
      <w:proofErr w:type="spellEnd"/>
      <w:r w:rsidRPr="00E60E1C">
        <w:rPr>
          <w:rFonts w:cs="Times New Roman" w:hAnsi="Times New Roman" w:ascii="Times New Roman"/>
          <w:sz w:val="24"/>
          <w:szCs w:val="24"/>
        </w:rPr>
        <w:t xml:space="preserve"> kuna i </w:t>
      </w:r>
      <w:proofErr w:type="spellStart"/>
      <w:r w:rsidRPr="00E60E1C">
        <w:rPr>
          <w:rFonts w:cs="Times New Roman" w:hAnsi="Times New Roman" w:ascii="Times New Roman"/>
          <w:sz w:val="24"/>
          <w:szCs w:val="24"/>
        </w:rPr>
        <w:t>osamdesečetiri</w:t>
      </w:r>
      <w:proofErr w:type="spellEnd"/>
      <w:r w:rsidRPr="00E60E1C">
        <w:rPr>
          <w:rFonts w:cs="Times New Roman" w:hAnsi="Times New Roman" w:ascii="Times New Roman"/>
          <w:sz w:val="24"/>
          <w:szCs w:val="24"/>
        </w:rPr>
        <w:t xml:space="preserve"> lipe) bruto.</w:t>
      </w:r>
    </w:p>
    <w:p w:rsidRDefault="00E60E1C" w:rsidP="00E60E1C" w:rsidR="00E60E1C" w:rsidRPr="00E60E1C">
      <w:pPr>
        <w:spacing w:after="0"/>
        <w:rPr>
          <w:rFonts w:cs="Times New Roman" w:hAnsi="Times New Roman" w:ascii="Times New Roman"/>
          <w:sz w:val="24"/>
          <w:szCs w:val="24"/>
        </w:rPr>
      </w:pPr>
    </w:p>
    <w:p w:rsidRDefault="00E60E1C" w:rsidP="00E60E1C" w:rsidR="00E60E1C" w:rsidRPr="00E60E1C">
      <w:pPr>
        <w:spacing w:after="0"/>
        <w:jc w:val="center"/>
        <w:rPr>
          <w:rFonts w:cs="Times New Roman" w:hAnsi="Times New Roman" w:ascii="Times New Roman"/>
          <w:sz w:val="24"/>
          <w:szCs w:val="24"/>
        </w:rPr>
      </w:pPr>
      <w:r w:rsidRPr="00E60E1C">
        <w:rPr>
          <w:rFonts w:cs="Times New Roman" w:hAnsi="Times New Roman" w:ascii="Times New Roman"/>
          <w:sz w:val="24"/>
          <w:szCs w:val="24"/>
        </w:rPr>
        <w:t>Obrazloženje</w:t>
      </w:r>
    </w:p>
    <w:p w:rsidRDefault="00E60E1C" w:rsidP="00E60E1C" w:rsidR="00E60E1C" w:rsidRPr="00E60E1C">
      <w:pPr>
        <w:spacing w:after="0"/>
        <w:rPr>
          <w:rFonts w:cs="Times New Roman" w:hAnsi="Times New Roman" w:ascii="Times New Roman"/>
          <w:sz w:val="24"/>
          <w:szCs w:val="24"/>
        </w:rPr>
      </w:pPr>
    </w:p>
    <w:p w:rsidRDefault="00E60E1C" w:rsidP="00E60E1C" w:rsidR="00E60E1C" w:rsidRPr="00E60E1C">
      <w:pPr>
        <w:spacing w:after="0"/>
        <w:rPr>
          <w:rFonts w:cs="Times New Roman" w:hAnsi="Times New Roman" w:ascii="Times New Roman"/>
          <w:sz w:val="24"/>
          <w:szCs w:val="24"/>
        </w:rPr>
      </w:pPr>
      <w:r w:rsidRPr="00E60E1C">
        <w:rPr>
          <w:rFonts w:cs="Times New Roman" w:hAnsi="Times New Roman" w:ascii="Times New Roman"/>
          <w:sz w:val="24"/>
          <w:szCs w:val="24"/>
        </w:rPr>
        <w:tab/>
        <w:t>Pobijanim rješenjem Trgovačkog suda u Zagrebu, stečajnom upravitelju Božidaru Brkljaču iz Zagreba određena je nagrada u iznosu od 399.999,98 kn bruto, za rad u stečajnom postupku nad stečajnim dužnikom. Nagrada je stečajnom upravitelju odmjerena primjenom odredaba čl. 6. i 7. Uredbe o kriterijima i načinu obračuna i plaćanja nagrada stečajnim upraviteljima („Narodne novine“ broj 106/15), s obzirom na vrijednost unovčene stečajne mase u iznosu 4.999.999,00 kn.</w:t>
      </w: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lastRenderedPageBreak/>
        <w:tab/>
        <w:t>Protiv tog rješenja žalbu je izjavio stečajni vjerovnik Republika Hrvatska, Ministarstvo financija, Porezna uprava - Područni ured Zagreb, isticanjem svih žalbenih razloga, s prijedlogom da ga ovaj sud preinači ili ukine i predmet vrati prvostupanjskom sudu na ponovan postupak.</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U obrazloženju žalbe vjerovnik ističe da je prvostupanjski sud pogrešno primijenio odredbu čl. 7. Uredbe, te da je trebao primijeniti odredbu čl. 13. Uredbe. S obzirom na to da je nakon zaključenja stečajnog postupka i brisanja stečajnog dužnika iz sudskog registra određen nastavak postupka radi naknadne diobe, osnovica za utvrđivanje nagrade stečajnom upravitelju je iznos koji će se naknadnom diobom isplatiti vjerovnicima. U konkretnom slučaju to znači da osnovica za utvrđivanje nagrade stečajnom upravitelju iznosi 2.275.014,86 kn, a ne 4.999.999,00 kn, kako je utvrdio prvostupanjski sud pa bi stečajnom upravitelju pripadala nagrada u iznosu od 189.251,00 kn bruto. Uz navedeno, sud je prekoračio zahtjev stečajnog upravitelja koji je u završnom izvješću i završnom računu predložio sudu da mu odobri nagradu u bruto iznosu od 332.438,14 kn. Kad bi osnovica i iznosila 4.999.999,00 kn, primjenom čl. 7. Uredbe nagrada stečajnom upravitelju iznosi 379.996,99 kn.</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Žalba je djelomično osnovana.</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Pobijano rješenje ispitano je na temelju odredaba čl. 365. st. 1. i 2. te čl. 381. Zakona o parničnom postupku („Narodne novine“ broj: 53/91, 91/92, 112/99, 88/01, 117/03, 88/05, 2/07, 84/08, 123/08, 57/11, 148/11 – pročišćeni tekst, 25/13 i 89/14; dalje: ZPP), u vezi s odredbom čl. 10. SZ-a, u granicama razloga navedenih u žalbi i pazeći po službenoj dužnosti na bitne povrede odredaba parničnog postupka iz čl. 354. st. 2. t. 2., 4., 8., 9., 11., 13. i 14. ZPP-a i na pravilnu primjenu materijalnog prava.</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Prema dokumentaciji u spisu proizlaze ove relevantne okolnosti:</w:t>
      </w: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 rješenjem prvostupanjskog suda poslovni broj St-1582/11 od 14. kolovoza 2012. otvoren je i istovremeno zaključen stečajni postupak nad stečajnim dužnikom, te određeno da će se po pravomoćnosti dužnik brisati iz sudskog registra (list 56. – 57. spisa)</w:t>
      </w: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 xml:space="preserve">- na temelju rješenja prvostupanjskog suda poslovni broj </w:t>
      </w:r>
      <w:proofErr w:type="spellStart"/>
      <w:r w:rsidRPr="00E60E1C">
        <w:rPr>
          <w:rFonts w:cs="Times New Roman" w:hAnsi="Times New Roman" w:ascii="Times New Roman"/>
          <w:sz w:val="24"/>
          <w:szCs w:val="24"/>
        </w:rPr>
        <w:t>Tt</w:t>
      </w:r>
      <w:proofErr w:type="spellEnd"/>
      <w:r w:rsidRPr="00E60E1C">
        <w:rPr>
          <w:rFonts w:cs="Times New Roman" w:hAnsi="Times New Roman" w:ascii="Times New Roman"/>
          <w:sz w:val="24"/>
          <w:szCs w:val="24"/>
        </w:rPr>
        <w:t>-12/17933-1 od 6. studenog 2012. upisano je brisanje tog subjekta iz sudskog registra (list 70. spisa)</w:t>
      </w: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 xml:space="preserve">- iz izvješća stečajnog upravitelja stečajne mase stečajnog dužnika od 2. prosinca 2015. (list 78. – 79. spisa) proizlazi da je u parnici koju je stečajni dužnik vodio protiv Hrvatskog zavoda za zdravstveno osiguranje, tuženik spreman dobrovoljno ispuniti obvezu u iznosu od 4.999.999,00 kn, s prijedlogom da se odobri plaćanje troškova sukladno Ugovoru o zastupanju. Stečajni je sudac odobrio stečajnom upravitelju sklapanje ugovora o </w:t>
      </w:r>
      <w:proofErr w:type="spellStart"/>
      <w:r w:rsidRPr="00E60E1C">
        <w:rPr>
          <w:rFonts w:cs="Times New Roman" w:hAnsi="Times New Roman" w:ascii="Times New Roman"/>
          <w:sz w:val="24"/>
          <w:szCs w:val="24"/>
        </w:rPr>
        <w:t>vansudskoj</w:t>
      </w:r>
      <w:proofErr w:type="spellEnd"/>
      <w:r w:rsidRPr="00E60E1C">
        <w:rPr>
          <w:rFonts w:cs="Times New Roman" w:hAnsi="Times New Roman" w:ascii="Times New Roman"/>
          <w:sz w:val="24"/>
          <w:szCs w:val="24"/>
        </w:rPr>
        <w:t xml:space="preserve"> nagodbi i isplatu troškova zastupanja stečajne mase (rješenje od 7. prosinca 2015., list 86. – 87. spisa)</w:t>
      </w:r>
    </w:p>
    <w:p w:rsidRDefault="00E60E1C" w:rsidP="00E60E1C" w:rsid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 Republika Hrvatska je podneskom od 18. ožujka 2016. (list 88. – 89. spisa) predložila sudu nastavak postupka radi naknadne diobe, jer je 4. veljače 2016. Porezna uprava zaprimila dopis o sklapanju nagodbe i uplati iznosa u korist stečajne mase. Stečajni je upravitelj podneskom od 8. travnja 2016. (list 93. – 95. spisa) izvijestio sud da je zaključena nagodba te da je na račun stečajne mase naplaćen iznos od 4.999.999,00 kn, zatim da je nakon podmirenih troškova vođenja računa i troškova zastupanja punomoćnika preostao iznos od 2.617.876,50 kn pa je predložio nastavak postupka radi naknadne diobe</w:t>
      </w:r>
    </w:p>
    <w:p w:rsidRDefault="00E60E1C" w:rsidP="00E60E1C" w:rsid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lastRenderedPageBreak/>
        <w:tab/>
        <w:t>- nakon toga prvostupanjski je sud rješenjem poslovni broj St-871/12-48 od 18. travnja 2016. (list 96 – 97. spisa) odredio nastavak postupka radi naknadne diobe stečajne mase stečajnog dužnika, s dopunom tog rješenja od 5. srpnja 2016. (list 113. – 114. spisa) pozivom stečajnim vjerovnicima na prijavu tražbine, uz određivanje ispitnog i izvještajnog ročišta.</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Stečajni je upravitelj 31. kolovoza 2016. podnio izvješće o stanju stečajne mase (list 121. – 123. spisa) iz kojeg proizlazi da je od iznosa od 4.999.999,00 kn ukupno plaćen iznos od 2.382.546,00 kn, i to: s osnove troškova javnog bilježnika u iznosu od 10.500,00 kn, troškova zastupanja u iznosu od 2.371.622,50 kn i materijalnih troškova u iznosu od 423,50 kn (izrada žiga i troškovi ovjere dokumentacije i potpisa). Stanje računa na dan 23. kolovoza 2016. iznosio je 2.617.453,00 kn. Izvješće od 17. siječnja 2017. (list 177. – 179. spisa) sadrži jednake podatke.</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Stečajni je upravitelj 14. srpnja 2017. podnio završno izvješće i završni račun iz kojeg (list 235. – 238. spisa) proizlazi da su od ukupnog priljeva od 4.999.999,00 kn plaćeni troškovi ukupnog iznosa od 2.724.984,14 kn, te da za diobu preostaje iznos od 2.275.014,86 kn. Pritom je stečajni upravitelj obrazložio i njegov zahtjev za isplatu nagrade u iznosu od 199.499,99 kn neto, odnosno iznos od 332.438,14 kn bruto, polazeći od činjenice da su ukupno prihodovana sredstva na račun stečajne mase u iznosu od 4.999.999,00 kn (list 228. spisa).</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Potom je prvostupanjski sud donio pobijano rešenje.</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Prije svega, potrebno je razjasniti da se u konkretnom slučaju primjenjuju odredbe važećeg Stečajnog zakona („Narodne novine“ broj 71/15 i 104/17; dalje: SZ; čl. 441. st. 1.). Stečajni upravitelj ima pravo na nagradu, na osnovi odredbe čl. 94. st. 1. i 2. SZ-a.</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 xml:space="preserve">U konkretnom slučaju se za određivanje nagrade stečajnom upravitelju primjenjuje Uredba o kriterijima i načinu obračuna i plaćanja nagrade stečajnim upraviteljima, objavljena u Narodnim novinama broj 105/2015 (dalje: Uredba iz 2015.), koja je stupila na snagu 10. listopada 2015. Tada je prestala važiti ranija Uredba o kriterijima i načinu obračuna i plaćanja nagrada stečajnim upraviteljima („Narodne novine“ broj 189/03; dalje: Uredba iz 2003.). U odredbi čl. 16. Uredbe iz 2015. propisano je da će se za rad stečajnom upravitelju koji je obavljen do stupanja na snagu te Uredbe obračunati nagrada po pravilima Uredbe iz 2003., pri čemu je sud dužan utvrditi postotak nagrade koja stečajnom upravitelju pripada prema pravilima te Uredbe (st. 2.). Za poslove obavljene nakon stupanja na snagu Uredbe iz 2015., nagrada će se odrediti po njenim pravilima, vodeći računa o postotku namirenja (st. 3.). To znači da se stečajnom upravitelju za rad obavljen do 10. listopada 2015. obračunava nagrada po Uredbi iz 2003., a potom po Uredbi iz 2015. Osnovni kriterij primjene Uredaba jest kada je rad obavljen, što uz primjenu propisanog kriterija obračuna nagrade znači da je mjerodavno vrijeme kad je stečajna masa unovčena. </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 xml:space="preserve">U konkretnom slučaju, jedina unovčena vrijednost stečajne mase jest iznos od 4.999.999,00 kn koji je na račun stečajne mase stečajnog dužnika uplaćen 29. prosinca 2015., nakon sklapanja Nagodbe od 22. prosinca 2015. po pravomoćno dovršenoj parnici koja se vodila pred Trgovačkim sudom u Zagrebu poslovni broj P-3079/2006. To znači da je prvostupanjski sud trebao nagradu stečajnom upravitelju odrediti primjenom Uredbe iz 2015. Unatoč tome što se prvostupanjski sud poziva na čl. 7. te Uredbe, njene odredbe nije pravilno </w:t>
      </w:r>
    </w:p>
    <w:p w:rsidRDefault="00E60E1C" w:rsidP="00E60E1C" w:rsidR="00E60E1C" w:rsidRPr="00E60E1C">
      <w:pPr>
        <w:spacing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lastRenderedPageBreak/>
        <w:t xml:space="preserve">primijenio te nije iznio razloge donošenja pobijanog rješenja, čime je ono zahvaćeno apsolutno bitnom povredom odredaba iz čl. 354. st. 2. t. 11. ZPP-a (u vezi s čl. 10. SZ-a). Uz navedeno, prekoračen je zahtjev stečajnog upravitelja za iznos od 67.561,84 kn na što se u žalbi pravilno upućuje, budući da je stečajni upravitelj zatražio nagradu u bruto iznosu od 332.438,14 kn, a dosuđen mu je iznos od 399.999,98 kn, čime je počinjena daljnja bitna povreda u postupanju prvostupanjskog suda (čl. 354. st. 2. t. 12. ZPP-a u vezi s čl. 10. SZ-a, </w:t>
      </w:r>
      <w:proofErr w:type="spellStart"/>
      <w:r w:rsidRPr="00E60E1C">
        <w:rPr>
          <w:rFonts w:cs="Times New Roman" w:hAnsi="Times New Roman" w:ascii="Times New Roman"/>
          <w:sz w:val="24"/>
          <w:szCs w:val="24"/>
        </w:rPr>
        <w:t>arg</w:t>
      </w:r>
      <w:proofErr w:type="spellEnd"/>
      <w:r w:rsidRPr="00E60E1C">
        <w:rPr>
          <w:rFonts w:cs="Times New Roman" w:hAnsi="Times New Roman" w:ascii="Times New Roman"/>
          <w:sz w:val="24"/>
          <w:szCs w:val="24"/>
        </w:rPr>
        <w:t>. iz čl. 2. ZPP-a).</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Iznos od 4.999.999,00 kn predstavlja jedinu vrijednost stečajne mase tijekom cijelog stečajnog postupka, ostvarenu po nastavku postupka nakon njegovog istovremenog otvaranja i zaključenja.</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 xml:space="preserve">U čl. 7. Uredbe sadržana je tablica za izračun nagrade stečajnom upravitelju, na temelju koje se nagrada stečajnom upravitelju s osnove vrijednosti unovčene stečajne mase obračunava primjenom tablice vrijednosti unovčene stečajne mase i nagrade u postotcima, u odnosu na vrijednost unovčene stečajne mase u kunama. </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Odredbom čl. 13. Uredbe propisano je na koji se način određuje nagrada stečajnom upravitelju ako se stečajni postupak nastavlja radi naknadne diobe ili se provodi nad imovinom pravne osobe koja je prestala postojati; u takvom slučaju, nagrada (kao i dodatna nagrada i posebna nagrada) se stečajnom upravitelju određuje prema odredbama te Uredbe (st. 1.), a osnovica za utvrđivanje nagrade je iznos koji će se naknadnom diobom isplatiti vjerovnicima (st. 2.).</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Osnova osporavanja pravilnosti pobijanog rješenja (uz ukazivanje na prekoračenje zahtjeva), u bitnome je sadržana upravo u tvrdnji da je prvostupanjski sud propustio primijeniti odredbu čl. 13. Uredbe i primijeniti pravilnu osnovicu za utvrđivanje nagrade, posljedično čemu je i nagrada odmjerena u netočnom iznosu. Međutim, iznijete žalbene navode o pravilnosti osnovice mjerodavne za utvrđivanje nagrade stečajnom upravitelju u konkretnom slučaju, ovaj sud nalazi neosnovanima.</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Naime, u konkretnom slučaju riječ je o nastavku postupka koji je prethodno rješenjem prvostupanjskog suda poslovni broj St-1582/11 od 14. kolovoza 2012. otvoren i istovremeno zaključen, bez provođenja stečajnog postupka (čl. 63. tada važećeg Stečajnog zakona, objavljenog u „Narodnim novinama“ broj: 44/96, 29/99, 129/00, 123/03, 197/03, 187/04, 82/06, 116/10 i 25/12). Stoga pri obračunu nagrade stečajnom upravitelju valja primijeniti tablicu iz čl. 7. Uredbe i nisu osnovani žalbeni navodi o primjeni čl. 13. Uredbe i osnovici za utvrđivanje nagrade u visini iznosa koji je preostao za isplatu vjerovnicima naknadnom diobom. Stečajni postupak u ovom slučaju, prije njegovog otvaranja i istovremenog zaključenja nije uopće bio proveden, zato što imovina dužnika koja bi ušla u stečajnu masu nije bila dovoljna niti za namirenje troškova prethodnog postupka. Tek po nastavku postupka rješenjem prvostupanjskog suda poslovni broj St-871/12-48 od 18. travnja 2016., proveden je stečajni postupak, odnosno sve radnje u postupku koji se provodi po pravilima naknadne diobe. Zato se i nagrada stečajnom upravitelju odmjerava na osnovi vrijednosti unovčene stečajne mase primjenom tablice iz čl. 7. Uredbe iz 2015.</w:t>
      </w:r>
    </w:p>
    <w:p w:rsidRDefault="00E60E1C" w:rsidP="00E60E1C" w:rsidR="00E60E1C">
      <w:pPr>
        <w:spacing w:after="0"/>
        <w:rPr>
          <w:rFonts w:cs="Times New Roman" w:hAnsi="Times New Roman" w:ascii="Times New Roman"/>
          <w:sz w:val="24"/>
          <w:szCs w:val="24"/>
        </w:rPr>
      </w:pPr>
    </w:p>
    <w:p w:rsidRDefault="00E60E1C" w:rsidP="00E60E1C" w:rsidR="00E60E1C">
      <w:pPr>
        <w:spacing w:after="0"/>
        <w:rPr>
          <w:rFonts w:cs="Times New Roman" w:hAnsi="Times New Roman" w:ascii="Times New Roman"/>
          <w:sz w:val="24"/>
          <w:szCs w:val="24"/>
        </w:rPr>
      </w:pPr>
    </w:p>
    <w:p w:rsidRDefault="00E60E1C" w:rsidP="00E60E1C" w:rsidR="00E60E1C" w:rsidRPr="00E60E1C">
      <w:pPr>
        <w:spacing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lastRenderedPageBreak/>
        <w:tab/>
        <w:t>Radnje nisu započele prije 1. rujna 2015. (čl. 441. st. 2. SZ-a) i nastavno se primjenjuje novi Stečajni zakon koji sadrži jednaka zakonska rješenja kao i prethodno važeći Stečajni zakon. Stečajni zakon u odredbi čl. 133. propisuje da nakon zaključenja stečajnoga postupka prema odredbi čl. 132. st. 2. tog Zakona stečajni upravitelj može u ime i za račun stečajne mase unovčiti imovinu dužnika i prikupljenim sredstvima namiriti nastale troškove stečajnoga postupka, a neiskorišteni iznos uplatiti u Fond za namirenje troškova stečajnoga postupka (st. 3.). Ako se ispune pretpostavke za nastavljanje postupka radi naknadne diobe iz čl. 289. st. 1. tog Zakona, sud će rješenjem o nastavljanju postupka pozvati stečajne vjerovnike da u roku od 30 dana stečajnom upravitelju prijave svoje tražbine i zakazati ročište na kojem će se ispitati prijavljene tražbine (ispitno ročište) – st. 5. Ako se stečajni postupak nastavlja zbog pronađene imovine koja ulazi u stečajnu masu, sud će rješenjem iz st. 5. zakazati istodobno i izvještajno ročište. Na odgovarajući način primijenit će se odredbe čl. 229. - 234. te čl. 247. - 285. tog Zakona.</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 xml:space="preserve">Dakle, stečajni postupak je u ovom slučaju proveden tek po njegovom nastavku. Jedina imovina je upravo novčani iznos uplaćen u korist stečajne mase po ostvarenju uspjeha u parnici, koja je bila u tijeku u vrijeme otvaranja i zaključenja stečajnog postupka po čl. 63. tada važećeg Stečajnog zakona. U tom kontekstu zaključuje se da nije riječ o naknadno pronađenoj imovini kao o kriteriju za primjenu čl. 13. st. 2. Uredbe, jer prethodno nisu provedene djelomične diobe, niti je uopće stečajni postupak proveden. Postupak je proveden tek po nastavku pa se nagrada odmjerava na osnovi vrijednosti unovčene stečajne mase primjenom tablice vrijednosti i nagrade u postotcima po čl. 7. Uredbe. </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 xml:space="preserve">Napominje se da je Uredba iz 2003. sadržavala posebno rješenje za slučaj kad je primjenom čl. 63. SZ-a stečajni sudac donio odluku o otvaranju i zaključenju stečajnog postupka (kao u ovom slučaju), na način da se nagrada stečajnom upravitelju obračunava primjenom jedinstvenog kriterija (čl. 8. te Uredbe). Nova Uredba iz 2015. koja se u ovom slučaju primjenjuje, ne sadrži posebno rješenje za ovakvu situaciju, a zaključak je ovog suda da se s obzirom na činjenicu da stečajni postupak prije nastavka uopće nije ni bio proveden već je otvoren i zaključen bez provođenja, nagrada stečajnom upravitelju određuje primjenom tablice iz čl. 7. Uredbe. </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Stečajni upravitelj ima pravo na nagradu primjenom tablice za izračun nagrade iz čl. 7. Uredbe i određenja o bruto iznosu iz čl. 15. Uredbe. Riječ je o ovim pojedinačnim iznosima po vrijednosti unovčene stečajne mase:</w:t>
      </w: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 do 100.000,00 kn, ima pravo na nagradu od 16%, što iznosi 16.000,00 kn</w:t>
      </w: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 na razliku od 100.000,01 kn do 300.000,00 kn (199.999,99 kn) ima pravo na nagradu od 12%, što iznosi 23.999,99 kn</w:t>
      </w: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 na razliku od 300.000,01 kn do 500.000,00 kn (199.999,99 kn) ima pravo na nagradu od 10%, što iznosi 19.999,99 kn</w:t>
      </w: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 na razliku od 500.000,01 kn do 1.000.000,00 kn (499.999,99 kn) ima pravo na nagradu od 8%, što iznosi 39.999,99 kn</w:t>
      </w: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 na razliku od 1.000.000,01 kn do 4.999.999,00 kn (3.999.998,99 kn) ima pravo na nagradu od 7%, što iznosi 279.999,93 kn.</w:t>
      </w:r>
    </w:p>
    <w:p w:rsidRDefault="00E60E1C" w:rsidP="00E60E1C" w:rsidR="00E60E1C" w:rsidRPr="00E60E1C">
      <w:pPr>
        <w:spacing w:lineRule="auto" w:line="240" w:after="0"/>
        <w:rPr>
          <w:rFonts w:cs="Times New Roman" w:hAnsi="Times New Roman" w:ascii="Times New Roman"/>
          <w:b/>
          <w:sz w:val="24"/>
          <w:szCs w:val="24"/>
        </w:rPr>
      </w:pPr>
    </w:p>
    <w:p w:rsidRDefault="00E60E1C" w:rsidP="00E60E1C" w:rsid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tab/>
        <w:t xml:space="preserve">Ukupan bruto iznos nagrade pravilnim izračunom iznosi 379.999,90 kn. S obzirom na to da je stečajni upravitelj (mada uz primjenu pogrešne Uredbe) zatražio ukupan iznos od 332.438,14 kn bruto, to mu se potvrđivanjem dijela pobijanog rješenja dosuđuje upravo onaj </w:t>
      </w:r>
    </w:p>
    <w:p w:rsidRDefault="00E60E1C" w:rsidP="00E60E1C" w:rsidR="00E60E1C" w:rsidRPr="00E60E1C">
      <w:pPr>
        <w:spacing w:lineRule="auto" w:line="240" w:after="0"/>
        <w:rPr>
          <w:rFonts w:cs="Times New Roman" w:hAnsi="Times New Roman" w:ascii="Times New Roman"/>
          <w:sz w:val="24"/>
          <w:szCs w:val="24"/>
        </w:rPr>
      </w:pPr>
      <w:r w:rsidRPr="00E60E1C">
        <w:rPr>
          <w:rFonts w:cs="Times New Roman" w:hAnsi="Times New Roman" w:ascii="Times New Roman"/>
          <w:sz w:val="24"/>
          <w:szCs w:val="24"/>
        </w:rPr>
        <w:lastRenderedPageBreak/>
        <w:t>iznos kojeg je zatražio (čl. 380. t. 2. ZPP-a, čl. 10. SZ-a), dok je za više dosuđeni iznos kojeg on nije ni zatražio iznos od 67.561,84 kn rješenje ukinuto bez potrebe vraćanja na poseban postupak (čl. 380. t. 3. ZPP-a, čl. 10. SZ-a).</w:t>
      </w: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jc w:val="center"/>
        <w:rPr>
          <w:rFonts w:cs="Times New Roman" w:hAnsi="Times New Roman" w:ascii="Times New Roman"/>
          <w:sz w:val="24"/>
          <w:szCs w:val="24"/>
        </w:rPr>
      </w:pPr>
      <w:r w:rsidRPr="00E60E1C">
        <w:rPr>
          <w:rFonts w:cs="Times New Roman" w:hAnsi="Times New Roman" w:ascii="Times New Roman"/>
          <w:sz w:val="24"/>
          <w:szCs w:val="24"/>
        </w:rPr>
        <w:t>Zagreb, 5. prosinca 2017.</w:t>
      </w:r>
    </w:p>
    <w:p w:rsidRDefault="00E60E1C" w:rsidP="00E60E1C" w:rsidR="00E60E1C">
      <w:pPr>
        <w:spacing w:lineRule="auto" w:line="240" w:after="0"/>
        <w:rPr>
          <w:rFonts w:cs="Times New Roman" w:hAnsi="Times New Roman" w:ascii="Times New Roman"/>
          <w:sz w:val="24"/>
          <w:szCs w:val="24"/>
        </w:rPr>
      </w:pPr>
    </w:p>
    <w:p w:rsidRDefault="00E60E1C" w:rsidP="00E60E1C" w:rsid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rPr>
          <w:rFonts w:cs="Times New Roman" w:hAnsi="Times New Roman" w:ascii="Times New Roman"/>
          <w:sz w:val="24"/>
          <w:szCs w:val="24"/>
        </w:rPr>
      </w:pPr>
    </w:p>
    <w:p w:rsidRDefault="00E60E1C" w:rsidP="00E60E1C" w:rsidR="00E60E1C" w:rsidRPr="00E60E1C">
      <w:pPr>
        <w:spacing w:lineRule="auto" w:line="240" w:after="0"/>
        <w:ind w:left="4956"/>
        <w:rPr>
          <w:rFonts w:cs="Times New Roman" w:hAnsi="Times New Roman" w:ascii="Times New Roman"/>
          <w:sz w:val="24"/>
          <w:szCs w:val="24"/>
        </w:rPr>
      </w:pPr>
      <w:r w:rsidRPr="00E60E1C">
        <w:rPr>
          <w:rFonts w:cs="Times New Roman" w:hAnsi="Times New Roman" w:ascii="Times New Roman"/>
          <w:sz w:val="24"/>
          <w:szCs w:val="24"/>
        </w:rPr>
        <w:t>Predsjednik vijeća</w:t>
      </w:r>
    </w:p>
    <w:p w:rsidRDefault="00E60E1C" w:rsidP="00E60E1C" w:rsidR="00E60E1C" w:rsidRPr="00E60E1C">
      <w:pPr>
        <w:spacing w:lineRule="auto" w:line="240" w:after="0"/>
        <w:ind w:left="4956"/>
        <w:rPr>
          <w:rFonts w:cs="Times New Roman" w:hAnsi="Times New Roman" w:ascii="Times New Roman"/>
          <w:sz w:val="24"/>
          <w:szCs w:val="24"/>
        </w:rPr>
      </w:pPr>
      <w:r w:rsidRPr="00E60E1C">
        <w:rPr>
          <w:rFonts w:cs="Times New Roman" w:hAnsi="Times New Roman" w:ascii="Times New Roman"/>
          <w:sz w:val="24"/>
          <w:szCs w:val="24"/>
        </w:rPr>
        <w:t>Lidija Tomljenović , v. r.</w:t>
      </w:r>
    </w:p>
    <w:p w:rsidRDefault="00E60E1C" w:rsidP="00E60E1C" w:rsidR="00E60E1C" w:rsidRPr="00E60E1C">
      <w:pPr>
        <w:spacing w:lineRule="auto" w:line="240" w:after="0"/>
        <w:ind w:left="4956"/>
        <w:rPr>
          <w:rFonts w:cs="Times New Roman" w:hAnsi="Times New Roman" w:ascii="Times New Roman"/>
          <w:sz w:val="24"/>
          <w:szCs w:val="24"/>
        </w:rPr>
      </w:pPr>
    </w:p>
    <w:p w:rsidRDefault="00E60E1C" w:rsidP="00E60E1C" w:rsidR="00E60E1C" w:rsidRPr="00E60E1C">
      <w:pPr>
        <w:spacing w:lineRule="auto" w:line="240" w:after="0"/>
        <w:ind w:left="4956"/>
        <w:rPr>
          <w:rFonts w:cs="Times New Roman" w:hAnsi="Times New Roman" w:ascii="Times New Roman"/>
          <w:sz w:val="24"/>
          <w:szCs w:val="24"/>
        </w:rPr>
      </w:pPr>
      <w:r w:rsidRPr="00E60E1C">
        <w:rPr>
          <w:rFonts w:cs="Times New Roman" w:hAnsi="Times New Roman" w:ascii="Times New Roman"/>
          <w:sz w:val="24"/>
          <w:szCs w:val="24"/>
        </w:rPr>
        <w:t>Za točnost otpravka – ovlašteni službenik</w:t>
      </w:r>
    </w:p>
    <w:p w:rsidRDefault="00E60E1C" w:rsidP="00E60E1C" w:rsidR="00E60E1C" w:rsidRPr="00E60E1C">
      <w:pPr>
        <w:spacing w:lineRule="auto" w:line="240" w:after="0"/>
        <w:ind w:left="4956"/>
        <w:rPr>
          <w:rFonts w:cs="Times New Roman" w:hAnsi="Times New Roman" w:ascii="Times New Roman"/>
          <w:sz w:val="24"/>
          <w:szCs w:val="24"/>
        </w:rPr>
      </w:pPr>
      <w:r w:rsidRPr="00E60E1C">
        <w:rPr>
          <w:rFonts w:cs="Times New Roman" w:hAnsi="Times New Roman" w:ascii="Times New Roman"/>
          <w:sz w:val="24"/>
          <w:szCs w:val="24"/>
        </w:rPr>
        <w:t xml:space="preserve">Brankica </w:t>
      </w:r>
      <w:proofErr w:type="spellStart"/>
      <w:r w:rsidRPr="00E60E1C">
        <w:rPr>
          <w:rFonts w:cs="Times New Roman" w:hAnsi="Times New Roman" w:ascii="Times New Roman"/>
          <w:sz w:val="24"/>
          <w:szCs w:val="24"/>
        </w:rPr>
        <w:t>Curman</w:t>
      </w:r>
      <w:proofErr w:type="spellEnd"/>
    </w:p>
    <w:p w:rsidRDefault="00E60E1C" w:rsidP="00E60E1C" w:rsidR="00E60E1C" w:rsidRPr="00E60E1C">
      <w:pPr>
        <w:spacing w:lineRule="auto" w:line="240" w:after="0"/>
        <w:rPr>
          <w:rFonts w:cs="Times New Roman" w:hAnsi="Times New Roman" w:ascii="Times New Roman"/>
          <w:sz w:val="24"/>
          <w:szCs w:val="24"/>
        </w:rPr>
      </w:pPr>
    </w:p>
    <w:p w:rsidRDefault="000104E4" w:rsidP="00E60E1C" w:rsidR="000104E4" w:rsidRPr="00E60E1C">
      <w:pPr>
        <w:spacing w:after="0"/>
        <w:rPr>
          <w:rFonts w:cs="Times New Roman" w:hAnsi="Times New Roman" w:ascii="Times New Roman"/>
          <w:sz w:val="24"/>
          <w:szCs w:val="24"/>
        </w:rPr>
      </w:pPr>
    </w:p>
    <w:sectPr w:rsidR="000104E4" w:rsidRPr="00E60E1C">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0E1C" w:rsidP="00E60E1C" w:rsidR="00E60E1C">
      <w:pPr>
        <w:spacing w:lineRule="auto" w:line="240" w:after="0"/>
      </w:pPr>
      <w:r>
        <w:separator/>
      </w:r>
    </w:p>
  </w:endnote>
  <w:endnote w:id="0" w:type="continuationSeparator">
    <w:p w:rsidRDefault="00E60E1C" w:rsidP="00E60E1C" w:rsidR="00E60E1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0E1C" w:rsidP="00E60E1C" w:rsidR="00E60E1C">
      <w:pPr>
        <w:spacing w:lineRule="auto" w:line="240" w:after="0"/>
      </w:pPr>
      <w:r>
        <w:separator/>
      </w:r>
    </w:p>
  </w:footnote>
  <w:footnote w:id="0" w:type="continuationSeparator">
    <w:p w:rsidRDefault="00E60E1C" w:rsidP="00E60E1C" w:rsidR="00E60E1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3C6F" w:rsidP="00E60E1C" w:rsidR="00E60E1C">
    <w:pPr>
      <w:pStyle w:val="HeadereSPIS"/>
    </w:pPr>
    <w:sdt>
      <w:sdtPr>
        <w:rPr>
          <w:rStyle w:val="eSPISCCParagraphDefaultFont"/>
        </w:rPr>
        <w:alias w:val="Oznaka referade"/>
        <w:tag w:val="DomainObject.Predmet.Referada.Oznaka_1"/>
        <w:id w:val="2039546895"/>
        <w:placeholder>
          <w:docPart w:val="B4C0A68252944C96A3CB2AEEC3308945"/>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Pr="00A73C6F">
          <w:rPr>
            <w:rStyle w:val="eSPISCCParagraphDefaultFont"/>
          </w:rPr>
          <w:t>47</w:t>
        </w:r>
      </w:sdtContent>
    </w:sdt>
    <w:r w:rsidR="00E60E1C">
      <w:rPr>
        <w:rStyle w:val="PozadinaSvijetloCrvena"/>
      </w:rPr>
      <w:t xml:space="preserve"> </w:t>
    </w:r>
    <w:sdt>
      <w:sdtPr>
        <w:rPr>
          <w:rStyle w:val="eSPISCCParagraphDefaultFont"/>
          <w:rFonts w:eastAsia="Calibri"/>
        </w:rPr>
        <w:alias w:val="Poslovni broj dokumenta"/>
        <w:tag w:val="DomainObject.PoslovniBrojDokumenta"/>
        <w:id w:val="265122315"/>
        <w:placeholder>
          <w:docPart w:val="C81687EFD537468C9E62D935D39B866E"/>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Pr="00A73C6F">
          <w:rPr>
            <w:rStyle w:val="eSPISCCParagraphDefaultFont"/>
            <w:rFonts w:eastAsia="Calibri"/>
          </w:rPr>
          <w:t xml:space="preserve"> Pž-6199/17-2</w:t>
        </w:r>
      </w:sdtContent>
    </w:sdt>
  </w:p>
  <w:p w:rsidRDefault="00E60E1C" w:rsidR="00E60E1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0E1C"/>
    <w:rsid w:val="000104E4"/>
    <w:rsid w:val="007331B3"/>
    <w:rsid w:val="00A73C6F"/>
    <w:rsid w:val="00E60E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60E1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60E1C"/>
  </w:style>
  <w:style w:styleId="Podnoje" w:type="paragraph">
    <w:name w:val="footer"/>
    <w:basedOn w:val="Normal"/>
    <w:link w:val="PodnojeChar"/>
    <w:uiPriority w:val="99"/>
    <w:unhideWhenUsed/>
    <w:rsid w:val="00E60E1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60E1C"/>
  </w:style>
  <w:style w:customStyle="true" w:styleId="HeadereSPIS" w:type="paragraph">
    <w:name w:val="Header_eSPIS"/>
    <w:basedOn w:val="Normal"/>
    <w:autoRedefine/>
    <w:qFormat/>
    <w:rsid w:val="00E60E1C"/>
    <w:pPr>
      <w:spacing w:lineRule="auto" w:line="240" w:after="480"/>
      <w:ind w:firstLine="567"/>
      <w:jc w:val="right"/>
    </w:pPr>
    <w:rPr>
      <w:rFonts w:eastAsia="Times New Roman" w:hAnsi="Times New Roman" w:ascii="Times New Roman"/>
      <w:sz w:val="24"/>
      <w:szCs w:val="24"/>
      <w:lang w:eastAsia="hr-HR"/>
    </w:rPr>
  </w:style>
  <w:style w:customStyle="true" w:styleId="PozadinaSvijetloCrvena" w:type="character">
    <w:name w:val="Pozadina_SvijetloCrvena"/>
    <w:basedOn w:val="Zadanifontodlomka"/>
    <w:uiPriority w:val="3"/>
    <w:rsid w:val="00E60E1C"/>
    <w:rPr>
      <w:noProof/>
      <w:bdr w:frame="true" w:space="0" w:sz="0" w:color="auto" w:val="none"/>
      <w:shd w:fill="FFCCCC" w:color="auto" w:val="clear"/>
      <w:lang w:val="hr-HR"/>
    </w:rPr>
  </w:style>
  <w:style w:customStyle="true" w:styleId="PozadinaSvijetloZelena" w:type="character">
    <w:name w:val="Pozadina_SvijetloZelena"/>
    <w:basedOn w:val="Zadanifontodlomka"/>
    <w:rsid w:val="00E60E1C"/>
    <w:rPr>
      <w:noProof/>
      <w:bdr w:frame="true" w:space="0" w:sz="0" w:color="auto" w:val="none"/>
      <w:shd w:fill="CCFFCC" w:color="auto" w:val="clear"/>
      <w:lang w:val="hr-HR"/>
    </w:rPr>
  </w:style>
  <w:style w:styleId="Tekstrezerviranogmjesta" w:type="character">
    <w:name w:val="Placeholder Text"/>
    <w:basedOn w:val="Zadanifontodlomka"/>
    <w:uiPriority w:val="99"/>
    <w:semiHidden/>
    <w:rsid w:val="00A73C6F"/>
    <w:rPr>
      <w:color w:val="808080"/>
      <w:bdr w:space="0" w:sz="0" w:color="auto" w:val="none"/>
      <w:shd w:fill="auto" w:color="auto" w:val="clear"/>
    </w:rPr>
  </w:style>
  <w:style w:customStyle="true" w:styleId="eSPISCCParagraphDefaultFont" w:type="character">
    <w:name w:val="eSPIS_CC_Paragraph Default Font"/>
    <w:basedOn w:val="Zadanifontodlomka"/>
    <w:rsid w:val="00A73C6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73C6F"/>
    <w:rPr>
      <w:rFonts w:cs="Times New Roman" w:hAnsi="Times New Roman" w:ascii="Times New Roman"/>
      <w:sz w:val="24"/>
      <w:szCs w:val="24"/>
      <w:bdr w:space="0" w:sz="0" w:color="auto" w:val="none"/>
      <w:shd w:fill="FF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60E1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60E1C"/>
  </w:style>
  <w:style w:styleId="Podnoje" w:type="paragraph">
    <w:name w:val="footer"/>
    <w:basedOn w:val="Normal"/>
    <w:link w:val="PodnojeChar"/>
    <w:uiPriority w:val="99"/>
    <w:unhideWhenUsed/>
    <w:rsid w:val="00E60E1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60E1C"/>
  </w:style>
  <w:style w:customStyle="1" w:styleId="HeadereSPIS" w:type="paragraph">
    <w:name w:val="Header_eSPIS"/>
    <w:basedOn w:val="Normal"/>
    <w:autoRedefine/>
    <w:qFormat/>
    <w:rsid w:val="00E60E1C"/>
    <w:pPr>
      <w:spacing w:after="480" w:line="240" w:lineRule="auto"/>
      <w:ind w:firstLine="567"/>
      <w:jc w:val="right"/>
    </w:pPr>
    <w:rPr>
      <w:rFonts w:ascii="Times New Roman" w:eastAsia="Times New Roman" w:hAnsi="Times New Roman"/>
      <w:sz w:val="24"/>
      <w:szCs w:val="24"/>
      <w:lang w:eastAsia="hr-HR"/>
    </w:rPr>
  </w:style>
  <w:style w:customStyle="1" w:styleId="PozadinaSvijetloCrvena" w:type="character">
    <w:name w:val="Pozadina_SvijetloCrvena"/>
    <w:basedOn w:val="Zadanifontodlomka"/>
    <w:uiPriority w:val="3"/>
    <w:rsid w:val="00E60E1C"/>
    <w:rPr>
      <w:noProof/>
      <w:bdr w:color="auto" w:frame="1" w:space="0" w:sz="0" w:val="none"/>
      <w:shd w:color="auto" w:fill="FFCCCC" w:val="clear"/>
      <w:lang w:val="hr-HR"/>
    </w:rPr>
  </w:style>
  <w:style w:customStyle="1" w:styleId="PozadinaSvijetloZelena" w:type="character">
    <w:name w:val="Pozadina_SvijetloZelena"/>
    <w:basedOn w:val="Zadanifontodlomka"/>
    <w:rsid w:val="00E60E1C"/>
    <w:rPr>
      <w:noProof/>
      <w:bdr w:color="auto" w:frame="1" w:space="0" w:sz="0" w:val="none"/>
      <w:shd w:color="auto" w:fill="CCFFCC" w:val="clear"/>
      <w:lang w:val="hr-HR"/>
    </w:rPr>
  </w:style>
  <w:style w:styleId="Tekstrezerviranogmjesta" w:type="character">
    <w:name w:val="Placeholder Text"/>
    <w:basedOn w:val="Zadanifontodlomka"/>
    <w:uiPriority w:val="99"/>
    <w:semiHidden/>
    <w:rsid w:val="00A73C6F"/>
    <w:rPr>
      <w:color w:val="808080"/>
      <w:bdr w:color="auto" w:space="0" w:sz="0" w:val="none"/>
      <w:shd w:color="auto" w:fill="auto" w:val="clear"/>
    </w:rPr>
  </w:style>
  <w:style w:customStyle="1" w:styleId="eSPISCCParagraphDefaultFont" w:type="character">
    <w:name w:val="eSPIS_CC_Paragraph Default Font"/>
    <w:basedOn w:val="Zadanifontodlomka"/>
    <w:rsid w:val="00A73C6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73C6F"/>
    <w:rPr>
      <w:rFonts w:ascii="Times New Roman" w:cs="Times New Roman" w:hAnsi="Times New Roman"/>
      <w:sz w:val="24"/>
      <w:szCs w:val="24"/>
      <w:bdr w:color="auto" w:space="0" w:sz="0" w:val="none"/>
      <w:shd w:color="auto" w:fill="FF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6360776">
      <w:bodyDiv w:val="true"/>
      <w:marLeft w:val="0"/>
      <w:marRight w:val="0"/>
      <w:marTop w:val="0"/>
      <w:marBottom w:val="0"/>
      <w:divBdr>
        <w:top w:space="0" w:sz="0" w:color="auto" w:val="none"/>
        <w:left w:space="0" w:sz="0" w:color="auto" w:val="none"/>
        <w:bottom w:space="0" w:sz="0" w:color="auto" w:val="none"/>
        <w:right w:space="0" w:sz="0" w:color="auto" w:val="none"/>
      </w:divBdr>
    </w:div>
    <w:div w:id="12756743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4C0A68252944C96A3CB2AEEC3308945"/>
        <w:category>
          <w:name w:val="Općenito"/>
          <w:gallery w:val="placeholder"/>
        </w:category>
        <w:types>
          <w:type w:val="bbPlcHdr"/>
        </w:types>
        <w:behaviors>
          <w:behavior w:val="content"/>
        </w:behaviors>
        <w:guid w:val="{1CC8655E-2010-4CBE-B7F2-CBDD749ECA91}"/>
      </w:docPartPr>
      <w:docPartBody>
        <w:p w:rsidRDefault="007A022B" w:rsidP="007A022B" w:rsidR="0090744F">
          <w:pPr>
            <w:pStyle w:val="B4C0A68252944C96A3CB2AEEC3308945"/>
          </w:pPr>
          <w:r>
            <w:rPr>
              <w:rStyle w:val="Tekstrezerviranogmjesta"/>
            </w:rPr>
            <w:t>.._.._.._.._.._.._.._..</w:t>
          </w:r>
        </w:p>
      </w:docPartBody>
    </w:docPart>
    <w:docPart>
      <w:docPartPr>
        <w:name w:val="C81687EFD537468C9E62D935D39B866E"/>
        <w:category>
          <w:name w:val="Općenito"/>
          <w:gallery w:val="placeholder"/>
        </w:category>
        <w:types>
          <w:type w:val="bbPlcHdr"/>
        </w:types>
        <w:behaviors>
          <w:behavior w:val="content"/>
        </w:behaviors>
        <w:guid w:val="{45C3D5F6-2C41-49FE-A2F4-DF5D657C5CDD}"/>
      </w:docPartPr>
      <w:docPartBody>
        <w:p w:rsidRDefault="007A022B" w:rsidP="007A022B" w:rsidR="0090744F">
          <w:pPr>
            <w:pStyle w:val="C81687EFD537468C9E62D935D39B866E"/>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22B"/>
    <w:rsid w:val="007A022B"/>
    <w:rsid w:val="009074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A022B"/>
  </w:style>
  <w:style w:customStyle="true" w:styleId="B4C0A68252944C96A3CB2AEEC3308945" w:type="paragraph">
    <w:name w:val="B4C0A68252944C96A3CB2AEEC3308945"/>
    <w:rsid w:val="007A022B"/>
  </w:style>
  <w:style w:customStyle="true" w:styleId="C81687EFD537468C9E62D935D39B866E" w:type="paragraph">
    <w:name w:val="C81687EFD537468C9E62D935D39B866E"/>
    <w:rsid w:val="007A022B"/>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A022B"/>
  </w:style>
  <w:style w:customStyle="1" w:styleId="B4C0A68252944C96A3CB2AEEC3308945" w:type="paragraph">
    <w:name w:val="B4C0A68252944C96A3CB2AEEC3308945"/>
    <w:rsid w:val="007A022B"/>
  </w:style>
  <w:style w:customStyle="1" w:styleId="C81687EFD537468C9E62D935D39B866E" w:type="paragraph">
    <w:name w:val="C81687EFD537468C9E62D935D39B866E"/>
    <w:rsid w:val="007A022B"/>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rj.Pž-6199/2017 od 18.12.17. -I Odbija se žalba RH i potvrđuje rješenje -73 od 19.9.17. u dijelu kojim je st up. određena nagrada za rad u izn 332.438,14  kn. II Ukida se rj. -73 od 19.9.17. kojim je st.up.određena nagrada u izn.67.561,84 kn</izvorni_sadrzaj>
    <derivirana_varijabla naziv="DomainObject.Primjedba_1">rj.Pž-6199/2017 od 18.12.17. -I Odbija se žalba RH i potvrđuje rješenje -73 od 19.9.17. u dijelu kojim je st up. određena nagrada za rad u izn 332.438,14  kn. II Ukida se rj. -73 od 19.9.17. kojim je st.up.određena nagrada u izn.67.561,84 kn</derivirana_varijabla>
  </DomainObject.Primjedba>
  <DomainObject.Oznaka>
    <izvorni_sadrzaj>St-871/2012-79</izvorni_sadrzaj>
    <derivirana_varijabla naziv="DomainObject.Oznaka_1">St-871/2012-79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871</izvorni_sadrzaj>
    <derivirana_varijabla naziv="DomainObject.Predmet.Broj_1">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2012.</izvorni_sadrzaj>
    <derivirana_varijabla naziv="DomainObject.Predmet.DatumOsnivanja_1">3.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kolovoza 2012.</izvorni_sadrzaj>
    <derivirana_varijabla naziv="DomainObject.Predmet.DatumRjesavanja_1">14. kolovoza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St-871/2012</izvorni_sadrzaj>
    <derivirana_varijabla naziv="DomainObject.Predmet.OznakaBroj_1">St-871/2012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
    <derivirana_varijabla naziv="DomainObject.Predmet.PrimjedbaSuca_1"/>
  </DomainObject.Predmet.PrimjedbaSuca>
  <DomainObject.Predmet.ProtustrankaFormated>
    <izvorni_sadrzaj>  VIVA GRUPA d.o.o. ZA TRGOVINU I USLUGE</izvorni_sadrzaj>
    <derivirana_varijabla naziv="DomainObject.Predmet.ProtustrankaFormated_1">  VIVA GRUPA d.o.o. ZA TRGOVINU I USLUGE</derivirana_varijabla>
  </DomainObject.Predmet.ProtustrankaFormated>
  <DomainObject.Predmet.ProtustrankaFormatedOIB>
    <izvorni_sadrzaj>  VIVA GRUPA d.o.o. ZA TRGOVINU I USLUGE, OIB 15996184185</izvorni_sadrzaj>
    <derivirana_varijabla naziv="DomainObject.Predmet.ProtustrankaFormatedOIB_1">  VIVA GRUPA d.o.o. ZA TRGOVINU I USLUGE, OIB 15996184185</derivirana_varijabla>
  </DomainObject.Predmet.ProtustrankaFormatedOIB>
  <DomainObject.Predmet.ProtustrankaFormatedWithAdress>
    <izvorni_sadrzaj> VIVA GRUPA d.o.o. ZA TRGOVINU I USLUGE, VOĆARSKA CESTA 63/B, 10000 Zagreb</izvorni_sadrzaj>
    <derivirana_varijabla naziv="DomainObject.Predmet.ProtustrankaFormatedWithAdress_1"> VIVA GRUPA d.o.o. ZA TRGOVINU I USLUGE, VOĆARSKA CESTA 63/B, 10000 Zagreb</derivirana_varijabla>
  </DomainObject.Predmet.ProtustrankaFormatedWithAdress>
  <DomainObject.Predmet.ProtustrankaFormatedWithAdressOIB>
    <izvorni_sadrzaj> VIVA GRUPA d.o.o. ZA TRGOVINU I USLUGE, OIB 15996184185, VOĆARSKA CESTA 63/B, 10000 Zagreb</izvorni_sadrzaj>
    <derivirana_varijabla naziv="DomainObject.Predmet.ProtustrankaFormatedWithAdressOIB_1"> VIVA GRUPA d.o.o. ZA TRGOVINU I USLUGE, OIB 15996184185, VOĆARSKA CESTA 63/B, 10000 Zagreb</derivirana_varijabla>
  </DomainObject.Predmet.ProtustrankaFormatedWithAdressOIB>
  <DomainObject.Predmet.ProtustrankaWithAdress>
    <izvorni_sadrzaj>VIVA GRUPA d.o.o. ZA TRGOVINU I USLUGE VOĆARSKA CESTA 63/B, 10000 Zagreb</izvorni_sadrzaj>
    <derivirana_varijabla naziv="DomainObject.Predmet.ProtustrankaWithAdress_1">VIVA GRUPA d.o.o. ZA TRGOVINU I USLUGE VOĆARSKA CESTA 63/B, 10000 Zagreb</derivirana_varijabla>
  </DomainObject.Predmet.ProtustrankaWithAdress>
  <DomainObject.Predmet.ProtustrankaWithAdressOIB>
    <izvorni_sadrzaj>VIVA GRUPA d.o.o. ZA TRGOVINU I USLUGE, OIB 15996184185, VOĆARSKA CESTA 63/B, 10000 Zagreb</izvorni_sadrzaj>
    <derivirana_varijabla naziv="DomainObject.Predmet.ProtustrankaWithAdressOIB_1">VIVA GRUPA d.o.o. ZA TRGOVINU I USLUGE, OIB 15996184185, VOĆARSKA CESTA 63/B, 10000 Zagreb</derivirana_varijabla>
  </DomainObject.Predmet.ProtustrankaWithAdressOIB>
  <DomainObject.Predmet.ProtustrankaNazivFormated>
    <izvorni_sadrzaj>VIVA GRUPA d.o.o. ZA TRGOVINU I USLUGE</izvorni_sadrzaj>
    <derivirana_varijabla naziv="DomainObject.Predmet.ProtustrankaNazivFormated_1">VIVA GRUPA d.o.o. ZA TRGOVINU I USLUGE</derivirana_varijabla>
  </DomainObject.Predmet.ProtustrankaNazivFormated>
  <DomainObject.Predmet.ProtustrankaNazivFormatedOIB>
    <izvorni_sadrzaj>VIVA GRUPA d.o.o. ZA TRGOVINU I USLUGE, OIB 15996184185</izvorni_sadrzaj>
    <derivirana_varijabla naziv="DomainObject.Predmet.ProtustrankaNazivFormatedOIB_1">VIVA GRUPA d.o.o. ZA TRGOVINU I USLUGE, OIB 15996184185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47</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VJEROVNICI</izvorni_sadrzaj>
    <derivirana_varijabla naziv="DomainObject.Predmet.StrankaFormated_1">  REPUBLIKA HRVATSKA, MINISTARSTVO FINANCIJA, POREZNA UPRAVA, PODRUČNI URED ZAGREB; VJEROVNICI</derivirana_varijabla>
  </DomainObject.Predmet.StrankaFormated>
  <DomainObject.Predmet.StrankaFormatedOIB>
    <izvorni_sadrzaj>  REPUBLIKA HRVATSKA, MINISTARSTVO FINANCIJA, POREZNA UPRAVA, PODRUČNI URED ZAGREB; VJEROVNICI</izvorni_sadrzaj>
    <derivirana_varijabla naziv="DomainObject.Predmet.StrankaFormatedOIB_1">  REPUBLIKA HRVATSKA, MINISTARSTVO FINANCIJA, POREZNA UPRAVA, PODRUČNI URED ZAGREB; VJEROVNICI</derivirana_varijabla>
  </DomainObject.Predmet.StrankaFormatedOIB>
  <DomainObject.Predmet.StrankaFormatedWithAdress>
    <izvorni_sadrzaj> REPUBLIKA HRVATSKA, MINISTARSTVO FINANCIJA, POREZNA UPRAVA, PODRUČNI URED ZAGREB; VJEROVNICI</izvorni_sadrzaj>
    <derivirana_varijabla naziv="DomainObject.Predmet.StrankaFormatedWithAdress_1"> REPUBLIKA HRVATSKA, MINISTARSTVO FINANCIJA, POREZNA UPRAVA, PODRUČNI URED ZAGREB; VJEROVNICI</derivirana_varijabla>
  </DomainObject.Predmet.StrankaFormatedWithAdress>
  <DomainObject.Predmet.StrankaFormatedWithAdressOIB>
    <izvorni_sadrzaj> REPUBLIKA HRVATSKA, MINISTARSTVO FINANCIJA, POREZNA UPRAVA, PODRUČNI URED ZAGREB; VJEROVNICI</izvorni_sadrzaj>
    <derivirana_varijabla naziv="DomainObject.Predmet.StrankaFormatedWithAdressOIB_1"> REPUBLIKA HRVATSKA, MINISTARSTVO FINANCIJA, POREZNA UPRAVA, PODRUČNI URED ZAGREB; VJEROVNICI</derivirana_varijabla>
  </DomainObject.Predmet.StrankaFormatedWithAdressOIB>
  <DomainObject.Predmet.StrankaWithAdress>
    <izvorni_sadrzaj>REPUBLIKA HRVATSKA, MINISTARSTVO FINANCIJA, POREZNA UPRAVA, PODRUČNI URED ZAGREB ,VJEROVNICI </izvorni_sadrzaj>
    <derivirana_varijabla naziv="DomainObject.Predmet.StrankaWithAdress_1">REPUBLIKA HRVATSKA, MINISTARSTVO FINANCIJA, POREZNA UPRAVA, PODRUČNI URED ZAGREB ,VJEROVNICI </derivirana_varijabla>
  </DomainObject.Predmet.StrankaWithAdress>
  <DomainObject.Predmet.StrankaWithAdressOIB>
    <izvorni_sadrzaj>REPUBLIKA HRVATSKA, MINISTARSTVO FINANCIJA, POREZNA UPRAVA, PODRUČNI URED ZAGREB,VJEROVNICI</izvorni_sadrzaj>
    <derivirana_varijabla naziv="DomainObject.Predmet.StrankaWithAdressOIB_1">REPUBLIKA HRVATSKA, MINISTARSTVO FINANCIJA, POREZNA UPRAVA, PODRUČNI URED ZAGREB,VJEROVNICI</derivirana_varijabla>
  </DomainObject.Predmet.StrankaWithAdressOIB>
  <DomainObject.Predmet.StrankaNazivFormated>
    <izvorni_sadrzaj>REPUBLIKA HRVATSKA, MINISTARSTVO FINANCIJA, POREZNA UPRAVA, PODRUČNI URED ZAGREB,VJEROVNICI</izvorni_sadrzaj>
    <derivirana_varijabla naziv="DomainObject.Predmet.StrankaNazivFormated_1">REPUBLIKA HRVATSKA, MINISTARSTVO FINANCIJA, POREZNA UPRAVA, PODRUČNI URED ZAGREB,VJEROVNICI</derivirana_varijabla>
  </DomainObject.Predmet.StrankaNazivFormated>
  <DomainObject.Predmet.StrankaNazivFormatedOIB>
    <izvorni_sadrzaj>REPUBLIKA HRVATSKA, MINISTARSTVO FINANCIJA, POREZNA UPRAVA, PODRUČNI URED ZAGREB,VJEROVNICI</izvorni_sadrzaj>
    <derivirana_varijabla naziv="DomainObject.Predmet.StrankaNazivFormatedOIB_1">REPUBLIKA HRVATSKA, MINISTARSTVO FINANCIJA, POREZNA UPRAVA, PODRUČNI URED ZAGREB,VJEROVNICI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REPUBLIKA HRVATSKA, MINISTARSTVO FINANCIJA, POREZNA UPRAVA, PODRUČNI URED ZAGREB</item>
      <item>VJEROVNICI</item>
    </izvorni_sadrzaj>
    <derivirana_varijabla naziv="DomainObject.Predmet.StrankaListFormated_1">
      <item>REPUBLIKA HRVATSKA, MINISTARSTVO FINANCIJA, POREZNA UPRAVA, PODRUČNI URED ZAGREB</item>
      <item>VJEROVNICI</item>
    </derivirana_varijabla>
  </DomainObject.Predmet.StrankaListFormated>
  <DomainObject.Predmet.StrankaListFormatedOIB>
    <izvorni_sadrzaj>
      <item>REPUBLIKA HRVATSKA, MINISTARSTVO FINANCIJA, POREZNA UPRAVA, PODRUČNI URED ZAGREB</item>
      <item>VJEROVNICI</item>
    </izvorni_sadrzaj>
    <derivirana_varijabla naziv="DomainObject.Predmet.StrankaListFormatedOIB_1">
      <item>REPUBLIKA HRVATSKA, MINISTARSTVO FINANCIJA, POREZNA UPRAVA, PODRUČNI URED ZAGREB</item>
      <item>VJEROVNICI</item>
    </derivirana_varijabla>
  </DomainObject.Predmet.StrankaListFormatedOIB>
  <DomainObject.Predmet.StrankaListFormatedWithAdress>
    <izvorni_sadrzaj>
      <item>REPUBLIKA HRVATSKA, MINISTARSTVO FINANCIJA, POREZNA UPRAVA, PODRUČNI URED ZAGREB</item>
      <item>VJEROVNICI</item>
    </izvorni_sadrzaj>
    <derivirana_varijabla naziv="DomainObject.Predmet.StrankaListFormatedWithAdress_1">
      <item>REPUBLIKA HRVATSKA, MINISTARSTVO FINANCIJA, POREZNA UPRAVA, PODRUČNI URED ZAGREB</item>
      <item>VJEROVNICI</item>
    </derivirana_varijabla>
  </DomainObject.Predmet.StrankaListFormatedWithAdress>
  <DomainObject.Predmet.StrankaListFormatedWithAdressOIB>
    <izvorni_sadrzaj>
      <item>REPUBLIKA HRVATSKA, MINISTARSTVO FINANCIJA, POREZNA UPRAVA, PODRUČNI URED ZAGREB</item>
      <item>VJEROVNICI</item>
    </izvorni_sadrzaj>
    <derivirana_varijabla naziv="DomainObject.Predmet.StrankaListFormatedWithAdressOIB_1">
      <item>REPUBLIKA HRVATSKA, MINISTARSTVO FINANCIJA, POREZNA UPRAVA, PODRUČNI URED ZAGREB</item>
      <item>VJEROVNICI</item>
    </derivirana_varijabla>
  </DomainObject.Predmet.StrankaListFormatedWithAdressOIB>
  <DomainObject.Predmet.StrankaListNazivFormated>
    <izvorni_sadrzaj>
      <item>REPUBLIKA HRVATSKA, MINISTARSTVO FINANCIJA, POREZNA UPRAVA, PODRUČNI URED ZAGREB</item>
      <item>VJEROVNICI</item>
    </izvorni_sadrzaj>
    <derivirana_varijabla naziv="DomainObject.Predmet.StrankaListNazivFormated_1">
      <item>REPUBLIKA HRVATSKA, MINISTARSTVO FINANCIJA, POREZNA UPRAVA, PODRUČNI URED ZAGREB</item>
      <item>VJEROVNICI</item>
    </derivirana_varijabla>
  </DomainObject.Predmet.StrankaListNazivFormated>
  <DomainObject.Predmet.StrankaListNazivFormatedOIB>
    <izvorni_sadrzaj>
      <item>REPUBLIKA HRVATSKA, MINISTARSTVO FINANCIJA, POREZNA UPRAVA, PODRUČNI URED ZAGREB</item>
      <item>VJEROVNICI</item>
    </izvorni_sadrzaj>
    <derivirana_varijabla naziv="DomainObject.Predmet.StrankaListNazivFormatedOIB_1">
      <item>REPUBLIKA HRVATSKA, MINISTARSTVO FINANCIJA, POREZNA UPRAVA, PODRUČNI URED ZAGREB</item>
      <item>VJEROVNICI</item>
    </derivirana_varijabla>
  </DomainObject.Predmet.StrankaListNazivFormatedOIB>
  <DomainObject.Predmet.ProtuStrankaListFormated>
    <izvorni_sadrzaj>
      <item>VIVA GRUPA d.o.o. ZA TRGOVINU I USLUGE</item>
    </izvorni_sadrzaj>
    <derivirana_varijabla naziv="DomainObject.Predmet.ProtuStrankaListFormated_1">
      <item>VIVA GRUPA d.o.o. ZA TRGOVINU I USLUGE</item>
    </derivirana_varijabla>
  </DomainObject.Predmet.ProtuStrankaListFormated>
  <DomainObject.Predmet.ProtuStrankaListFormatedOIB>
    <izvorni_sadrzaj>
      <item>VIVA GRUPA d.o.o. ZA TRGOVINU I USLUGE, OIB 15996184185</item>
    </izvorni_sadrzaj>
    <derivirana_varijabla naziv="DomainObject.Predmet.ProtuStrankaListFormatedOIB_1">
      <item>VIVA GRUPA d.o.o. ZA TRGOVINU I USLUGE, OIB 15996184185</item>
    </derivirana_varijabla>
  </DomainObject.Predmet.ProtuStrankaListFormatedOIB>
  <DomainObject.Predmet.ProtuStrankaListFormatedWithAdress>
    <izvorni_sadrzaj>
      <item>VIVA GRUPA d.o.o. ZA TRGOVINU I USLUGE, VOĆARSKA CESTA 63/B, 10000 Zagreb</item>
    </izvorni_sadrzaj>
    <derivirana_varijabla naziv="DomainObject.Predmet.ProtuStrankaListFormatedWithAdress_1">
      <item>VIVA GRUPA d.o.o. ZA TRGOVINU I USLUGE, VOĆARSKA CESTA 63/B, 10000 Zagreb</item>
    </derivirana_varijabla>
  </DomainObject.Predmet.ProtuStrankaListFormatedWithAdress>
  <DomainObject.Predmet.ProtuStrankaListFormatedWithAdressOIB>
    <izvorni_sadrzaj>
      <item>VIVA GRUPA d.o.o. ZA TRGOVINU I USLUGE, OIB 15996184185, VOĆARSKA CESTA 63/B, 10000 Zagreb</item>
    </izvorni_sadrzaj>
    <derivirana_varijabla naziv="DomainObject.Predmet.ProtuStrankaListFormatedWithAdressOIB_1">
      <item>VIVA GRUPA d.o.o. ZA TRGOVINU I USLUGE, OIB 15996184185, VOĆARSKA CESTA 63/B, 10000 Zagreb</item>
    </derivirana_varijabla>
  </DomainObject.Predmet.ProtuStrankaListFormatedWithAdressOIB>
  <DomainObject.Predmet.ProtuStrankaListNazivFormated>
    <izvorni_sadrzaj>
      <item>VIVA GRUPA d.o.o. ZA TRGOVINU I USLUGE</item>
    </izvorni_sadrzaj>
    <derivirana_varijabla naziv="DomainObject.Predmet.ProtuStrankaListNazivFormated_1">
      <item>VIVA GRUPA d.o.o. ZA TRGOVINU I USLUGE</item>
    </derivirana_varijabla>
  </DomainObject.Predmet.ProtuStrankaListNazivFormated>
  <DomainObject.Predmet.ProtuStrankaListNazivFormatedOIB>
    <izvorni_sadrzaj>
      <item>VIVA GRUPA d.o.o. ZA TRGOVINU I USLUGE, OIB 15996184185</item>
    </izvorni_sadrzaj>
    <derivirana_varijabla naziv="DomainObject.Predmet.ProtuStrankaListNazivFormatedOIB_1">
      <item>VIVA GRUPA d.o.o. ZA TRGOVINU I USLUGE, OIB 15996184185</item>
    </derivirana_varijabla>
  </DomainObject.Predmet.ProtuStrankaListNazivFormatedOIB>
  <DomainObject.Predmet.OstaliListFormated>
    <izvorni_sadrzaj>
      <item>ŽUPANIJSKO DRŽAVNO ODVJETNIŠTVO U ZAGREBU</item>
      <item>Božidar Brkljač</item>
    </izvorni_sadrzaj>
    <derivirana_varijabla naziv="DomainObject.Predmet.OstaliListFormated_1">
      <item>ŽUPANIJSKO DRŽAVNO ODVJETNIŠTVO U ZAGREBU</item>
      <item>Božidar Brkljač</item>
    </derivirana_varijabla>
  </DomainObject.Predmet.OstaliListFormated>
  <DomainObject.Predmet.OstaliListFormatedOIB>
    <izvorni_sadrzaj>
      <item>ŽUPANIJSKO DRŽAVNO ODVJETNIŠTVO U ZAGREBU</item>
      <item>Božidar Brkljač</item>
    </izvorni_sadrzaj>
    <derivirana_varijabla naziv="DomainObject.Predmet.OstaliListFormatedOIB_1">
      <item>ŽUPANIJSKO DRŽAVNO ODVJETNIŠTVO U ZAGREBU</item>
      <item>Božidar Brkljač</item>
    </derivirana_varijabla>
  </DomainObject.Predmet.OstaliListFormatedOIB>
  <DomainObject.Predmet.OstaliListFormatedWithAdress>
    <izvorni_sadrzaj>
      <item>ŽUPANIJSKO DRŽAVNO ODVJETNIŠTVO U ZAGREBU, 10000 Zagreb</item>
      <item>Božidar Brkljač, Šime Devčića 3, 10000 Zagreb</item>
    </izvorni_sadrzaj>
    <derivirana_varijabla naziv="DomainObject.Predmet.OstaliListFormatedWithAdress_1">
      <item>ŽUPANIJSKO DRŽAVNO ODVJETNIŠTVO U ZAGREBU, 10000 Zagreb</item>
      <item>Božidar Brkljač, Šime Devčića 3, 10000 Zagreb</item>
    </derivirana_varijabla>
  </DomainObject.Predmet.OstaliListFormatedWithAdress>
  <DomainObject.Predmet.OstaliListFormatedWithAdressOIB>
    <izvorni_sadrzaj>
      <item>ŽUPANIJSKO DRŽAVNO ODVJETNIŠTVO U ZAGREBU, 10000 Zagreb</item>
      <item>Božidar Brkljač, Šime Devčića 3, 10000 Zagreb</item>
    </izvorni_sadrzaj>
    <derivirana_varijabla naziv="DomainObject.Predmet.OstaliListFormatedWithAdressOIB_1">
      <item>ŽUPANIJSKO DRŽAVNO ODVJETNIŠTVO U ZAGREBU, 10000 Zagreb</item>
      <item>Božidar Brkljač, Šime Devčića 3, 10000 Zagreb</item>
    </derivirana_varijabla>
  </DomainObject.Predmet.OstaliListFormatedWithAdressOIB>
  <DomainObject.Predmet.OstaliListNazivFormated>
    <izvorni_sadrzaj>
      <item>ŽUPANIJSKO DRŽAVNO ODVJETNIŠTVO U ZAGREBU</item>
      <item>Božidar Brkljač</item>
    </izvorni_sadrzaj>
    <derivirana_varijabla naziv="DomainObject.Predmet.OstaliListNazivFormated_1">
      <item>ŽUPANIJSKO DRŽAVNO ODVJETNIŠTVO U ZAGREBU</item>
      <item>Božidar Brkljač</item>
    </derivirana_varijabla>
  </DomainObject.Predmet.OstaliListNazivFormated>
  <DomainObject.Predmet.OstaliListNazivFormatedOIB>
    <izvorni_sadrzaj>
      <item>ŽUPANIJSKO DRŽAVNO ODVJETNIŠTVO U ZAGREBU</item>
      <item>Božidar Brkljač</item>
    </izvorni_sadrzaj>
    <derivirana_varijabla naziv="DomainObject.Predmet.OstaliListNazivFormatedOIB_1">
      <item>ŽUPANIJSKO DRŽAVNO ODVJETNIŠTVO U ZAGREBU</item>
      <item>Božidar Brkljač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Pž-6199/17-2</derivirana_varijabla>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VIVA GRUPA d.o.o. ZA TRGOVINU I USLUGE</izvorni_sadrzaj>
    <derivirana_varijabla naziv="DomainObject.Predmet.ProtustrankaIDrugi_1">VIVA GRUPA d.o.o. ZA TRGOVINU I USLUGE</derivirana_varijabla>
  </DomainObject.Predmet.ProtustrankaIDrugi>
  <DomainObject.Predmet.StrankaIDrugiAdressOIB>
    <izvorni_sadrzaj>REPUBLIKA HRVATSKA, MINISTARSTVO FINANCIJA, POREZNA UPRAVA, PODRUČNI URED ZAGREB i dr.</izvorni_sadrzaj>
    <derivirana_varijabla naziv="DomainObject.Predmet.StrankaIDrugiAdressOIB_1">REPUBLIKA HRVATSKA, MINISTARSTVO FINANCIJA, POREZNA UPRAVA, PODRUČNI URED ZAGREB i dr.</derivirana_varijabla>
  </DomainObject.Predmet.StrankaIDrugiAdressOIB>
  <DomainObject.Predmet.ProtustrankaIDrugiAdressOIB>
    <izvorni_sadrzaj>VIVA GRUPA d.o.o. ZA TRGOVINU I USLUGE, OIB 15996184185, VOĆARSKA CESTA 63/B, 10000 Zagreb</izvorni_sadrzaj>
    <derivirana_varijabla naziv="DomainObject.Predmet.ProtustrankaIDrugiAdressOIB_1">VIVA GRUPA d.o.o. ZA TRGOVINU I USLUGE, OIB 15996184185, VOĆARSKA CESTA 63/B,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kolovoza 2012.</izvorni_sadrzaj>
    <derivirana_varijabla naziv="DomainObject.Predmet.OdlukaRjesenje.DatumDonosenjaOdluke_1">14. kolovoza 2012.</derivirana_varijabla>
  </DomainObject.Predmet.OdlukaRjesenje.DatumDonosenjaOdluke>
  <DomainObject.Predmet.OdlukaRjesenje.DatumPravomocnosti>
    <izvorni_sadrzaj>11. rujna 2012.</izvorni_sadrzaj>
    <derivirana_varijabla naziv="DomainObject.Predmet.OdlukaRjesenje.DatumPravomocnosti_1">11. rujna 2012.</derivirana_varijabla>
  </DomainObject.Predmet.OdlukaRjesenje.DatumPravomocnosti>
  <DomainObject.Predmet.OdlukaRjesenje.Oznaka>
    <izvorni_sadrzaj>St-871/2012-30</izvorni_sadrzaj>
    <derivirana_varijabla naziv="DomainObject.Predmet.OdlukaRjesenje.Oznaka_1">St-871/2012-30</derivirana_varijabla>
  </DomainObject.Predmet.OdlukaRjesenje.Oznaka>
  <DomainObject.Predmet.SudioniciListNaziv>
    <izvorni_sadrzaj>
      <item>REPUBLIKA HRVATSKA, MINISTARSTVO FINANCIJA, POREZNA UPRAVA, PODRUČNI URED ZAGREB</item>
      <item>ŽUPANIJSKO DRŽAVNO ODVJETNIŠTVO U ZAGREBU</item>
      <item>VJEROVNICI</item>
      <item>Božidar Brkljač</item>
      <item>VIVA GRUPA d.o.o. ZA TRGOVINU I USLUGE</item>
    </izvorni_sadrzaj>
    <derivirana_varijabla naziv="DomainObject.Predmet.SudioniciListNaziv_1">
      <item>REPUBLIKA HRVATSKA, MINISTARSTVO FINANCIJA, POREZNA UPRAVA, PODRUČNI URED ZAGREB</item>
      <item>ŽUPANIJSKO DRŽAVNO ODVJETNIŠTVO U ZAGREBU</item>
      <item>VJEROVNICI</item>
      <item>Božidar Brkljač</item>
      <item>VIVA GRUPA d.o.o. ZA TRGOVINU I USLUGE</item>
    </derivirana_varijabla>
  </DomainObject.Predmet.SudioniciListNaziv>
  <DomainObject.Predmet.SudioniciListAdressOIB>
    <izvorni_sadrzaj>
      <item>REPUBLIKA HRVATSKA, MINISTARSTVO FINANCIJA, POREZNA UPRAVA, PODRUČNI URED ZAGREB</item>
      <item>ŽUPANIJSKO DRŽAVNO ODVJETNIŠTVO U ZAGREBU, 10000 Zagreb</item>
      <item>VJEROVNICI</item>
      <item>Božidar Brkljač, Šime Devčića 3,10000 Zagreb</item>
      <item>VIVA GRUPA d.o.o. ZA TRGOVINU I USLUGE, OIB 15996184185, VOĆARSKA CESTA 63/B,10000 Zagreb</item>
    </izvorni_sadrzaj>
    <derivirana_varijabla naziv="DomainObject.Predmet.SudioniciListAdressOIB_1">
      <item>REPUBLIKA HRVATSKA, MINISTARSTVO FINANCIJA, POREZNA UPRAVA, PODRUČNI URED ZAGREB</item>
      <item>ŽUPANIJSKO DRŽAVNO ODVJETNIŠTVO U ZAGREBU, 10000 Zagreb</item>
      <item>VJEROVNICI</item>
      <item>Božidar Brkljač, Šime Devčića 3,10000 Zagreb</item>
      <item>VIVA GRUPA d.o.o. ZA TRGOVINU I USLUGE, OIB 15996184185, VOĆARSKA CESTA 63/B,10000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15996184185</item>
    </izvorni_sadrzaj>
    <derivirana_varijabla naziv="DomainObject.Predmet.SudioniciListNazivOIB_1">
      <item>, OIB null</item>
      <item>, OIB null</item>
      <item>, OIB null</item>
      <item>, OIB null</item>
      <item>, OIB 15996184185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2449</properties:Words>
  <properties:Characters>13551</properties:Characters>
  <properties:Lines>246</properties:Lines>
  <properties:Paragraphs>49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2017-12-19T08:33:00Z</dcterms:created>
  <dc:creator>Sonja Pilić</dc:creator>
  <cp:lastModifiedBy>Sonja Pilić</cp:lastModifiedBy>
  <dcterms:modified xmlns:xsi="http://www.w3.org/2001/XMLSchema-instance" xsi:type="dcterms:W3CDTF">2017-12-19T08:42:00Z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St-871/2012-79 / Podnesak - Rješenje - odbijena žalba kao neosnovana - potvrđeno rješenje 1.st.</vt:lpwstr>
  </prop:property>
  <prop:property name="CC_coloring" pid="4" fmtid="{D5CDD505-2E9C-101B-9397-08002B2CF9AE}">
    <vt:bool>false</vt:bool>
  </prop:property>
  <prop:property name="eSPIS_CC_ID" pid="5" fmtid="{D5CDD505-2E9C-101B-9397-08002B2CF9AE}">
    <vt:lpwstr>265122315</vt:lpwstr>
  </prop:property>
  <prop:property name="BrojStranica" pid="6" fmtid="{D5CDD505-2E9C-101B-9397-08002B2CF9AE}">
    <vt:i4>6</vt:i4>
  </prop:property>
</prop:Properties>
</file>