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glossary/stylesWithEffects.xml" ContentType="application/vnd.ms-word.stylesWithEffects+xml"/>
  <Override PartName="/word/glossary/webSettings.xml" ContentType="application/vnd.openxmlformats-officedocument.wordprocessingml.webSetting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a7dcbb" w14:paraId="5a7dcbb" w:rsidRDefault="003B4DA0" w:rsidP="003B4DA0" w:rsidR="003B4DA0">
      <w:pPr>
        <w:pStyle w:val="SudNaziv"/>
        <w15:collapsed w:val="false"/>
        <w:rPr>
          <w:rStyle w:val="PozadinaSvijetloZelena"/>
          <w:b w:val="false"/>
        </w:rPr>
      </w:pPr>
      <w:bookmarkStart w:name="_GoBack" w:id="0"/>
      <w:bookmarkEnd w:id="0"/>
      <w:r>
        <w:rPr>
          <w:lang w:eastAsia="hr-HR"/>
        </w:rPr>
        <w:drawing>
          <wp:anchor allowOverlap="true" layoutInCell="true" locked="false" behindDoc="false" relativeHeight="251658240" simplePos="false" distR="114300" distL="114300" distB="0" distT="0">
            <wp:simplePos y="0" x="0"/>
            <wp:positionH relativeFrom="page">
              <wp:posOffset>1929765</wp:posOffset>
            </wp:positionH>
            <wp:positionV relativeFrom="page">
              <wp:posOffset>824865</wp:posOffset>
            </wp:positionV>
            <wp:extent cy="699135" cx="523240"/>
            <wp:effectExtent b="5715" r="0" t="0" l="0"/>
            <wp:wrapNone/>
            <wp:docPr name="Slika 1" id="1"/>
            <wp:cNvGraphicFramePr>
              <a:graphicFrameLocks noChangeAspect="true"/>
            </wp:cNvGraphicFramePr>
            <a:graphic>
              <a:graphicData uri="http://schemas.openxmlformats.org/drawingml/2006/picture">
                <pic:pic>
                  <pic:nvPicPr>
                    <pic:cNvPr name="eSPIS_GrbRH"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99135" cx="523240"/>
                    </a:xfrm>
                    <a:prstGeom prst="rect">
                      <a:avLst/>
                    </a:prstGeom>
                    <a:noFill/>
                  </pic:spPr>
                </pic:pic>
              </a:graphicData>
            </a:graphic>
          </wp:anchor>
        </w:drawing>
      </w:r>
    </w:p>
    <w:p w:rsidRDefault="003B4DA0" w:rsidP="003B4DA0" w:rsidR="003B4DA0">
      <w:pPr>
        <w:pStyle w:val="SudNaziv"/>
        <w:rPr>
          <w:rStyle w:val="PozadinaSvijetloZelena"/>
          <w:b w:val="false"/>
        </w:rPr>
      </w:pPr>
    </w:p>
    <w:p w:rsidRDefault="003B4DA0" w:rsidP="003B4DA0" w:rsidR="003B4DA0">
      <w:pPr>
        <w:pStyle w:val="SudNaziv"/>
        <w:rPr>
          <w:rStyle w:val="PozadinaSvijetloZelena"/>
          <w:b w:val="false"/>
        </w:rPr>
      </w:pPr>
    </w:p>
    <w:p w:rsidRDefault="003B4DA0" w:rsidP="003B4DA0" w:rsidR="003B4DA0">
      <w:pPr>
        <w:pStyle w:val="SudNaziv"/>
        <w:rPr>
          <w:rStyle w:val="PozadinaSvijetloZelena"/>
          <w:b w:val="false"/>
        </w:rPr>
      </w:pPr>
    </w:p>
    <w:p w:rsidRDefault="009C5C8E" w:rsidP="003B4DA0" w:rsidR="003B4DA0">
      <w:pPr>
        <w:pStyle w:val="SudNaziv"/>
        <w:ind w:firstLine="720"/>
        <w:rPr>
          <w:rStyle w:val="PozadinaSvijetloZelena"/>
        </w:rPr>
      </w:pPr>
      <w:sdt>
        <w:sdtPr>
          <w:rPr>
            <w:rStyle w:val="eSPISCCParagraphDefaultFont"/>
          </w:rPr>
          <w:alias w:val="Republika Hrvatska"/>
          <w:tag w:val="Republika Hrvatska"/>
          <w:id w:val="-40675261"/>
          <w:placeholder>
            <w:docPart w:val="95BC54607BCE4FBCA9D885DFD19291FC"/>
          </w:placeholder>
          <w:text/>
        </w:sdtPr>
        <w:sdtEndPr>
          <w:rPr>
            <w:rStyle w:val="eSPISCCParagraphDefaultFont"/>
          </w:rPr>
        </w:sdtEndPr>
        <w:sdtContent>
          <w:r w:rsidR="003B4DA0" w:rsidRPr="009C5C8E">
            <w:rPr>
              <w:rStyle w:val="eSPISCCParagraphDefaultFont"/>
            </w:rPr>
            <w:t>REPUBLIKA HRVATSKA</w:t>
          </w:r>
        </w:sdtContent>
      </w:sdt>
    </w:p>
    <w:p w:rsidRDefault="009C5C8E" w:rsidP="003B4DA0" w:rsidR="003B4DA0">
      <w:pPr>
        <w:pStyle w:val="SudNaziv"/>
        <w:rPr>
          <w:b w:val="false"/>
        </w:rPr>
      </w:pPr>
      <w:sdt>
        <w:sdtPr>
          <w:rPr>
            <w:rStyle w:val="eSPISCCParagraphDefaultFont"/>
          </w:rPr>
          <w:alias w:val="Naziv suda (po potrebi naziv Stalne službe)"/>
          <w:tag w:val="DomainObject.Predmet.Sud.Naziv_1"/>
          <w:id w:val="-1602014739"/>
          <w:placeholder>
            <w:docPart w:val="37E656D7D12B436FAEDF535E7BAABB7D"/>
          </w:placeholder>
          <w:dataBinding w:storeItemID="{100293BC-3C9C-4740-99C7-73F5E9006100}" w:xpath="/icms/DomainObject.Predmet.Sud.Naziv/derivirana_varijabla[@naziv='DomainObject.Predmet.Sud.Naziv_1']"/>
          <w:text w:multiLine="true"/>
        </w:sdtPr>
        <w:sdtEndPr>
          <w:rPr>
            <w:rStyle w:val="eSPISCCParagraphDefaultFont"/>
          </w:rPr>
        </w:sdtEndPr>
        <w:sdtContent>
          <w:r w:rsidRPr="009C5C8E">
            <w:rPr>
              <w:rStyle w:val="eSPISCCParagraphDefaultFont"/>
            </w:rPr>
            <w:t>Visoki trgovački sud Republike Hrvatske</w:t>
          </w:r>
        </w:sdtContent>
      </w:sdt>
    </w:p>
    <w:p w:rsidRDefault="009C5C8E" w:rsidP="003B4DA0" w:rsidR="003B4DA0">
      <w:pPr>
        <w:pStyle w:val="SudSjedite"/>
        <w:ind w:firstLine="851"/>
        <w:rPr>
          <w:rStyle w:val="PozadinaSvijetloZelena"/>
        </w:rPr>
      </w:pPr>
      <w:sdt>
        <w:sdtPr>
          <w:rPr>
            <w:rStyle w:val="eSPISCCParagraphDefaultFont"/>
          </w:rPr>
          <w:alias w:val="Adresa suda (ulica i kbr) - po potrebi adresa Stalne službe"/>
          <w:tag w:val="DomainObject.Predmet.Sud.Adresa.UlicaIKBR_1"/>
          <w:id w:val="769206768"/>
          <w:placeholder>
            <w:docPart w:val="BE506B463C5348189955A98909517892"/>
          </w:placeholder>
          <w:dataBinding w:storeItemID="{100293BC-3C9C-4740-99C7-73F5E9006100}" w:xpath="/icms/DomainObject.Predmet.Sud.Adresa.UlicaIKBR/derivirana_varijabla[@naziv='DomainObject.Predmet.Sud.Adresa.UlicaIKBR_1']"/>
          <w:text/>
        </w:sdtPr>
        <w:sdtEndPr>
          <w:rPr>
            <w:rStyle w:val="eSPISCCParagraphDefaultFont"/>
          </w:rPr>
        </w:sdtEndPr>
        <w:sdtContent>
          <w:r w:rsidRPr="009C5C8E">
            <w:rPr>
              <w:rStyle w:val="eSPISCCParagraphDefaultFont"/>
            </w:rPr>
            <w:t>Berislavićeva 11</w:t>
          </w:r>
        </w:sdtContent>
      </w:sdt>
      <w:r w:rsidR="003B4DA0">
        <w:rPr>
          <w:rStyle w:val="PozadinaSvijetloZelena"/>
          <w:shd w:themeFill="background1" w:fill="FFFFFF" w:color="auto" w:val="clear"/>
        </w:rPr>
        <w:t>,</w:t>
      </w:r>
      <w:r w:rsidR="003B4DA0">
        <w:t xml:space="preserve"> </w:t>
      </w:r>
      <w:sdt>
        <w:sdtPr>
          <w:rPr>
            <w:rStyle w:val="eSPISCCParagraphDefaultFont"/>
          </w:rPr>
          <w:alias w:val="Adresa suda (naselje) po potrebi za Stalnu službu"/>
          <w:tag w:val="DomainObject.Predmet.Sud.Adresa.Naselje_1"/>
          <w:id w:val="949661400"/>
          <w:placeholder>
            <w:docPart w:val="8E939A7593044FF1BA8ABD191D6DF6B6"/>
          </w:placeholder>
          <w:dataBinding w:storeItemID="{100293BC-3C9C-4740-99C7-73F5E9006100}" w:xpath="/icms/DomainObject.Predmet.Sud.Adresa.Naselje/derivirana_varijabla[@naziv='DomainObject.Predmet.Sud.Adresa.Naselje_1']"/>
          <w:text/>
        </w:sdtPr>
        <w:sdtEndPr>
          <w:rPr>
            <w:rStyle w:val="eSPISCCParagraphDefaultFont"/>
          </w:rPr>
        </w:sdtEndPr>
        <w:sdtContent>
          <w:r w:rsidRPr="009C5C8E">
            <w:rPr>
              <w:rStyle w:val="eSPISCCParagraphDefaultFont"/>
            </w:rPr>
            <w:t>Zagreb</w:t>
          </w:r>
        </w:sdtContent>
      </w:sdt>
    </w:p>
    <w:p w:rsidRDefault="003B4DA0" w:rsidP="003B4DA0" w:rsidR="003B4DA0">
      <w:pPr>
        <w:pStyle w:val="HeadereSPIS"/>
        <w:rPr>
          <w:rFonts w:cs="Times New Roman"/>
        </w:rPr>
      </w:pPr>
      <w:r>
        <w:rPr>
          <w:rStyle w:val="PozadinaSvijetloCrvena"/>
        </w:rPr>
        <w:t xml:space="preserve">Poslovni broj: </w:t>
      </w:r>
      <w:sdt>
        <w:sdtPr>
          <w:rPr>
            <w:rStyle w:val="eSPISCCParagraphDefaultFont"/>
          </w:rPr>
          <w:alias w:val="Oznaka referade"/>
          <w:tag w:val="DomainObject.Predmet.Referada.Oznaka_1"/>
          <w:id w:val="-1671166553"/>
          <w:placeholder>
            <w:docPart w:val="0C3F283B5A0F4093831657A118175D61"/>
          </w:placeholder>
          <w:dataBinding w:storeItemID="{100293BC-3C9C-4740-99C7-73F5E9006100}" w:xpath="/icms/DomainObject.Predmet.Referada.Oznaka/derivirana_varijabla[@naziv='DomainObject.Predmet.Referada.Oznaka_1']"/>
          <w:text/>
        </w:sdtPr>
        <w:sdtEndPr>
          <w:rPr>
            <w:rStyle w:val="eSPISCCParagraphDefaultFont"/>
          </w:rPr>
        </w:sdtEndPr>
        <w:sdtContent>
          <w:r w:rsidR="009C5C8E" w:rsidRPr="009C5C8E">
            <w:rPr>
              <w:rStyle w:val="eSPISCCParagraphDefaultFont"/>
            </w:rPr>
            <w:t>89</w:t>
          </w:r>
        </w:sdtContent>
      </w:sdt>
      <w:r>
        <w:rPr>
          <w:rStyle w:val="PozadinaSvijetloCrvena"/>
        </w:rPr>
        <w:t xml:space="preserve"> </w:t>
      </w:r>
      <w:sdt>
        <w:sdtPr>
          <w:rPr>
            <w:rStyle w:val="eSPISCCParagraphDefaultFont"/>
          </w:rPr>
          <w:alias w:val="Poslovni broj dokumenta"/>
          <w:tag w:val="DomainObject.PoslovniBrojDokumenta"/>
          <w:id w:val="444120572"/>
          <w:placeholder>
            <w:docPart w:val="20886BB7D3914BD99741A573FA65915E"/>
          </w:placeholder>
          <w:dataBinding w:storeItemID="{100293BC-3C9C-4740-99C7-73F5E9006100}" w:xpath="/icms/DomainObject.PoslovniBrojDokumenta/derivirana_varijabla[@naziv='DomainObject.PoslovniBrojDokumenta_1']"/>
          <w:text/>
        </w:sdtPr>
        <w:sdtEndPr>
          <w:rPr>
            <w:rStyle w:val="eSPISCCParagraphDefaultFont"/>
          </w:rPr>
        </w:sdtEndPr>
        <w:sdtContent>
          <w:r w:rsidR="009C5C8E" w:rsidRPr="009C5C8E">
            <w:rPr>
              <w:rStyle w:val="eSPISCCParagraphDefaultFont"/>
            </w:rPr>
            <w:t>Pž-6312/2018-2</w:t>
          </w:r>
        </w:sdtContent>
      </w:sdt>
    </w:p>
    <w:p w:rsidRDefault="003B4DA0" w:rsidP="003B4DA0" w:rsidR="003B4DA0"/>
    <w:p w:rsidRDefault="003B4DA0" w:rsidP="003B4DA0" w:rsidR="003B4DA0">
      <w:pPr>
        <w:pStyle w:val="Bezproreda"/>
        <w:jc w:val="both"/>
      </w:pPr>
    </w:p>
    <w:p w:rsidRDefault="003B4DA0" w:rsidP="003B4DA0" w:rsidR="003B4DA0">
      <w:pPr>
        <w:pStyle w:val="Bezproreda"/>
        <w:jc w:val="both"/>
      </w:pPr>
    </w:p>
    <w:p w:rsidRDefault="003B4DA0" w:rsidP="003B4DA0" w:rsidR="003B4DA0">
      <w:pPr>
        <w:pStyle w:val="Bezproreda"/>
        <w:jc w:val="center"/>
      </w:pPr>
      <w:r>
        <w:t>R E P U B L I K A   H R V A T S K A</w:t>
      </w:r>
    </w:p>
    <w:p w:rsidRDefault="003B4DA0" w:rsidP="003B4DA0" w:rsidR="003B4DA0">
      <w:pPr>
        <w:pStyle w:val="Bezproreda"/>
      </w:pPr>
    </w:p>
    <w:p w:rsidRDefault="003B4DA0" w:rsidP="003B4DA0" w:rsidR="003B4DA0">
      <w:pPr>
        <w:pStyle w:val="Bezproreda"/>
        <w:jc w:val="center"/>
      </w:pPr>
      <w:r>
        <w:t>R J E Š E NJ E</w:t>
      </w:r>
    </w:p>
    <w:p w:rsidRDefault="003B4DA0" w:rsidP="003B4DA0" w:rsidR="003B4DA0">
      <w:pPr>
        <w:pStyle w:val="Bezproreda"/>
        <w:jc w:val="both"/>
      </w:pPr>
    </w:p>
    <w:p w:rsidRDefault="003B4DA0" w:rsidP="003B4DA0" w:rsidR="003B4DA0">
      <w:pPr>
        <w:pStyle w:val="Bezproreda"/>
        <w:jc w:val="both"/>
      </w:pPr>
    </w:p>
    <w:p w:rsidRDefault="003B4DA0" w:rsidP="003B4DA0" w:rsidR="003B4DA0">
      <w:pPr>
        <w:pStyle w:val="Bezproreda"/>
        <w:jc w:val="both"/>
      </w:pPr>
      <w:r>
        <w:tab/>
        <w:t>Visoki trgovački sud Republike Hrvatske, u vijeću sastavljenom od sudaca Raoula Dubravca, predsjednika vijeća, Josipa Turkalja, suca izvjestitelja i Draženke Deladio, članice vijeća, u stečajnom postupku nad dužnikom INFORMATIVNI CENTAR BJELOVAR d.o.o. Bjelovar, Trg Eugena Kvaternika bb, OIB 14895266944, odlučujući o žalbama stečajnih vjerovnika Erste &amp; Steiermarkische bank d.d. Rijeka, Jadranski trg 3a, kojeg zastupa punomoćnik Zorislav Krivačić, odvjetnik u Zajedničkom odvjetničkom uredu Zorislav Krivačić i Dalibor Divić, Bjelovar, A. K. Miošića 19 i AGENCIJE ZA ELEKTRONIČKE MEDIJE, Zagreb, Jagićeva 31, OIB 35237547014, protiv rješenja Trgovačkog suda u Bjelovaru poslovni broj St-800/2017-69 od 27. rujna 2018., u sjednici vijeća održanoj 13. studenog 2018.</w:t>
      </w:r>
    </w:p>
    <w:p w:rsidRDefault="003B4DA0" w:rsidP="003B4DA0" w:rsidR="003B4DA0">
      <w:pPr>
        <w:pStyle w:val="Bezproreda"/>
        <w:jc w:val="both"/>
      </w:pPr>
    </w:p>
    <w:p w:rsidRDefault="003B4DA0" w:rsidP="003B4DA0" w:rsidR="003B4DA0">
      <w:pPr>
        <w:pStyle w:val="Bezproreda"/>
        <w:jc w:val="center"/>
      </w:pPr>
      <w:r>
        <w:t>r i j e š i o   j e</w:t>
      </w:r>
    </w:p>
    <w:p w:rsidRDefault="003B4DA0" w:rsidP="003B4DA0" w:rsidR="003B4DA0">
      <w:pPr>
        <w:pStyle w:val="Bezproreda"/>
        <w:jc w:val="both"/>
      </w:pPr>
    </w:p>
    <w:p w:rsidRDefault="003B4DA0" w:rsidP="003B4DA0" w:rsidR="003B4DA0">
      <w:pPr>
        <w:pStyle w:val="Bezproreda"/>
        <w:jc w:val="both"/>
      </w:pPr>
      <w:r>
        <w:tab/>
        <w:t>Uvažavaju se žalbe stečajnih vjerovnika Erste &amp; Steiermarkische bank d.d. Rijeka i Agencije za elektroničke medije, Zagreb, ukida rješenje Trgovačkog suda u Bjelovaru poslovni broj St-800/2017-69 od 27. rujna 2018. i predmet vraća sudu prvog stupnja na ponovan postupak.</w:t>
      </w:r>
    </w:p>
    <w:p w:rsidRDefault="003B4DA0" w:rsidP="003B4DA0" w:rsidR="003B4DA0">
      <w:pPr>
        <w:pStyle w:val="Bezproreda"/>
        <w:jc w:val="both"/>
      </w:pPr>
    </w:p>
    <w:p w:rsidRDefault="003B4DA0" w:rsidP="003B4DA0" w:rsidR="003B4DA0">
      <w:pPr>
        <w:pStyle w:val="Bezproreda"/>
        <w:jc w:val="center"/>
      </w:pPr>
      <w:r>
        <w:t>Obrazloženje</w:t>
      </w:r>
    </w:p>
    <w:p w:rsidRDefault="003B4DA0" w:rsidP="003B4DA0" w:rsidR="003B4DA0">
      <w:pPr>
        <w:pStyle w:val="Bezproreda"/>
        <w:jc w:val="both"/>
      </w:pPr>
    </w:p>
    <w:p w:rsidRDefault="003B4DA0" w:rsidP="003B4DA0" w:rsidR="003B4DA0">
      <w:pPr>
        <w:pStyle w:val="Bezproreda"/>
        <w:spacing w:after="0"/>
        <w:jc w:val="both"/>
      </w:pPr>
      <w:r>
        <w:tab/>
        <w:t xml:space="preserve">Rješenjem suda prvog stupnja odlučeno je: </w:t>
      </w:r>
    </w:p>
    <w:p w:rsidRDefault="003B4DA0" w:rsidP="003B4DA0" w:rsidR="003B4DA0">
      <w:pPr>
        <w:pStyle w:val="Bezproreda"/>
        <w:spacing w:after="0"/>
        <w:jc w:val="both"/>
      </w:pPr>
    </w:p>
    <w:p w:rsidRDefault="003B4DA0" w:rsidP="003B4DA0" w:rsidR="003B4DA0">
      <w:pPr>
        <w:spacing w:after="0"/>
        <w:ind w:firstLine="851"/>
        <w:jc w:val="both"/>
      </w:pPr>
      <w:r>
        <w:t>„1. Potvrđuje se izmijenjeni</w:t>
      </w:r>
      <w:r>
        <w:rPr>
          <w:b/>
        </w:rPr>
        <w:t xml:space="preserve"> </w:t>
      </w:r>
      <w:r>
        <w:t>Stečajni plan koji je podnio stečajni upravitelj Nenad Homar iz Koprivnice, 1. kolovoza 2018., za stečajnog dužnika INFORMATIVNI CENTAR BJELOVAR d.o.o. u stečaju, Bjelovar, Trg Eugena Kumičića bb, MBS: 010009981, OIB:  14895266944.</w:t>
      </w:r>
    </w:p>
    <w:p w:rsidRDefault="003B4DA0" w:rsidP="003B4DA0" w:rsidR="003B4DA0">
      <w:pPr>
        <w:spacing w:after="0"/>
        <w:ind w:firstLine="851"/>
        <w:jc w:val="both"/>
      </w:pPr>
      <w:r>
        <w:t xml:space="preserve">Izmijenjeni Stečajni plan bio je javno objavljen na mrežnoj stranici e-Oglasna ploča suda 20. kolovoza 2018., a sadržavao je slijedeću provedbenu osnovu: </w:t>
      </w:r>
    </w:p>
    <w:p w:rsidRDefault="003B4DA0" w:rsidP="003B4DA0" w:rsidR="003B4DA0">
      <w:pPr>
        <w:spacing w:after="0"/>
        <w:jc w:val="both"/>
      </w:pPr>
    </w:p>
    <w:p w:rsidRDefault="003B4DA0" w:rsidP="003B4DA0" w:rsidR="003B4DA0">
      <w:pPr>
        <w:spacing w:after="0"/>
        <w:ind w:firstLine="851"/>
        <w:jc w:val="both"/>
      </w:pPr>
      <w:r>
        <w:t xml:space="preserve">„I. Utvrđuje se smanjenje (otpis) obveza stečajnog dužnika prema stečajnim vjerovnicima, za vrijednost koju čini 90% utvrđene tražbine svakog pojedinog vjerovnika, te se nalaže stečajnom upravitelju, da ostatak iznosa utvrđenih tražbina isplati stečajnim </w:t>
      </w:r>
      <w:r>
        <w:lastRenderedPageBreak/>
        <w:t>vjerovnicima na teret stečajne mase u roku od 180 dana od dana pravomoćnosti ovoga Rješenja, a sve prema vrijednostima iskazanima kako slijedi:</w:t>
      </w:r>
    </w:p>
    <w:p w:rsidRDefault="003B4DA0" w:rsidP="003B4DA0" w:rsidR="003B4DA0">
      <w:pPr>
        <w:spacing w:after="0"/>
        <w:rPr>
          <w:i/>
          <w:sz w:val="21"/>
          <w:szCs w:val="21"/>
        </w:rPr>
      </w:pPr>
    </w:p>
    <w:tbl>
      <w:tblPr>
        <w:tblW w:type="auto"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ayout w:type="fixed"/>
        <w:tblLook w:val="04A0" w:noVBand="1" w:noHBand="0" w:lastColumn="0" w:firstColumn="1" w:lastRow="0" w:firstRow="1"/>
      </w:tblPr>
      <w:tblGrid>
        <w:gridCol w:w="3085"/>
        <w:gridCol w:w="1559"/>
        <w:gridCol w:w="1604"/>
        <w:gridCol w:w="1646"/>
        <w:gridCol w:w="1394"/>
      </w:tblGrid>
      <w:tr w:rsidTr="003B4DA0" w:rsidR="003B4DA0">
        <w:trPr>
          <w:trHeight w:val="564"/>
        </w:trPr>
        <w:tc>
          <w:tcPr>
            <w:tcW w:type="dxa" w:w="3085"/>
            <w:tcBorders>
              <w:top w:space="0" w:sz="4" w:color="auto" w:val="single"/>
              <w:left w:space="0" w:sz="4" w:color="auto" w:val="single"/>
              <w:bottom w:space="0" w:sz="4" w:color="auto" w:val="single"/>
              <w:right w:space="0" w:sz="4" w:color="auto" w:val="single"/>
            </w:tcBorders>
            <w:hideMark/>
          </w:tcPr>
          <w:p w:rsidRDefault="003B4DA0" w:rsidR="003B4DA0">
            <w:pPr>
              <w:overflowPunct w:val="false"/>
              <w:autoSpaceDE w:val="false"/>
              <w:autoSpaceDN w:val="false"/>
              <w:adjustRightInd w:val="false"/>
              <w:spacing w:lineRule="auto" w:line="276" w:after="0"/>
              <w:jc w:val="center"/>
              <w:rPr>
                <w:rFonts w:cs="Tahoma" w:eastAsia="Calibri" w:hAnsi="Calibri" w:ascii="Calibri"/>
                <w:noProof/>
                <w:sz w:val="17"/>
                <w:szCs w:val="17"/>
                <w:lang w:val="en-US"/>
              </w:rPr>
            </w:pPr>
            <w:r>
              <w:rPr>
                <w:rFonts w:cs="Tahoma" w:eastAsia="Calibri" w:hAnsi="Calibri" w:ascii="Calibri"/>
                <w:noProof/>
                <w:sz w:val="17"/>
                <w:szCs w:val="17"/>
                <w:lang w:val="en-US"/>
              </w:rPr>
              <w:t>STEČAJNI VJEROVNIK</w:t>
            </w:r>
          </w:p>
        </w:tc>
        <w:tc>
          <w:tcPr>
            <w:tcW w:type="dxa" w:w="1559"/>
            <w:tcBorders>
              <w:top w:space="0" w:sz="4" w:color="auto" w:val="single"/>
              <w:left w:space="0" w:sz="4" w:color="auto" w:val="single"/>
              <w:bottom w:space="0" w:sz="4" w:color="auto" w:val="single"/>
              <w:right w:space="0" w:sz="4" w:color="auto" w:val="single"/>
            </w:tcBorders>
            <w:hideMark/>
          </w:tcPr>
          <w:p w:rsidRDefault="003B4DA0" w:rsidR="003B4DA0">
            <w:pPr>
              <w:overflowPunct w:val="false"/>
              <w:autoSpaceDE w:val="false"/>
              <w:autoSpaceDN w:val="false"/>
              <w:adjustRightInd w:val="false"/>
              <w:spacing w:lineRule="auto" w:line="276" w:after="0"/>
              <w:jc w:val="center"/>
              <w:rPr>
                <w:rFonts w:cs="Tahoma" w:eastAsia="Calibri" w:hAnsi="Calibri" w:ascii="Calibri"/>
                <w:noProof/>
                <w:sz w:val="17"/>
                <w:szCs w:val="17"/>
                <w:lang w:val="en-US"/>
              </w:rPr>
            </w:pPr>
            <w:r>
              <w:rPr>
                <w:rFonts w:cs="Tahoma" w:eastAsia="Calibri" w:hAnsi="Calibri" w:ascii="Calibri"/>
                <w:noProof/>
                <w:sz w:val="17"/>
                <w:szCs w:val="17"/>
                <w:lang w:val="en-US"/>
              </w:rPr>
              <w:t>OIB</w:t>
            </w:r>
          </w:p>
        </w:tc>
        <w:tc>
          <w:tcPr>
            <w:tcW w:type="dxa" w:w="1604"/>
            <w:tcBorders>
              <w:top w:space="0" w:sz="4" w:color="auto" w:val="single"/>
              <w:left w:space="0" w:sz="4" w:color="auto" w:val="single"/>
              <w:bottom w:space="0" w:sz="4" w:color="auto" w:val="single"/>
              <w:right w:space="0" w:sz="4" w:color="auto" w:val="single"/>
            </w:tcBorders>
            <w:hideMark/>
          </w:tcPr>
          <w:p w:rsidRDefault="003B4DA0" w:rsidR="003B4DA0">
            <w:pPr>
              <w:overflowPunct w:val="false"/>
              <w:autoSpaceDE w:val="false"/>
              <w:autoSpaceDN w:val="false"/>
              <w:adjustRightInd w:val="false"/>
              <w:spacing w:lineRule="auto" w:line="276" w:after="0"/>
              <w:jc w:val="center"/>
              <w:rPr>
                <w:rFonts w:cs="Tahoma" w:eastAsia="Calibri" w:hAnsi="Calibri" w:ascii="Calibri"/>
                <w:noProof/>
                <w:sz w:val="17"/>
                <w:szCs w:val="17"/>
                <w:lang w:val="en-US"/>
              </w:rPr>
            </w:pPr>
            <w:r>
              <w:rPr>
                <w:rFonts w:cs="Tahoma" w:eastAsia="Calibri" w:hAnsi="Calibri" w:ascii="Calibri"/>
                <w:noProof/>
                <w:sz w:val="17"/>
                <w:szCs w:val="17"/>
                <w:lang w:val="en-US"/>
              </w:rPr>
              <w:t>UTVRĐENA TRAŽBINA</w:t>
            </w:r>
          </w:p>
        </w:tc>
        <w:tc>
          <w:tcPr>
            <w:tcW w:type="dxa" w:w="1646"/>
            <w:tcBorders>
              <w:top w:space="0" w:sz="4" w:color="auto" w:val="single"/>
              <w:left w:space="0" w:sz="4" w:color="auto" w:val="single"/>
              <w:bottom w:space="0" w:sz="4" w:color="auto" w:val="single"/>
              <w:right w:space="0" w:sz="4" w:color="auto" w:val="single"/>
            </w:tcBorders>
            <w:hideMark/>
          </w:tcPr>
          <w:p w:rsidRDefault="003B4DA0" w:rsidR="003B4DA0">
            <w:pPr>
              <w:overflowPunct w:val="false"/>
              <w:autoSpaceDE w:val="false"/>
              <w:autoSpaceDN w:val="false"/>
              <w:adjustRightInd w:val="false"/>
              <w:spacing w:lineRule="auto" w:line="276" w:after="0"/>
              <w:jc w:val="center"/>
              <w:rPr>
                <w:rFonts w:cs="Tahoma" w:eastAsia="Calibri" w:hAnsi="Calibri" w:ascii="Calibri"/>
                <w:noProof/>
                <w:sz w:val="17"/>
                <w:szCs w:val="17"/>
                <w:lang w:val="en-US"/>
              </w:rPr>
            </w:pPr>
            <w:r>
              <w:rPr>
                <w:rFonts w:cs="Tahoma" w:eastAsia="Calibri" w:hAnsi="Calibri" w:ascii="Calibri"/>
                <w:noProof/>
                <w:sz w:val="17"/>
                <w:szCs w:val="17"/>
                <w:lang w:val="en-US"/>
              </w:rPr>
              <w:t>IZNOS SMANJENJA OBVEZE</w:t>
            </w:r>
          </w:p>
        </w:tc>
        <w:tc>
          <w:tcPr>
            <w:tcW w:type="dxa" w:w="1394"/>
            <w:tcBorders>
              <w:top w:space="0" w:sz="4" w:color="auto" w:val="single"/>
              <w:left w:space="0" w:sz="4" w:color="auto" w:val="single"/>
              <w:bottom w:space="0" w:sz="4" w:color="auto" w:val="single"/>
              <w:right w:space="0" w:sz="4" w:color="auto" w:val="single"/>
            </w:tcBorders>
            <w:hideMark/>
          </w:tcPr>
          <w:p w:rsidRDefault="003B4DA0" w:rsidR="003B4DA0">
            <w:pPr>
              <w:overflowPunct w:val="false"/>
              <w:autoSpaceDE w:val="false"/>
              <w:autoSpaceDN w:val="false"/>
              <w:adjustRightInd w:val="false"/>
              <w:spacing w:lineRule="auto" w:line="276" w:after="0"/>
              <w:jc w:val="center"/>
              <w:rPr>
                <w:rFonts w:cs="Tahoma" w:eastAsia="Calibri" w:hAnsi="Calibri" w:ascii="Calibri"/>
                <w:noProof/>
                <w:sz w:val="17"/>
                <w:szCs w:val="17"/>
                <w:lang w:val="en-US"/>
              </w:rPr>
            </w:pPr>
            <w:r>
              <w:rPr>
                <w:rFonts w:cs="Tahoma" w:eastAsia="Calibri" w:hAnsi="Calibri" w:ascii="Calibri"/>
                <w:noProof/>
                <w:sz w:val="17"/>
                <w:szCs w:val="17"/>
                <w:lang w:val="en-US"/>
              </w:rPr>
              <w:t>IZNOS ZA ISPLATU</w:t>
            </w:r>
          </w:p>
        </w:tc>
      </w:tr>
      <w:tr w:rsidTr="003B4DA0" w:rsidR="003B4DA0">
        <w:trPr>
          <w:trHeight w:val="564"/>
        </w:trPr>
        <w:tc>
          <w:tcPr>
            <w:tcW w:type="dxa" w:w="3085"/>
            <w:tcBorders>
              <w:top w:space="0" w:sz="4" w:color="auto" w:val="single"/>
              <w:left w:space="0" w:sz="4" w:color="auto" w:val="single"/>
              <w:bottom w:space="0" w:sz="4" w:color="auto" w:val="single"/>
              <w:right w:space="0" w:sz="4" w:color="auto" w:val="single"/>
            </w:tcBorders>
            <w:hideMark/>
          </w:tcPr>
          <w:p w:rsidRDefault="003B4DA0" w:rsidR="003B4DA0">
            <w:pPr>
              <w:overflowPunct w:val="false"/>
              <w:autoSpaceDE w:val="false"/>
              <w:autoSpaceDN w:val="false"/>
              <w:adjustRightInd w:val="false"/>
              <w:spacing w:lineRule="auto" w:line="276" w:after="0"/>
              <w:rPr>
                <w:rFonts w:cs="Tahoma" w:eastAsia="Calibri" w:hAnsi="Calibri" w:ascii="Calibri"/>
                <w:noProof/>
                <w:sz w:val="19"/>
                <w:szCs w:val="19"/>
                <w:lang w:val="en-US"/>
              </w:rPr>
            </w:pPr>
            <w:r>
              <w:rPr>
                <w:rFonts w:cs="Tahoma" w:eastAsia="Calibri" w:hAnsi="Calibri" w:ascii="Calibri"/>
                <w:noProof/>
                <w:sz w:val="19"/>
                <w:szCs w:val="19"/>
                <w:lang w:val="en-US"/>
              </w:rPr>
              <w:t>HRVATSKE VODE, pravna osoba za upravljanje vodama</w:t>
            </w:r>
          </w:p>
        </w:tc>
        <w:tc>
          <w:tcPr>
            <w:tcW w:type="dxa" w:w="1559"/>
            <w:tcBorders>
              <w:top w:space="0" w:sz="4" w:color="auto" w:val="single"/>
              <w:left w:space="0" w:sz="4" w:color="auto" w:val="single"/>
              <w:bottom w:space="0" w:sz="4" w:color="auto" w:val="single"/>
              <w:right w:space="0" w:sz="4" w:color="auto" w:val="single"/>
            </w:tcBorders>
            <w:hideMark/>
          </w:tcPr>
          <w:p w:rsidRDefault="003B4DA0" w:rsidR="003B4DA0">
            <w:pPr>
              <w:overflowPunct w:val="false"/>
              <w:autoSpaceDE w:val="false"/>
              <w:autoSpaceDN w:val="false"/>
              <w:adjustRightInd w:val="false"/>
              <w:spacing w:lineRule="auto" w:line="276" w:after="0"/>
              <w:rPr>
                <w:rFonts w:cs="Tahoma" w:eastAsia="Calibri" w:hAnsi="Calibri" w:ascii="Calibri"/>
                <w:noProof/>
                <w:sz w:val="19"/>
                <w:szCs w:val="19"/>
                <w:lang w:val="en-US"/>
              </w:rPr>
            </w:pPr>
            <w:r>
              <w:rPr>
                <w:rFonts w:cs="Tahoma" w:eastAsia="Calibri" w:hAnsi="Calibri" w:ascii="Calibri"/>
                <w:noProof/>
                <w:sz w:val="19"/>
                <w:szCs w:val="19"/>
                <w:lang w:val="en-US"/>
              </w:rPr>
              <w:t>28921383001</w:t>
            </w:r>
          </w:p>
        </w:tc>
        <w:tc>
          <w:tcPr>
            <w:tcW w:type="dxa" w:w="1604"/>
            <w:tcBorders>
              <w:top w:space="0" w:sz="4" w:color="auto" w:val="single"/>
              <w:left w:space="0" w:sz="4" w:color="auto" w:val="single"/>
              <w:bottom w:space="0" w:sz="4" w:color="auto" w:val="single"/>
              <w:right w:space="0" w:sz="4" w:color="auto" w:val="single"/>
            </w:tcBorders>
            <w:noWrap/>
            <w:hideMark/>
          </w:tcPr>
          <w:p w:rsidRDefault="003B4DA0" w:rsidR="003B4DA0">
            <w:pPr>
              <w:overflowPunct w:val="false"/>
              <w:autoSpaceDE w:val="false"/>
              <w:autoSpaceDN w:val="false"/>
              <w:adjustRightInd w:val="false"/>
              <w:spacing w:lineRule="auto" w:line="276" w:after="0"/>
              <w:jc w:val="right"/>
              <w:rPr>
                <w:rFonts w:cs="Tahoma" w:eastAsia="Calibri" w:hAnsi="Calibri" w:ascii="Calibri"/>
                <w:noProof/>
                <w:sz w:val="19"/>
                <w:szCs w:val="19"/>
                <w:lang w:val="en-US"/>
              </w:rPr>
            </w:pPr>
            <w:r>
              <w:rPr>
                <w:rFonts w:cs="Tahoma" w:eastAsia="Calibri" w:hAnsi="Calibri" w:ascii="Calibri"/>
                <w:noProof/>
                <w:sz w:val="19"/>
                <w:szCs w:val="19"/>
                <w:lang w:val="en-US"/>
              </w:rPr>
              <w:t>20.217,36</w:t>
            </w:r>
          </w:p>
        </w:tc>
        <w:tc>
          <w:tcPr>
            <w:tcW w:type="dxa" w:w="1646"/>
            <w:tcBorders>
              <w:top w:space="0" w:sz="4" w:color="auto" w:val="single"/>
              <w:left w:space="0" w:sz="4" w:color="auto" w:val="single"/>
              <w:bottom w:space="0" w:sz="4" w:color="auto" w:val="single"/>
              <w:right w:space="0" w:sz="4" w:color="auto" w:val="single"/>
            </w:tcBorders>
            <w:noWrap/>
            <w:hideMark/>
          </w:tcPr>
          <w:p w:rsidRDefault="003B4DA0" w:rsidR="003B4DA0">
            <w:pPr>
              <w:overflowPunct w:val="false"/>
              <w:autoSpaceDE w:val="false"/>
              <w:autoSpaceDN w:val="false"/>
              <w:adjustRightInd w:val="false"/>
              <w:spacing w:lineRule="auto" w:line="276" w:after="0"/>
              <w:jc w:val="right"/>
              <w:rPr>
                <w:rFonts w:cs="Tahoma" w:eastAsia="Calibri" w:hAnsi="Calibri" w:ascii="Calibri"/>
                <w:noProof/>
                <w:sz w:val="19"/>
                <w:szCs w:val="19"/>
                <w:lang w:val="en-US"/>
              </w:rPr>
            </w:pPr>
            <w:r>
              <w:rPr>
                <w:rFonts w:cs="Tahoma" w:eastAsia="Calibri" w:hAnsi="Calibri" w:ascii="Calibri"/>
                <w:noProof/>
                <w:sz w:val="19"/>
                <w:szCs w:val="19"/>
                <w:lang w:val="en-US"/>
              </w:rPr>
              <w:t>18.195,62</w:t>
            </w:r>
          </w:p>
        </w:tc>
        <w:tc>
          <w:tcPr>
            <w:tcW w:type="dxa" w:w="1394"/>
            <w:tcBorders>
              <w:top w:space="0" w:sz="4" w:color="auto" w:val="single"/>
              <w:left w:space="0" w:sz="4" w:color="auto" w:val="single"/>
              <w:bottom w:space="0" w:sz="4" w:color="auto" w:val="single"/>
              <w:right w:space="0" w:sz="4" w:color="auto" w:val="single"/>
            </w:tcBorders>
            <w:noWrap/>
            <w:hideMark/>
          </w:tcPr>
          <w:p w:rsidRDefault="003B4DA0" w:rsidR="003B4DA0">
            <w:pPr>
              <w:overflowPunct w:val="false"/>
              <w:autoSpaceDE w:val="false"/>
              <w:autoSpaceDN w:val="false"/>
              <w:adjustRightInd w:val="false"/>
              <w:spacing w:lineRule="auto" w:line="276" w:after="0"/>
              <w:jc w:val="right"/>
              <w:rPr>
                <w:rFonts w:cs="Tahoma" w:eastAsia="Calibri" w:hAnsi="Calibri" w:ascii="Calibri"/>
                <w:noProof/>
                <w:sz w:val="19"/>
                <w:szCs w:val="19"/>
                <w:lang w:val="en-US"/>
              </w:rPr>
            </w:pPr>
            <w:r>
              <w:rPr>
                <w:rFonts w:cs="Tahoma" w:eastAsia="Calibri" w:hAnsi="Calibri" w:ascii="Calibri"/>
                <w:noProof/>
                <w:sz w:val="19"/>
                <w:szCs w:val="19"/>
                <w:lang w:val="en-US"/>
              </w:rPr>
              <w:t>2.021,73</w:t>
            </w:r>
          </w:p>
        </w:tc>
      </w:tr>
      <w:tr w:rsidTr="003B4DA0" w:rsidR="003B4DA0">
        <w:trPr>
          <w:trHeight w:val="1116"/>
        </w:trPr>
        <w:tc>
          <w:tcPr>
            <w:tcW w:type="dxa" w:w="3085"/>
            <w:tcBorders>
              <w:top w:space="0" w:sz="4" w:color="auto" w:val="single"/>
              <w:left w:space="0" w:sz="4" w:color="auto" w:val="single"/>
              <w:bottom w:space="0" w:sz="4" w:color="auto" w:val="single"/>
              <w:right w:space="0" w:sz="4" w:color="auto" w:val="single"/>
            </w:tcBorders>
            <w:hideMark/>
          </w:tcPr>
          <w:p w:rsidRDefault="003B4DA0" w:rsidR="003B4DA0">
            <w:pPr>
              <w:overflowPunct w:val="false"/>
              <w:autoSpaceDE w:val="false"/>
              <w:autoSpaceDN w:val="false"/>
              <w:adjustRightInd w:val="false"/>
              <w:spacing w:lineRule="auto" w:line="276" w:after="0"/>
              <w:rPr>
                <w:rFonts w:cs="Tahoma" w:eastAsia="Calibri" w:hAnsi="Calibri" w:ascii="Calibri"/>
                <w:noProof/>
                <w:sz w:val="19"/>
                <w:szCs w:val="19"/>
                <w:lang w:val="en-US"/>
              </w:rPr>
            </w:pPr>
            <w:r>
              <w:rPr>
                <w:rFonts w:cs="Tahoma" w:eastAsia="Calibri" w:hAnsi="Calibri" w:ascii="Calibri"/>
                <w:noProof/>
                <w:sz w:val="19"/>
                <w:szCs w:val="19"/>
                <w:lang w:val="en-US"/>
              </w:rPr>
              <w:t>REPUBLIKA HRVATSKA MINISTARSTVO FINANCIJA, Porezna uprava, Područni ured Bjelovar</w:t>
            </w:r>
          </w:p>
        </w:tc>
        <w:tc>
          <w:tcPr>
            <w:tcW w:type="dxa" w:w="1559"/>
            <w:tcBorders>
              <w:top w:space="0" w:sz="4" w:color="auto" w:val="single"/>
              <w:left w:space="0" w:sz="4" w:color="auto" w:val="single"/>
              <w:bottom w:space="0" w:sz="4" w:color="auto" w:val="single"/>
              <w:right w:space="0" w:sz="4" w:color="auto" w:val="single"/>
            </w:tcBorders>
            <w:hideMark/>
          </w:tcPr>
          <w:p w:rsidRDefault="003B4DA0" w:rsidR="003B4DA0">
            <w:pPr>
              <w:overflowPunct w:val="false"/>
              <w:autoSpaceDE w:val="false"/>
              <w:autoSpaceDN w:val="false"/>
              <w:adjustRightInd w:val="false"/>
              <w:spacing w:lineRule="auto" w:line="276" w:after="0"/>
              <w:rPr>
                <w:rFonts w:cs="Tahoma" w:eastAsia="Calibri" w:hAnsi="Calibri" w:ascii="Calibri"/>
                <w:noProof/>
                <w:sz w:val="19"/>
                <w:szCs w:val="19"/>
                <w:lang w:val="en-US"/>
              </w:rPr>
            </w:pPr>
            <w:r>
              <w:rPr>
                <w:rFonts w:cs="Tahoma" w:eastAsia="Calibri" w:hAnsi="Calibri" w:ascii="Calibri"/>
                <w:noProof/>
                <w:sz w:val="19"/>
                <w:szCs w:val="19"/>
                <w:lang w:val="en-US"/>
              </w:rPr>
              <w:t>18683136487</w:t>
            </w:r>
          </w:p>
        </w:tc>
        <w:tc>
          <w:tcPr>
            <w:tcW w:type="dxa" w:w="1604"/>
            <w:tcBorders>
              <w:top w:space="0" w:sz="4" w:color="auto" w:val="single"/>
              <w:left w:space="0" w:sz="4" w:color="auto" w:val="single"/>
              <w:bottom w:space="0" w:sz="4" w:color="auto" w:val="single"/>
              <w:right w:space="0" w:sz="4" w:color="auto" w:val="single"/>
            </w:tcBorders>
            <w:hideMark/>
          </w:tcPr>
          <w:p w:rsidRDefault="003B4DA0" w:rsidR="003B4DA0">
            <w:pPr>
              <w:overflowPunct w:val="false"/>
              <w:autoSpaceDE w:val="false"/>
              <w:autoSpaceDN w:val="false"/>
              <w:adjustRightInd w:val="false"/>
              <w:spacing w:lineRule="auto" w:line="276" w:after="0"/>
              <w:jc w:val="right"/>
              <w:rPr>
                <w:rFonts w:cs="Tahoma" w:eastAsia="Calibri" w:hAnsi="Calibri" w:ascii="Calibri"/>
                <w:noProof/>
                <w:sz w:val="19"/>
                <w:szCs w:val="19"/>
                <w:lang w:val="en-US"/>
              </w:rPr>
            </w:pPr>
            <w:r>
              <w:rPr>
                <w:rFonts w:cs="Tahoma" w:eastAsia="Calibri" w:hAnsi="Calibri" w:ascii="Calibri"/>
                <w:noProof/>
                <w:sz w:val="19"/>
                <w:szCs w:val="19"/>
                <w:lang w:val="en-US"/>
              </w:rPr>
              <w:t>284.643,26</w:t>
            </w:r>
          </w:p>
        </w:tc>
        <w:tc>
          <w:tcPr>
            <w:tcW w:type="dxa" w:w="1646"/>
            <w:tcBorders>
              <w:top w:space="0" w:sz="4" w:color="auto" w:val="single"/>
              <w:left w:space="0" w:sz="4" w:color="auto" w:val="single"/>
              <w:bottom w:space="0" w:sz="4" w:color="auto" w:val="single"/>
              <w:right w:space="0" w:sz="4" w:color="auto" w:val="single"/>
            </w:tcBorders>
            <w:noWrap/>
            <w:hideMark/>
          </w:tcPr>
          <w:p w:rsidRDefault="003B4DA0" w:rsidR="003B4DA0">
            <w:pPr>
              <w:overflowPunct w:val="false"/>
              <w:autoSpaceDE w:val="false"/>
              <w:autoSpaceDN w:val="false"/>
              <w:adjustRightInd w:val="false"/>
              <w:spacing w:lineRule="auto" w:line="276" w:after="0"/>
              <w:jc w:val="right"/>
              <w:rPr>
                <w:rFonts w:cs="Tahoma" w:eastAsia="Calibri" w:hAnsi="Calibri" w:ascii="Calibri"/>
                <w:noProof/>
                <w:sz w:val="19"/>
                <w:szCs w:val="19"/>
                <w:lang w:val="en-US"/>
              </w:rPr>
            </w:pPr>
            <w:r>
              <w:rPr>
                <w:rFonts w:cs="Tahoma" w:eastAsia="Calibri" w:hAnsi="Calibri" w:ascii="Calibri"/>
                <w:noProof/>
                <w:sz w:val="19"/>
                <w:szCs w:val="19"/>
                <w:lang w:val="en-US"/>
              </w:rPr>
              <w:t>256.178,93</w:t>
            </w:r>
          </w:p>
        </w:tc>
        <w:tc>
          <w:tcPr>
            <w:tcW w:type="dxa" w:w="1394"/>
            <w:tcBorders>
              <w:top w:space="0" w:sz="4" w:color="auto" w:val="single"/>
              <w:left w:space="0" w:sz="4" w:color="auto" w:val="single"/>
              <w:bottom w:space="0" w:sz="4" w:color="auto" w:val="single"/>
              <w:right w:space="0" w:sz="4" w:color="auto" w:val="single"/>
            </w:tcBorders>
            <w:hideMark/>
          </w:tcPr>
          <w:p w:rsidRDefault="003B4DA0" w:rsidR="003B4DA0">
            <w:pPr>
              <w:overflowPunct w:val="false"/>
              <w:autoSpaceDE w:val="false"/>
              <w:autoSpaceDN w:val="false"/>
              <w:adjustRightInd w:val="false"/>
              <w:spacing w:lineRule="auto" w:line="276" w:after="0"/>
              <w:jc w:val="right"/>
              <w:rPr>
                <w:rFonts w:cs="Tahoma" w:eastAsia="Calibri" w:hAnsi="Calibri" w:ascii="Calibri"/>
                <w:noProof/>
                <w:sz w:val="19"/>
                <w:szCs w:val="19"/>
                <w:lang w:val="en-US"/>
              </w:rPr>
            </w:pPr>
            <w:r>
              <w:rPr>
                <w:rFonts w:cs="Tahoma" w:eastAsia="Calibri" w:hAnsi="Calibri" w:ascii="Calibri"/>
                <w:noProof/>
                <w:sz w:val="19"/>
                <w:szCs w:val="19"/>
                <w:lang w:val="en-US"/>
              </w:rPr>
              <w:t>28.464,32</w:t>
            </w:r>
          </w:p>
        </w:tc>
      </w:tr>
      <w:tr w:rsidTr="003B4DA0" w:rsidR="003B4DA0">
        <w:trPr>
          <w:trHeight w:val="300"/>
        </w:trPr>
        <w:tc>
          <w:tcPr>
            <w:tcW w:type="dxa" w:w="3085"/>
            <w:tcBorders>
              <w:top w:space="0" w:sz="4" w:color="auto" w:val="single"/>
              <w:left w:space="0" w:sz="4" w:color="auto" w:val="single"/>
              <w:bottom w:space="0" w:sz="4" w:color="auto" w:val="single"/>
              <w:right w:space="0" w:sz="4" w:color="auto" w:val="single"/>
            </w:tcBorders>
            <w:hideMark/>
          </w:tcPr>
          <w:p w:rsidRDefault="003B4DA0" w:rsidR="003B4DA0">
            <w:pPr>
              <w:overflowPunct w:val="false"/>
              <w:autoSpaceDE w:val="false"/>
              <w:autoSpaceDN w:val="false"/>
              <w:adjustRightInd w:val="false"/>
              <w:spacing w:lineRule="auto" w:line="276" w:after="0"/>
              <w:rPr>
                <w:rFonts w:cs="Tahoma" w:eastAsia="Calibri" w:hAnsi="Calibri" w:ascii="Calibri"/>
                <w:noProof/>
                <w:sz w:val="19"/>
                <w:szCs w:val="19"/>
                <w:lang w:val="en-US"/>
              </w:rPr>
            </w:pPr>
            <w:r>
              <w:rPr>
                <w:rFonts w:cs="Tahoma" w:eastAsia="Calibri" w:hAnsi="Calibri" w:ascii="Calibri"/>
                <w:noProof/>
                <w:sz w:val="19"/>
                <w:szCs w:val="19"/>
                <w:lang w:val="en-US"/>
              </w:rPr>
              <w:t>KOMUNALAC d.o.o.</w:t>
            </w:r>
          </w:p>
        </w:tc>
        <w:tc>
          <w:tcPr>
            <w:tcW w:type="dxa" w:w="1559"/>
            <w:tcBorders>
              <w:top w:space="0" w:sz="4" w:color="auto" w:val="single"/>
              <w:left w:space="0" w:sz="4" w:color="auto" w:val="single"/>
              <w:bottom w:space="0" w:sz="4" w:color="auto" w:val="single"/>
              <w:right w:space="0" w:sz="4" w:color="auto" w:val="single"/>
            </w:tcBorders>
            <w:hideMark/>
          </w:tcPr>
          <w:p w:rsidRDefault="003B4DA0" w:rsidR="003B4DA0">
            <w:pPr>
              <w:overflowPunct w:val="false"/>
              <w:autoSpaceDE w:val="false"/>
              <w:autoSpaceDN w:val="false"/>
              <w:adjustRightInd w:val="false"/>
              <w:spacing w:lineRule="auto" w:line="276" w:after="0"/>
              <w:rPr>
                <w:rFonts w:cs="Tahoma" w:eastAsia="Calibri" w:hAnsi="Calibri" w:ascii="Calibri"/>
                <w:noProof/>
                <w:sz w:val="19"/>
                <w:szCs w:val="19"/>
                <w:lang w:val="en-US"/>
              </w:rPr>
            </w:pPr>
            <w:r>
              <w:rPr>
                <w:rFonts w:cs="Tahoma" w:eastAsia="Calibri" w:hAnsi="Calibri" w:ascii="Calibri"/>
                <w:noProof/>
                <w:sz w:val="19"/>
                <w:szCs w:val="19"/>
                <w:lang w:val="en-US"/>
              </w:rPr>
              <w:t>27962400486</w:t>
            </w:r>
          </w:p>
        </w:tc>
        <w:tc>
          <w:tcPr>
            <w:tcW w:type="dxa" w:w="1604"/>
            <w:tcBorders>
              <w:top w:space="0" w:sz="4" w:color="auto" w:val="single"/>
              <w:left w:space="0" w:sz="4" w:color="auto" w:val="single"/>
              <w:bottom w:space="0" w:sz="4" w:color="auto" w:val="single"/>
              <w:right w:space="0" w:sz="4" w:color="auto" w:val="single"/>
            </w:tcBorders>
            <w:hideMark/>
          </w:tcPr>
          <w:p w:rsidRDefault="003B4DA0" w:rsidR="003B4DA0">
            <w:pPr>
              <w:overflowPunct w:val="false"/>
              <w:autoSpaceDE w:val="false"/>
              <w:autoSpaceDN w:val="false"/>
              <w:adjustRightInd w:val="false"/>
              <w:spacing w:lineRule="auto" w:line="276" w:after="0"/>
              <w:jc w:val="right"/>
              <w:rPr>
                <w:rFonts w:cs="Tahoma" w:eastAsia="Calibri" w:hAnsi="Calibri" w:ascii="Calibri"/>
                <w:noProof/>
                <w:sz w:val="19"/>
                <w:szCs w:val="19"/>
                <w:lang w:val="en-US"/>
              </w:rPr>
            </w:pPr>
            <w:r>
              <w:rPr>
                <w:rFonts w:cs="Tahoma" w:eastAsia="Calibri" w:hAnsi="Calibri" w:ascii="Calibri"/>
                <w:noProof/>
                <w:sz w:val="19"/>
                <w:szCs w:val="19"/>
                <w:lang w:val="en-US"/>
              </w:rPr>
              <w:t>4.418,35</w:t>
            </w:r>
          </w:p>
        </w:tc>
        <w:tc>
          <w:tcPr>
            <w:tcW w:type="dxa" w:w="1646"/>
            <w:tcBorders>
              <w:top w:space="0" w:sz="4" w:color="auto" w:val="single"/>
              <w:left w:space="0" w:sz="4" w:color="auto" w:val="single"/>
              <w:bottom w:space="0" w:sz="4" w:color="auto" w:val="single"/>
              <w:right w:space="0" w:sz="4" w:color="auto" w:val="single"/>
            </w:tcBorders>
            <w:noWrap/>
            <w:hideMark/>
          </w:tcPr>
          <w:p w:rsidRDefault="003B4DA0" w:rsidR="003B4DA0">
            <w:pPr>
              <w:overflowPunct w:val="false"/>
              <w:autoSpaceDE w:val="false"/>
              <w:autoSpaceDN w:val="false"/>
              <w:adjustRightInd w:val="false"/>
              <w:spacing w:lineRule="auto" w:line="276" w:after="0"/>
              <w:jc w:val="right"/>
              <w:rPr>
                <w:rFonts w:cs="Tahoma" w:eastAsia="Calibri" w:hAnsi="Calibri" w:ascii="Calibri"/>
                <w:noProof/>
                <w:sz w:val="19"/>
                <w:szCs w:val="19"/>
                <w:lang w:val="en-US"/>
              </w:rPr>
            </w:pPr>
            <w:r>
              <w:rPr>
                <w:rFonts w:cs="Tahoma" w:eastAsia="Calibri" w:hAnsi="Calibri" w:ascii="Calibri"/>
                <w:noProof/>
                <w:sz w:val="19"/>
                <w:szCs w:val="19"/>
                <w:lang w:val="en-US"/>
              </w:rPr>
              <w:t>3.976,51</w:t>
            </w:r>
          </w:p>
        </w:tc>
        <w:tc>
          <w:tcPr>
            <w:tcW w:type="dxa" w:w="1394"/>
            <w:tcBorders>
              <w:top w:space="0" w:sz="4" w:color="auto" w:val="single"/>
              <w:left w:space="0" w:sz="4" w:color="auto" w:val="single"/>
              <w:bottom w:space="0" w:sz="4" w:color="auto" w:val="single"/>
              <w:right w:space="0" w:sz="4" w:color="auto" w:val="single"/>
            </w:tcBorders>
            <w:hideMark/>
          </w:tcPr>
          <w:p w:rsidRDefault="003B4DA0" w:rsidR="003B4DA0">
            <w:pPr>
              <w:overflowPunct w:val="false"/>
              <w:autoSpaceDE w:val="false"/>
              <w:autoSpaceDN w:val="false"/>
              <w:adjustRightInd w:val="false"/>
              <w:spacing w:lineRule="auto" w:line="276" w:after="0"/>
              <w:jc w:val="right"/>
              <w:rPr>
                <w:rFonts w:cs="Tahoma" w:eastAsia="Calibri" w:hAnsi="Calibri" w:ascii="Calibri"/>
                <w:noProof/>
                <w:sz w:val="19"/>
                <w:szCs w:val="19"/>
                <w:lang w:val="en-US"/>
              </w:rPr>
            </w:pPr>
            <w:r>
              <w:rPr>
                <w:rFonts w:cs="Tahoma" w:eastAsia="Calibri" w:hAnsi="Calibri" w:ascii="Calibri"/>
                <w:noProof/>
                <w:sz w:val="19"/>
                <w:szCs w:val="19"/>
                <w:lang w:val="en-US"/>
              </w:rPr>
              <w:t>441,83</w:t>
            </w:r>
          </w:p>
        </w:tc>
      </w:tr>
      <w:tr w:rsidTr="003B4DA0" w:rsidR="003B4DA0">
        <w:trPr>
          <w:trHeight w:val="300"/>
        </w:trPr>
        <w:tc>
          <w:tcPr>
            <w:tcW w:type="dxa" w:w="3085"/>
            <w:tcBorders>
              <w:top w:space="0" w:sz="4" w:color="auto" w:val="single"/>
              <w:left w:space="0" w:sz="4" w:color="auto" w:val="single"/>
              <w:bottom w:space="0" w:sz="4" w:color="auto" w:val="single"/>
              <w:right w:space="0" w:sz="4" w:color="auto" w:val="single"/>
            </w:tcBorders>
            <w:hideMark/>
          </w:tcPr>
          <w:p w:rsidRDefault="003B4DA0" w:rsidR="003B4DA0">
            <w:pPr>
              <w:overflowPunct w:val="false"/>
              <w:autoSpaceDE w:val="false"/>
              <w:autoSpaceDN w:val="false"/>
              <w:adjustRightInd w:val="false"/>
              <w:spacing w:lineRule="auto" w:line="276" w:after="0"/>
              <w:rPr>
                <w:rFonts w:cs="Tahoma" w:eastAsia="Calibri" w:hAnsi="Calibri" w:ascii="Calibri"/>
                <w:noProof/>
                <w:sz w:val="19"/>
                <w:szCs w:val="19"/>
                <w:lang w:val="en-US"/>
              </w:rPr>
            </w:pPr>
            <w:r>
              <w:rPr>
                <w:rFonts w:cs="Tahoma" w:eastAsia="Calibri" w:hAnsi="Calibri" w:ascii="Calibri"/>
                <w:noProof/>
                <w:sz w:val="19"/>
                <w:szCs w:val="19"/>
                <w:lang w:val="en-US"/>
              </w:rPr>
              <w:t>VODNE USLUGE d.o.o.</w:t>
            </w:r>
          </w:p>
        </w:tc>
        <w:tc>
          <w:tcPr>
            <w:tcW w:type="dxa" w:w="1559"/>
            <w:tcBorders>
              <w:top w:space="0" w:sz="4" w:color="auto" w:val="single"/>
              <w:left w:space="0" w:sz="4" w:color="auto" w:val="single"/>
              <w:bottom w:space="0" w:sz="4" w:color="auto" w:val="single"/>
              <w:right w:space="0" w:sz="4" w:color="auto" w:val="single"/>
            </w:tcBorders>
            <w:hideMark/>
          </w:tcPr>
          <w:p w:rsidRDefault="003B4DA0" w:rsidR="003B4DA0">
            <w:pPr>
              <w:overflowPunct w:val="false"/>
              <w:autoSpaceDE w:val="false"/>
              <w:autoSpaceDN w:val="false"/>
              <w:adjustRightInd w:val="false"/>
              <w:spacing w:lineRule="auto" w:line="276" w:after="0"/>
              <w:rPr>
                <w:rFonts w:cs="Tahoma" w:eastAsia="Calibri" w:hAnsi="Calibri" w:ascii="Calibri"/>
                <w:noProof/>
                <w:sz w:val="19"/>
                <w:szCs w:val="19"/>
                <w:lang w:val="en-US"/>
              </w:rPr>
            </w:pPr>
            <w:r>
              <w:rPr>
                <w:rFonts w:cs="Tahoma" w:eastAsia="Calibri" w:hAnsi="Calibri" w:ascii="Calibri"/>
                <w:noProof/>
                <w:sz w:val="19"/>
                <w:szCs w:val="19"/>
                <w:lang w:val="en-US"/>
              </w:rPr>
              <w:t>43307218011</w:t>
            </w:r>
          </w:p>
        </w:tc>
        <w:tc>
          <w:tcPr>
            <w:tcW w:type="dxa" w:w="1604"/>
            <w:tcBorders>
              <w:top w:space="0" w:sz="4" w:color="auto" w:val="single"/>
              <w:left w:space="0" w:sz="4" w:color="auto" w:val="single"/>
              <w:bottom w:space="0" w:sz="4" w:color="auto" w:val="single"/>
              <w:right w:space="0" w:sz="4" w:color="auto" w:val="single"/>
            </w:tcBorders>
            <w:hideMark/>
          </w:tcPr>
          <w:p w:rsidRDefault="003B4DA0" w:rsidR="003B4DA0">
            <w:pPr>
              <w:overflowPunct w:val="false"/>
              <w:autoSpaceDE w:val="false"/>
              <w:autoSpaceDN w:val="false"/>
              <w:adjustRightInd w:val="false"/>
              <w:spacing w:lineRule="auto" w:line="276" w:after="0"/>
              <w:jc w:val="right"/>
              <w:rPr>
                <w:rFonts w:cs="Tahoma" w:eastAsia="Calibri" w:hAnsi="Calibri" w:ascii="Calibri"/>
                <w:noProof/>
                <w:sz w:val="19"/>
                <w:szCs w:val="19"/>
                <w:lang w:val="en-US"/>
              </w:rPr>
            </w:pPr>
            <w:r>
              <w:rPr>
                <w:rFonts w:cs="Tahoma" w:eastAsia="Calibri" w:hAnsi="Calibri" w:ascii="Calibri"/>
                <w:noProof/>
                <w:sz w:val="19"/>
                <w:szCs w:val="19"/>
                <w:lang w:val="en-US"/>
              </w:rPr>
              <w:t>106,3</w:t>
            </w:r>
          </w:p>
        </w:tc>
        <w:tc>
          <w:tcPr>
            <w:tcW w:type="dxa" w:w="1646"/>
            <w:tcBorders>
              <w:top w:space="0" w:sz="4" w:color="auto" w:val="single"/>
              <w:left w:space="0" w:sz="4" w:color="auto" w:val="single"/>
              <w:bottom w:space="0" w:sz="4" w:color="auto" w:val="single"/>
              <w:right w:space="0" w:sz="4" w:color="auto" w:val="single"/>
            </w:tcBorders>
            <w:noWrap/>
            <w:hideMark/>
          </w:tcPr>
          <w:p w:rsidRDefault="003B4DA0" w:rsidR="003B4DA0">
            <w:pPr>
              <w:overflowPunct w:val="false"/>
              <w:autoSpaceDE w:val="false"/>
              <w:autoSpaceDN w:val="false"/>
              <w:adjustRightInd w:val="false"/>
              <w:spacing w:lineRule="auto" w:line="276" w:after="0"/>
              <w:jc w:val="right"/>
              <w:rPr>
                <w:rFonts w:cs="Tahoma" w:eastAsia="Calibri" w:hAnsi="Calibri" w:ascii="Calibri"/>
                <w:noProof/>
                <w:sz w:val="19"/>
                <w:szCs w:val="19"/>
                <w:lang w:val="en-US"/>
              </w:rPr>
            </w:pPr>
            <w:r>
              <w:rPr>
                <w:rFonts w:cs="Tahoma" w:eastAsia="Calibri" w:hAnsi="Calibri" w:ascii="Calibri"/>
                <w:noProof/>
                <w:sz w:val="19"/>
                <w:szCs w:val="19"/>
                <w:lang w:val="en-US"/>
              </w:rPr>
              <w:t>95,67</w:t>
            </w:r>
          </w:p>
        </w:tc>
        <w:tc>
          <w:tcPr>
            <w:tcW w:type="dxa" w:w="1394"/>
            <w:tcBorders>
              <w:top w:space="0" w:sz="4" w:color="auto" w:val="single"/>
              <w:left w:space="0" w:sz="4" w:color="auto" w:val="single"/>
              <w:bottom w:space="0" w:sz="4" w:color="auto" w:val="single"/>
              <w:right w:space="0" w:sz="4" w:color="auto" w:val="single"/>
            </w:tcBorders>
            <w:hideMark/>
          </w:tcPr>
          <w:p w:rsidRDefault="003B4DA0" w:rsidR="003B4DA0">
            <w:pPr>
              <w:overflowPunct w:val="false"/>
              <w:autoSpaceDE w:val="false"/>
              <w:autoSpaceDN w:val="false"/>
              <w:adjustRightInd w:val="false"/>
              <w:spacing w:lineRule="auto" w:line="276" w:after="0"/>
              <w:jc w:val="right"/>
              <w:rPr>
                <w:rFonts w:cs="Tahoma" w:eastAsia="Calibri" w:hAnsi="Calibri" w:ascii="Calibri"/>
                <w:noProof/>
                <w:sz w:val="19"/>
                <w:szCs w:val="19"/>
                <w:lang w:val="en-US"/>
              </w:rPr>
            </w:pPr>
            <w:r>
              <w:rPr>
                <w:rFonts w:cs="Tahoma" w:eastAsia="Calibri" w:hAnsi="Calibri" w:ascii="Calibri"/>
                <w:noProof/>
                <w:sz w:val="19"/>
                <w:szCs w:val="19"/>
                <w:lang w:val="en-US"/>
              </w:rPr>
              <w:t>10,63</w:t>
            </w:r>
          </w:p>
        </w:tc>
      </w:tr>
      <w:tr w:rsidTr="003B4DA0" w:rsidR="003B4DA0">
        <w:trPr>
          <w:trHeight w:val="300"/>
        </w:trPr>
        <w:tc>
          <w:tcPr>
            <w:tcW w:type="dxa" w:w="3085"/>
            <w:tcBorders>
              <w:top w:space="0" w:sz="4" w:color="auto" w:val="single"/>
              <w:left w:space="0" w:sz="4" w:color="auto" w:val="single"/>
              <w:bottom w:space="0" w:sz="4" w:color="auto" w:val="single"/>
              <w:right w:space="0" w:sz="4" w:color="auto" w:val="single"/>
            </w:tcBorders>
            <w:hideMark/>
          </w:tcPr>
          <w:p w:rsidRDefault="003B4DA0" w:rsidR="003B4DA0">
            <w:pPr>
              <w:overflowPunct w:val="false"/>
              <w:autoSpaceDE w:val="false"/>
              <w:autoSpaceDN w:val="false"/>
              <w:adjustRightInd w:val="false"/>
              <w:spacing w:lineRule="auto" w:line="276" w:after="0"/>
              <w:rPr>
                <w:rFonts w:cs="Tahoma" w:eastAsia="Calibri" w:hAnsi="Calibri" w:ascii="Calibri"/>
                <w:noProof/>
                <w:sz w:val="19"/>
                <w:szCs w:val="19"/>
                <w:lang w:val="en-US"/>
              </w:rPr>
            </w:pPr>
            <w:r>
              <w:rPr>
                <w:rFonts w:cs="Tahoma" w:eastAsia="Calibri" w:hAnsi="Calibri" w:ascii="Calibri"/>
                <w:noProof/>
                <w:sz w:val="19"/>
                <w:szCs w:val="19"/>
                <w:lang w:val="en-US"/>
              </w:rPr>
              <w:t>GRAD BJELOVAR</w:t>
            </w:r>
          </w:p>
        </w:tc>
        <w:tc>
          <w:tcPr>
            <w:tcW w:type="dxa" w:w="1559"/>
            <w:tcBorders>
              <w:top w:space="0" w:sz="4" w:color="auto" w:val="single"/>
              <w:left w:space="0" w:sz="4" w:color="auto" w:val="single"/>
              <w:bottom w:space="0" w:sz="4" w:color="auto" w:val="single"/>
              <w:right w:space="0" w:sz="4" w:color="auto" w:val="single"/>
            </w:tcBorders>
            <w:hideMark/>
          </w:tcPr>
          <w:p w:rsidRDefault="003B4DA0" w:rsidR="003B4DA0">
            <w:pPr>
              <w:overflowPunct w:val="false"/>
              <w:autoSpaceDE w:val="false"/>
              <w:autoSpaceDN w:val="false"/>
              <w:adjustRightInd w:val="false"/>
              <w:spacing w:lineRule="auto" w:line="276" w:after="0"/>
              <w:rPr>
                <w:rFonts w:cs="Tahoma" w:eastAsia="Calibri" w:hAnsi="Calibri" w:ascii="Calibri"/>
                <w:noProof/>
                <w:sz w:val="19"/>
                <w:szCs w:val="19"/>
                <w:lang w:val="en-US"/>
              </w:rPr>
            </w:pPr>
            <w:r>
              <w:rPr>
                <w:rFonts w:cs="Tahoma" w:eastAsia="Calibri" w:hAnsi="Calibri" w:ascii="Calibri"/>
                <w:noProof/>
                <w:sz w:val="19"/>
                <w:szCs w:val="19"/>
                <w:lang w:val="en-US"/>
              </w:rPr>
              <w:t>18970641692</w:t>
            </w:r>
          </w:p>
        </w:tc>
        <w:tc>
          <w:tcPr>
            <w:tcW w:type="dxa" w:w="1604"/>
            <w:tcBorders>
              <w:top w:space="0" w:sz="4" w:color="auto" w:val="single"/>
              <w:left w:space="0" w:sz="4" w:color="auto" w:val="single"/>
              <w:bottom w:space="0" w:sz="4" w:color="auto" w:val="single"/>
              <w:right w:space="0" w:sz="4" w:color="auto" w:val="single"/>
            </w:tcBorders>
            <w:hideMark/>
          </w:tcPr>
          <w:p w:rsidRDefault="003B4DA0" w:rsidR="003B4DA0">
            <w:pPr>
              <w:overflowPunct w:val="false"/>
              <w:autoSpaceDE w:val="false"/>
              <w:autoSpaceDN w:val="false"/>
              <w:adjustRightInd w:val="false"/>
              <w:spacing w:lineRule="auto" w:line="276" w:after="0"/>
              <w:jc w:val="right"/>
              <w:rPr>
                <w:rFonts w:cs="Tahoma" w:eastAsia="Calibri" w:hAnsi="Calibri" w:ascii="Calibri"/>
                <w:noProof/>
                <w:sz w:val="19"/>
                <w:szCs w:val="19"/>
                <w:lang w:val="en-US"/>
              </w:rPr>
            </w:pPr>
            <w:r>
              <w:rPr>
                <w:rFonts w:cs="Tahoma" w:eastAsia="Calibri" w:hAnsi="Calibri" w:ascii="Calibri"/>
                <w:noProof/>
                <w:sz w:val="19"/>
                <w:szCs w:val="19"/>
                <w:lang w:val="en-US"/>
              </w:rPr>
              <w:t>115.139,40</w:t>
            </w:r>
          </w:p>
        </w:tc>
        <w:tc>
          <w:tcPr>
            <w:tcW w:type="dxa" w:w="1646"/>
            <w:tcBorders>
              <w:top w:space="0" w:sz="4" w:color="auto" w:val="single"/>
              <w:left w:space="0" w:sz="4" w:color="auto" w:val="single"/>
              <w:bottom w:space="0" w:sz="4" w:color="auto" w:val="single"/>
              <w:right w:space="0" w:sz="4" w:color="auto" w:val="single"/>
            </w:tcBorders>
            <w:noWrap/>
            <w:hideMark/>
          </w:tcPr>
          <w:p w:rsidRDefault="003B4DA0" w:rsidR="003B4DA0">
            <w:pPr>
              <w:overflowPunct w:val="false"/>
              <w:autoSpaceDE w:val="false"/>
              <w:autoSpaceDN w:val="false"/>
              <w:adjustRightInd w:val="false"/>
              <w:spacing w:lineRule="auto" w:line="276" w:after="0"/>
              <w:jc w:val="right"/>
              <w:rPr>
                <w:rFonts w:cs="Tahoma" w:eastAsia="Calibri" w:hAnsi="Calibri" w:ascii="Calibri"/>
                <w:noProof/>
                <w:sz w:val="19"/>
                <w:szCs w:val="19"/>
                <w:lang w:val="en-US"/>
              </w:rPr>
            </w:pPr>
            <w:r>
              <w:rPr>
                <w:rFonts w:cs="Tahoma" w:eastAsia="Calibri" w:hAnsi="Calibri" w:ascii="Calibri"/>
                <w:noProof/>
                <w:sz w:val="19"/>
                <w:szCs w:val="19"/>
                <w:lang w:val="en-US"/>
              </w:rPr>
              <w:t>103.625,46</w:t>
            </w:r>
          </w:p>
        </w:tc>
        <w:tc>
          <w:tcPr>
            <w:tcW w:type="dxa" w:w="1394"/>
            <w:tcBorders>
              <w:top w:space="0" w:sz="4" w:color="auto" w:val="single"/>
              <w:left w:space="0" w:sz="4" w:color="auto" w:val="single"/>
              <w:bottom w:space="0" w:sz="4" w:color="auto" w:val="single"/>
              <w:right w:space="0" w:sz="4" w:color="auto" w:val="single"/>
            </w:tcBorders>
            <w:hideMark/>
          </w:tcPr>
          <w:p w:rsidRDefault="003B4DA0" w:rsidR="003B4DA0">
            <w:pPr>
              <w:overflowPunct w:val="false"/>
              <w:autoSpaceDE w:val="false"/>
              <w:autoSpaceDN w:val="false"/>
              <w:adjustRightInd w:val="false"/>
              <w:spacing w:lineRule="auto" w:line="276" w:after="0"/>
              <w:jc w:val="right"/>
              <w:rPr>
                <w:rFonts w:cs="Tahoma" w:eastAsia="Calibri" w:hAnsi="Calibri" w:ascii="Calibri"/>
                <w:noProof/>
                <w:sz w:val="19"/>
                <w:szCs w:val="19"/>
                <w:lang w:val="en-US"/>
              </w:rPr>
            </w:pPr>
            <w:r>
              <w:rPr>
                <w:rFonts w:cs="Tahoma" w:eastAsia="Calibri" w:hAnsi="Calibri" w:ascii="Calibri"/>
                <w:noProof/>
                <w:sz w:val="19"/>
                <w:szCs w:val="19"/>
                <w:lang w:val="en-US"/>
              </w:rPr>
              <w:t>11.513,94</w:t>
            </w:r>
          </w:p>
        </w:tc>
      </w:tr>
      <w:tr w:rsidTr="003B4DA0" w:rsidR="003B4DA0">
        <w:trPr>
          <w:trHeight w:val="300"/>
        </w:trPr>
        <w:tc>
          <w:tcPr>
            <w:tcW w:type="dxa" w:w="3085"/>
            <w:tcBorders>
              <w:top w:space="0" w:sz="4" w:color="auto" w:val="single"/>
              <w:left w:space="0" w:sz="4" w:color="auto" w:val="single"/>
              <w:bottom w:space="0" w:sz="4" w:color="auto" w:val="single"/>
              <w:right w:space="0" w:sz="4" w:color="auto" w:val="single"/>
            </w:tcBorders>
            <w:hideMark/>
          </w:tcPr>
          <w:p w:rsidRDefault="003B4DA0" w:rsidR="003B4DA0">
            <w:pPr>
              <w:overflowPunct w:val="false"/>
              <w:autoSpaceDE w:val="false"/>
              <w:autoSpaceDN w:val="false"/>
              <w:adjustRightInd w:val="false"/>
              <w:spacing w:lineRule="auto" w:line="276" w:after="0"/>
              <w:rPr>
                <w:rFonts w:cs="Tahoma" w:eastAsia="Calibri" w:hAnsi="Calibri" w:ascii="Calibri"/>
                <w:noProof/>
                <w:sz w:val="19"/>
                <w:szCs w:val="19"/>
                <w:lang w:val="en-US"/>
              </w:rPr>
            </w:pPr>
            <w:r>
              <w:rPr>
                <w:rFonts w:cs="Tahoma" w:eastAsia="Calibri" w:hAnsi="Calibri" w:ascii="Calibri"/>
                <w:noProof/>
                <w:sz w:val="19"/>
                <w:szCs w:val="19"/>
                <w:lang w:val="en-US"/>
              </w:rPr>
              <w:t>IT Jedan d.o.o.</w:t>
            </w:r>
          </w:p>
        </w:tc>
        <w:tc>
          <w:tcPr>
            <w:tcW w:type="dxa" w:w="1559"/>
            <w:tcBorders>
              <w:top w:space="0" w:sz="4" w:color="auto" w:val="single"/>
              <w:left w:space="0" w:sz="4" w:color="auto" w:val="single"/>
              <w:bottom w:space="0" w:sz="4" w:color="auto" w:val="single"/>
              <w:right w:space="0" w:sz="4" w:color="auto" w:val="single"/>
            </w:tcBorders>
            <w:hideMark/>
          </w:tcPr>
          <w:p w:rsidRDefault="003B4DA0" w:rsidR="003B4DA0">
            <w:pPr>
              <w:overflowPunct w:val="false"/>
              <w:autoSpaceDE w:val="false"/>
              <w:autoSpaceDN w:val="false"/>
              <w:adjustRightInd w:val="false"/>
              <w:spacing w:lineRule="auto" w:line="276" w:after="0"/>
              <w:rPr>
                <w:rFonts w:cs="Tahoma" w:eastAsia="Calibri" w:hAnsi="Calibri" w:ascii="Calibri"/>
                <w:noProof/>
                <w:sz w:val="19"/>
                <w:szCs w:val="19"/>
                <w:lang w:val="en-US"/>
              </w:rPr>
            </w:pPr>
            <w:r>
              <w:rPr>
                <w:rFonts w:cs="Tahoma" w:eastAsia="Calibri" w:hAnsi="Calibri" w:ascii="Calibri"/>
                <w:noProof/>
                <w:sz w:val="19"/>
                <w:szCs w:val="19"/>
                <w:lang w:val="en-US"/>
              </w:rPr>
              <w:t>75235737688</w:t>
            </w:r>
          </w:p>
        </w:tc>
        <w:tc>
          <w:tcPr>
            <w:tcW w:type="dxa" w:w="1604"/>
            <w:tcBorders>
              <w:top w:space="0" w:sz="4" w:color="auto" w:val="single"/>
              <w:left w:space="0" w:sz="4" w:color="auto" w:val="single"/>
              <w:bottom w:space="0" w:sz="4" w:color="auto" w:val="single"/>
              <w:right w:space="0" w:sz="4" w:color="auto" w:val="single"/>
            </w:tcBorders>
            <w:hideMark/>
          </w:tcPr>
          <w:p w:rsidRDefault="003B4DA0" w:rsidR="003B4DA0">
            <w:pPr>
              <w:overflowPunct w:val="false"/>
              <w:autoSpaceDE w:val="false"/>
              <w:autoSpaceDN w:val="false"/>
              <w:adjustRightInd w:val="false"/>
              <w:spacing w:lineRule="auto" w:line="276" w:after="0"/>
              <w:jc w:val="right"/>
              <w:rPr>
                <w:rFonts w:cs="Tahoma" w:eastAsia="Calibri" w:hAnsi="Calibri" w:ascii="Calibri"/>
                <w:noProof/>
                <w:sz w:val="19"/>
                <w:szCs w:val="19"/>
                <w:lang w:val="en-US"/>
              </w:rPr>
            </w:pPr>
            <w:r>
              <w:rPr>
                <w:rFonts w:cs="Tahoma" w:eastAsia="Calibri" w:hAnsi="Calibri" w:ascii="Calibri"/>
                <w:noProof/>
                <w:sz w:val="19"/>
                <w:szCs w:val="19"/>
                <w:lang w:val="en-US"/>
              </w:rPr>
              <w:t>446,13</w:t>
            </w:r>
          </w:p>
        </w:tc>
        <w:tc>
          <w:tcPr>
            <w:tcW w:type="dxa" w:w="1646"/>
            <w:tcBorders>
              <w:top w:space="0" w:sz="4" w:color="auto" w:val="single"/>
              <w:left w:space="0" w:sz="4" w:color="auto" w:val="single"/>
              <w:bottom w:space="0" w:sz="4" w:color="auto" w:val="single"/>
              <w:right w:space="0" w:sz="4" w:color="auto" w:val="single"/>
            </w:tcBorders>
            <w:noWrap/>
            <w:hideMark/>
          </w:tcPr>
          <w:p w:rsidRDefault="003B4DA0" w:rsidR="003B4DA0">
            <w:pPr>
              <w:overflowPunct w:val="false"/>
              <w:autoSpaceDE w:val="false"/>
              <w:autoSpaceDN w:val="false"/>
              <w:adjustRightInd w:val="false"/>
              <w:spacing w:lineRule="auto" w:line="276" w:after="0"/>
              <w:jc w:val="right"/>
              <w:rPr>
                <w:rFonts w:cs="Tahoma" w:eastAsia="Calibri" w:hAnsi="Calibri" w:ascii="Calibri"/>
                <w:noProof/>
                <w:sz w:val="19"/>
                <w:szCs w:val="19"/>
                <w:lang w:val="en-US"/>
              </w:rPr>
            </w:pPr>
            <w:r>
              <w:rPr>
                <w:rFonts w:cs="Tahoma" w:eastAsia="Calibri" w:hAnsi="Calibri" w:ascii="Calibri"/>
                <w:noProof/>
                <w:sz w:val="19"/>
                <w:szCs w:val="19"/>
                <w:lang w:val="en-US"/>
              </w:rPr>
              <w:t>401,51</w:t>
            </w:r>
          </w:p>
        </w:tc>
        <w:tc>
          <w:tcPr>
            <w:tcW w:type="dxa" w:w="1394"/>
            <w:tcBorders>
              <w:top w:space="0" w:sz="4" w:color="auto" w:val="single"/>
              <w:left w:space="0" w:sz="4" w:color="auto" w:val="single"/>
              <w:bottom w:space="0" w:sz="4" w:color="auto" w:val="single"/>
              <w:right w:space="0" w:sz="4" w:color="auto" w:val="single"/>
            </w:tcBorders>
            <w:hideMark/>
          </w:tcPr>
          <w:p w:rsidRDefault="003B4DA0" w:rsidR="003B4DA0">
            <w:pPr>
              <w:overflowPunct w:val="false"/>
              <w:autoSpaceDE w:val="false"/>
              <w:autoSpaceDN w:val="false"/>
              <w:adjustRightInd w:val="false"/>
              <w:spacing w:lineRule="auto" w:line="276" w:after="0"/>
              <w:jc w:val="right"/>
              <w:rPr>
                <w:rFonts w:cs="Tahoma" w:eastAsia="Calibri" w:hAnsi="Calibri" w:ascii="Calibri"/>
                <w:noProof/>
                <w:sz w:val="19"/>
                <w:szCs w:val="19"/>
                <w:lang w:val="en-US"/>
              </w:rPr>
            </w:pPr>
            <w:r>
              <w:rPr>
                <w:rFonts w:cs="Tahoma" w:eastAsia="Calibri" w:hAnsi="Calibri" w:ascii="Calibri"/>
                <w:noProof/>
                <w:sz w:val="19"/>
                <w:szCs w:val="19"/>
                <w:lang w:val="en-US"/>
              </w:rPr>
              <w:t>44,61</w:t>
            </w:r>
          </w:p>
        </w:tc>
      </w:tr>
      <w:tr w:rsidTr="003B4DA0" w:rsidR="003B4DA0">
        <w:trPr>
          <w:trHeight w:val="564"/>
        </w:trPr>
        <w:tc>
          <w:tcPr>
            <w:tcW w:type="dxa" w:w="3085"/>
            <w:tcBorders>
              <w:top w:space="0" w:sz="4" w:color="auto" w:val="single"/>
              <w:left w:space="0" w:sz="4" w:color="auto" w:val="single"/>
              <w:bottom w:space="0" w:sz="4" w:color="auto" w:val="single"/>
              <w:right w:space="0" w:sz="4" w:color="auto" w:val="single"/>
            </w:tcBorders>
            <w:hideMark/>
          </w:tcPr>
          <w:p w:rsidRDefault="003B4DA0" w:rsidR="003B4DA0">
            <w:pPr>
              <w:overflowPunct w:val="false"/>
              <w:autoSpaceDE w:val="false"/>
              <w:autoSpaceDN w:val="false"/>
              <w:adjustRightInd w:val="false"/>
              <w:spacing w:lineRule="auto" w:line="276" w:after="0"/>
              <w:rPr>
                <w:rFonts w:cs="Tahoma" w:eastAsia="Calibri" w:hAnsi="Calibri" w:ascii="Calibri"/>
                <w:noProof/>
                <w:sz w:val="19"/>
                <w:szCs w:val="19"/>
                <w:lang w:val="en-US"/>
              </w:rPr>
            </w:pPr>
            <w:r>
              <w:rPr>
                <w:rFonts w:cs="Tahoma" w:eastAsia="Calibri" w:hAnsi="Calibri" w:ascii="Calibri"/>
                <w:noProof/>
                <w:sz w:val="19"/>
                <w:szCs w:val="19"/>
                <w:lang w:val="en-US"/>
              </w:rPr>
              <w:t>ČAZMATRANS PROMET d.o.o.</w:t>
            </w:r>
          </w:p>
        </w:tc>
        <w:tc>
          <w:tcPr>
            <w:tcW w:type="dxa" w:w="1559"/>
            <w:tcBorders>
              <w:top w:space="0" w:sz="4" w:color="auto" w:val="single"/>
              <w:left w:space="0" w:sz="4" w:color="auto" w:val="single"/>
              <w:bottom w:space="0" w:sz="4" w:color="auto" w:val="single"/>
              <w:right w:space="0" w:sz="4" w:color="auto" w:val="single"/>
            </w:tcBorders>
            <w:hideMark/>
          </w:tcPr>
          <w:p w:rsidRDefault="003B4DA0" w:rsidR="003B4DA0">
            <w:pPr>
              <w:overflowPunct w:val="false"/>
              <w:autoSpaceDE w:val="false"/>
              <w:autoSpaceDN w:val="false"/>
              <w:adjustRightInd w:val="false"/>
              <w:spacing w:lineRule="auto" w:line="276" w:after="0"/>
              <w:rPr>
                <w:rFonts w:cs="Tahoma" w:eastAsia="Calibri" w:hAnsi="Calibri" w:ascii="Calibri"/>
                <w:noProof/>
                <w:sz w:val="19"/>
                <w:szCs w:val="19"/>
                <w:lang w:val="en-US"/>
              </w:rPr>
            </w:pPr>
            <w:r>
              <w:rPr>
                <w:rFonts w:cs="Tahoma" w:eastAsia="Calibri" w:hAnsi="Calibri" w:ascii="Calibri"/>
                <w:noProof/>
                <w:sz w:val="19"/>
                <w:szCs w:val="19"/>
                <w:lang w:val="en-US"/>
              </w:rPr>
              <w:t>96107776452</w:t>
            </w:r>
          </w:p>
        </w:tc>
        <w:tc>
          <w:tcPr>
            <w:tcW w:type="dxa" w:w="1604"/>
            <w:tcBorders>
              <w:top w:space="0" w:sz="4" w:color="auto" w:val="single"/>
              <w:left w:space="0" w:sz="4" w:color="auto" w:val="single"/>
              <w:bottom w:space="0" w:sz="4" w:color="auto" w:val="single"/>
              <w:right w:space="0" w:sz="4" w:color="auto" w:val="single"/>
            </w:tcBorders>
            <w:hideMark/>
          </w:tcPr>
          <w:p w:rsidRDefault="003B4DA0" w:rsidR="003B4DA0">
            <w:pPr>
              <w:overflowPunct w:val="false"/>
              <w:autoSpaceDE w:val="false"/>
              <w:autoSpaceDN w:val="false"/>
              <w:adjustRightInd w:val="false"/>
              <w:spacing w:lineRule="auto" w:line="276" w:after="0"/>
              <w:jc w:val="right"/>
              <w:rPr>
                <w:rFonts w:cs="Tahoma" w:eastAsia="Calibri" w:hAnsi="Calibri" w:ascii="Calibri"/>
                <w:noProof/>
                <w:sz w:val="19"/>
                <w:szCs w:val="19"/>
                <w:lang w:val="en-US"/>
              </w:rPr>
            </w:pPr>
            <w:r>
              <w:rPr>
                <w:rFonts w:cs="Tahoma" w:eastAsia="Calibri" w:hAnsi="Calibri" w:ascii="Calibri"/>
                <w:noProof/>
                <w:sz w:val="19"/>
                <w:szCs w:val="19"/>
                <w:lang w:val="en-US"/>
              </w:rPr>
              <w:t>616,68</w:t>
            </w:r>
          </w:p>
        </w:tc>
        <w:tc>
          <w:tcPr>
            <w:tcW w:type="dxa" w:w="1646"/>
            <w:tcBorders>
              <w:top w:space="0" w:sz="4" w:color="auto" w:val="single"/>
              <w:left w:space="0" w:sz="4" w:color="auto" w:val="single"/>
              <w:bottom w:space="0" w:sz="4" w:color="auto" w:val="single"/>
              <w:right w:space="0" w:sz="4" w:color="auto" w:val="single"/>
            </w:tcBorders>
            <w:noWrap/>
            <w:hideMark/>
          </w:tcPr>
          <w:p w:rsidRDefault="003B4DA0" w:rsidR="003B4DA0">
            <w:pPr>
              <w:overflowPunct w:val="false"/>
              <w:autoSpaceDE w:val="false"/>
              <w:autoSpaceDN w:val="false"/>
              <w:adjustRightInd w:val="false"/>
              <w:spacing w:lineRule="auto" w:line="276" w:after="0"/>
              <w:jc w:val="right"/>
              <w:rPr>
                <w:rFonts w:cs="Tahoma" w:eastAsia="Calibri" w:hAnsi="Calibri" w:ascii="Calibri"/>
                <w:noProof/>
                <w:sz w:val="19"/>
                <w:szCs w:val="19"/>
                <w:lang w:val="en-US"/>
              </w:rPr>
            </w:pPr>
            <w:r>
              <w:rPr>
                <w:rFonts w:cs="Tahoma" w:eastAsia="Calibri" w:hAnsi="Calibri" w:ascii="Calibri"/>
                <w:noProof/>
                <w:sz w:val="19"/>
                <w:szCs w:val="19"/>
                <w:lang w:val="en-US"/>
              </w:rPr>
              <w:t>555,01</w:t>
            </w:r>
          </w:p>
        </w:tc>
        <w:tc>
          <w:tcPr>
            <w:tcW w:type="dxa" w:w="1394"/>
            <w:tcBorders>
              <w:top w:space="0" w:sz="4" w:color="auto" w:val="single"/>
              <w:left w:space="0" w:sz="4" w:color="auto" w:val="single"/>
              <w:bottom w:space="0" w:sz="4" w:color="auto" w:val="single"/>
              <w:right w:space="0" w:sz="4" w:color="auto" w:val="single"/>
            </w:tcBorders>
            <w:hideMark/>
          </w:tcPr>
          <w:p w:rsidRDefault="003B4DA0" w:rsidR="003B4DA0">
            <w:pPr>
              <w:overflowPunct w:val="false"/>
              <w:autoSpaceDE w:val="false"/>
              <w:autoSpaceDN w:val="false"/>
              <w:adjustRightInd w:val="false"/>
              <w:spacing w:lineRule="auto" w:line="276" w:after="0"/>
              <w:jc w:val="right"/>
              <w:rPr>
                <w:rFonts w:cs="Tahoma" w:eastAsia="Calibri" w:hAnsi="Calibri" w:ascii="Calibri"/>
                <w:noProof/>
                <w:sz w:val="19"/>
                <w:szCs w:val="19"/>
                <w:lang w:val="en-US"/>
              </w:rPr>
            </w:pPr>
            <w:r>
              <w:rPr>
                <w:rFonts w:cs="Tahoma" w:eastAsia="Calibri" w:hAnsi="Calibri" w:ascii="Calibri"/>
                <w:noProof/>
                <w:sz w:val="19"/>
                <w:szCs w:val="19"/>
                <w:lang w:val="en-US"/>
              </w:rPr>
              <w:t>61,66</w:t>
            </w:r>
          </w:p>
        </w:tc>
      </w:tr>
      <w:tr w:rsidTr="003B4DA0" w:rsidR="003B4DA0">
        <w:trPr>
          <w:trHeight w:val="300"/>
        </w:trPr>
        <w:tc>
          <w:tcPr>
            <w:tcW w:type="dxa" w:w="3085"/>
            <w:tcBorders>
              <w:top w:space="0" w:sz="4" w:color="auto" w:val="single"/>
              <w:left w:space="0" w:sz="4" w:color="auto" w:val="single"/>
              <w:bottom w:space="0" w:sz="4" w:color="auto" w:val="single"/>
              <w:right w:space="0" w:sz="4" w:color="auto" w:val="single"/>
            </w:tcBorders>
            <w:hideMark/>
          </w:tcPr>
          <w:p w:rsidRDefault="003B4DA0" w:rsidR="003B4DA0">
            <w:pPr>
              <w:overflowPunct w:val="false"/>
              <w:autoSpaceDE w:val="false"/>
              <w:autoSpaceDN w:val="false"/>
              <w:adjustRightInd w:val="false"/>
              <w:spacing w:lineRule="auto" w:line="276" w:after="0"/>
              <w:rPr>
                <w:rFonts w:cs="Tahoma" w:eastAsia="Calibri" w:hAnsi="Calibri" w:ascii="Calibri"/>
                <w:noProof/>
                <w:sz w:val="19"/>
                <w:szCs w:val="19"/>
                <w:lang w:val="en-US"/>
              </w:rPr>
            </w:pPr>
            <w:r>
              <w:rPr>
                <w:rFonts w:cs="Tahoma" w:eastAsia="Calibri" w:hAnsi="Calibri" w:ascii="Calibri"/>
                <w:noProof/>
                <w:sz w:val="19"/>
                <w:szCs w:val="19"/>
                <w:lang w:val="en-US"/>
              </w:rPr>
              <w:t>GRAD ZAGREB</w:t>
            </w:r>
          </w:p>
        </w:tc>
        <w:tc>
          <w:tcPr>
            <w:tcW w:type="dxa" w:w="1559"/>
            <w:tcBorders>
              <w:top w:space="0" w:sz="4" w:color="auto" w:val="single"/>
              <w:left w:space="0" w:sz="4" w:color="auto" w:val="single"/>
              <w:bottom w:space="0" w:sz="4" w:color="auto" w:val="single"/>
              <w:right w:space="0" w:sz="4" w:color="auto" w:val="single"/>
            </w:tcBorders>
            <w:hideMark/>
          </w:tcPr>
          <w:p w:rsidRDefault="003B4DA0" w:rsidR="003B4DA0">
            <w:pPr>
              <w:overflowPunct w:val="false"/>
              <w:autoSpaceDE w:val="false"/>
              <w:autoSpaceDN w:val="false"/>
              <w:adjustRightInd w:val="false"/>
              <w:spacing w:lineRule="auto" w:line="276" w:after="0"/>
              <w:rPr>
                <w:rFonts w:cs="Tahoma" w:eastAsia="Calibri" w:hAnsi="Calibri" w:ascii="Calibri"/>
                <w:noProof/>
                <w:sz w:val="19"/>
                <w:szCs w:val="19"/>
                <w:lang w:val="en-US"/>
              </w:rPr>
            </w:pPr>
            <w:r>
              <w:rPr>
                <w:rFonts w:cs="Tahoma" w:eastAsia="Calibri" w:hAnsi="Calibri" w:ascii="Calibri"/>
                <w:noProof/>
                <w:sz w:val="19"/>
                <w:szCs w:val="19"/>
                <w:lang w:val="en-US"/>
              </w:rPr>
              <w:t>61817894937</w:t>
            </w:r>
          </w:p>
        </w:tc>
        <w:tc>
          <w:tcPr>
            <w:tcW w:type="dxa" w:w="1604"/>
            <w:tcBorders>
              <w:top w:space="0" w:sz="4" w:color="auto" w:val="single"/>
              <w:left w:space="0" w:sz="4" w:color="auto" w:val="single"/>
              <w:bottom w:space="0" w:sz="4" w:color="auto" w:val="single"/>
              <w:right w:space="0" w:sz="4" w:color="auto" w:val="single"/>
            </w:tcBorders>
            <w:hideMark/>
          </w:tcPr>
          <w:p w:rsidRDefault="003B4DA0" w:rsidR="003B4DA0">
            <w:pPr>
              <w:overflowPunct w:val="false"/>
              <w:autoSpaceDE w:val="false"/>
              <w:autoSpaceDN w:val="false"/>
              <w:adjustRightInd w:val="false"/>
              <w:spacing w:lineRule="auto" w:line="276" w:after="0"/>
              <w:jc w:val="right"/>
              <w:rPr>
                <w:rFonts w:cs="Tahoma" w:eastAsia="Calibri" w:hAnsi="Calibri" w:ascii="Calibri"/>
                <w:noProof/>
                <w:sz w:val="19"/>
                <w:szCs w:val="19"/>
                <w:lang w:val="en-US"/>
              </w:rPr>
            </w:pPr>
            <w:r>
              <w:rPr>
                <w:rFonts w:cs="Tahoma" w:eastAsia="Calibri" w:hAnsi="Calibri" w:ascii="Calibri"/>
                <w:noProof/>
                <w:sz w:val="19"/>
                <w:szCs w:val="19"/>
                <w:lang w:val="en-US"/>
              </w:rPr>
              <w:t>79.718,41</w:t>
            </w:r>
          </w:p>
        </w:tc>
        <w:tc>
          <w:tcPr>
            <w:tcW w:type="dxa" w:w="1646"/>
            <w:tcBorders>
              <w:top w:space="0" w:sz="4" w:color="auto" w:val="single"/>
              <w:left w:space="0" w:sz="4" w:color="auto" w:val="single"/>
              <w:bottom w:space="0" w:sz="4" w:color="auto" w:val="single"/>
              <w:right w:space="0" w:sz="4" w:color="auto" w:val="single"/>
            </w:tcBorders>
            <w:noWrap/>
            <w:hideMark/>
          </w:tcPr>
          <w:p w:rsidRDefault="003B4DA0" w:rsidR="003B4DA0">
            <w:pPr>
              <w:overflowPunct w:val="false"/>
              <w:autoSpaceDE w:val="false"/>
              <w:autoSpaceDN w:val="false"/>
              <w:adjustRightInd w:val="false"/>
              <w:spacing w:lineRule="auto" w:line="276" w:after="0"/>
              <w:jc w:val="right"/>
              <w:rPr>
                <w:rFonts w:cs="Tahoma" w:eastAsia="Calibri" w:hAnsi="Calibri" w:ascii="Calibri"/>
                <w:noProof/>
                <w:sz w:val="19"/>
                <w:szCs w:val="19"/>
                <w:lang w:val="en-US"/>
              </w:rPr>
            </w:pPr>
            <w:r>
              <w:rPr>
                <w:rFonts w:cs="Tahoma" w:eastAsia="Calibri" w:hAnsi="Calibri" w:ascii="Calibri"/>
                <w:noProof/>
                <w:sz w:val="19"/>
                <w:szCs w:val="19"/>
                <w:lang w:val="en-US"/>
              </w:rPr>
              <w:t>71.746,57</w:t>
            </w:r>
          </w:p>
        </w:tc>
        <w:tc>
          <w:tcPr>
            <w:tcW w:type="dxa" w:w="1394"/>
            <w:tcBorders>
              <w:top w:space="0" w:sz="4" w:color="auto" w:val="single"/>
              <w:left w:space="0" w:sz="4" w:color="auto" w:val="single"/>
              <w:bottom w:space="0" w:sz="4" w:color="auto" w:val="single"/>
              <w:right w:space="0" w:sz="4" w:color="auto" w:val="single"/>
            </w:tcBorders>
            <w:hideMark/>
          </w:tcPr>
          <w:p w:rsidRDefault="003B4DA0" w:rsidR="003B4DA0">
            <w:pPr>
              <w:overflowPunct w:val="false"/>
              <w:autoSpaceDE w:val="false"/>
              <w:autoSpaceDN w:val="false"/>
              <w:adjustRightInd w:val="false"/>
              <w:spacing w:lineRule="auto" w:line="276" w:after="0"/>
              <w:jc w:val="right"/>
              <w:rPr>
                <w:rFonts w:cs="Tahoma" w:eastAsia="Calibri" w:hAnsi="Calibri" w:ascii="Calibri"/>
                <w:noProof/>
                <w:sz w:val="19"/>
                <w:szCs w:val="19"/>
                <w:lang w:val="en-US"/>
              </w:rPr>
            </w:pPr>
            <w:r>
              <w:rPr>
                <w:rFonts w:cs="Tahoma" w:eastAsia="Calibri" w:hAnsi="Calibri" w:ascii="Calibri"/>
                <w:noProof/>
                <w:sz w:val="19"/>
                <w:szCs w:val="19"/>
                <w:lang w:val="en-US"/>
              </w:rPr>
              <w:t>7.971,84</w:t>
            </w:r>
          </w:p>
        </w:tc>
      </w:tr>
      <w:tr w:rsidTr="003B4DA0" w:rsidR="003B4DA0">
        <w:trPr>
          <w:trHeight w:val="840"/>
        </w:trPr>
        <w:tc>
          <w:tcPr>
            <w:tcW w:type="dxa" w:w="3085"/>
            <w:tcBorders>
              <w:top w:space="0" w:sz="4" w:color="auto" w:val="single"/>
              <w:left w:space="0" w:sz="4" w:color="auto" w:val="single"/>
              <w:bottom w:space="0" w:sz="4" w:color="auto" w:val="single"/>
              <w:right w:space="0" w:sz="4" w:color="auto" w:val="single"/>
            </w:tcBorders>
            <w:hideMark/>
          </w:tcPr>
          <w:p w:rsidRDefault="003B4DA0" w:rsidR="003B4DA0">
            <w:pPr>
              <w:overflowPunct w:val="false"/>
              <w:autoSpaceDE w:val="false"/>
              <w:autoSpaceDN w:val="false"/>
              <w:adjustRightInd w:val="false"/>
              <w:spacing w:lineRule="auto" w:line="276" w:after="0"/>
              <w:rPr>
                <w:rFonts w:cs="Tahoma" w:eastAsia="Calibri" w:hAnsi="Calibri" w:ascii="Calibri"/>
                <w:noProof/>
                <w:sz w:val="19"/>
                <w:szCs w:val="19"/>
                <w:lang w:val="en-US"/>
              </w:rPr>
            </w:pPr>
            <w:r>
              <w:rPr>
                <w:rFonts w:cs="Tahoma" w:eastAsia="Calibri" w:hAnsi="Calibri" w:ascii="Calibri"/>
                <w:noProof/>
                <w:sz w:val="19"/>
                <w:szCs w:val="19"/>
                <w:lang w:val="en-US"/>
              </w:rPr>
              <w:t>HRVATSKA REGULATORNA AGENCIJA ZA MREŽNE DJELATNOSTI</w:t>
            </w:r>
          </w:p>
        </w:tc>
        <w:tc>
          <w:tcPr>
            <w:tcW w:type="dxa" w:w="1559"/>
            <w:tcBorders>
              <w:top w:space="0" w:sz="4" w:color="auto" w:val="single"/>
              <w:left w:space="0" w:sz="4" w:color="auto" w:val="single"/>
              <w:bottom w:space="0" w:sz="4" w:color="auto" w:val="single"/>
              <w:right w:space="0" w:sz="4" w:color="auto" w:val="single"/>
            </w:tcBorders>
            <w:hideMark/>
          </w:tcPr>
          <w:p w:rsidRDefault="003B4DA0" w:rsidR="003B4DA0">
            <w:pPr>
              <w:overflowPunct w:val="false"/>
              <w:autoSpaceDE w:val="false"/>
              <w:autoSpaceDN w:val="false"/>
              <w:adjustRightInd w:val="false"/>
              <w:spacing w:lineRule="auto" w:line="276" w:after="0"/>
              <w:rPr>
                <w:rFonts w:cs="Tahoma" w:eastAsia="Calibri" w:hAnsi="Calibri" w:ascii="Calibri"/>
                <w:noProof/>
                <w:sz w:val="19"/>
                <w:szCs w:val="19"/>
                <w:lang w:val="en-US"/>
              </w:rPr>
            </w:pPr>
            <w:r>
              <w:rPr>
                <w:rFonts w:cs="Tahoma" w:eastAsia="Calibri" w:hAnsi="Calibri" w:ascii="Calibri"/>
                <w:noProof/>
                <w:sz w:val="19"/>
                <w:szCs w:val="19"/>
                <w:lang w:val="en-US"/>
              </w:rPr>
              <w:t>87950783661</w:t>
            </w:r>
          </w:p>
        </w:tc>
        <w:tc>
          <w:tcPr>
            <w:tcW w:type="dxa" w:w="1604"/>
            <w:tcBorders>
              <w:top w:space="0" w:sz="4" w:color="auto" w:val="single"/>
              <w:left w:space="0" w:sz="4" w:color="auto" w:val="single"/>
              <w:bottom w:space="0" w:sz="4" w:color="auto" w:val="single"/>
              <w:right w:space="0" w:sz="4" w:color="auto" w:val="single"/>
            </w:tcBorders>
            <w:noWrap/>
            <w:hideMark/>
          </w:tcPr>
          <w:p w:rsidRDefault="003B4DA0" w:rsidR="003B4DA0">
            <w:pPr>
              <w:overflowPunct w:val="false"/>
              <w:autoSpaceDE w:val="false"/>
              <w:autoSpaceDN w:val="false"/>
              <w:adjustRightInd w:val="false"/>
              <w:spacing w:lineRule="auto" w:line="276" w:after="0"/>
              <w:jc w:val="right"/>
              <w:rPr>
                <w:rFonts w:cs="Tahoma" w:eastAsia="Calibri" w:hAnsi="Calibri" w:ascii="Calibri"/>
                <w:noProof/>
                <w:sz w:val="19"/>
                <w:szCs w:val="19"/>
                <w:lang w:val="en-US"/>
              </w:rPr>
            </w:pPr>
            <w:r>
              <w:rPr>
                <w:rFonts w:cs="Tahoma" w:eastAsia="Calibri" w:hAnsi="Calibri" w:ascii="Calibri"/>
                <w:noProof/>
                <w:sz w:val="19"/>
                <w:szCs w:val="19"/>
                <w:lang w:val="en-US"/>
              </w:rPr>
              <w:t>12.807,00</w:t>
            </w:r>
          </w:p>
        </w:tc>
        <w:tc>
          <w:tcPr>
            <w:tcW w:type="dxa" w:w="1646"/>
            <w:tcBorders>
              <w:top w:space="0" w:sz="4" w:color="auto" w:val="single"/>
              <w:left w:space="0" w:sz="4" w:color="auto" w:val="single"/>
              <w:bottom w:space="0" w:sz="4" w:color="auto" w:val="single"/>
              <w:right w:space="0" w:sz="4" w:color="auto" w:val="single"/>
            </w:tcBorders>
            <w:noWrap/>
            <w:hideMark/>
          </w:tcPr>
          <w:p w:rsidRDefault="003B4DA0" w:rsidR="003B4DA0">
            <w:pPr>
              <w:overflowPunct w:val="false"/>
              <w:autoSpaceDE w:val="false"/>
              <w:autoSpaceDN w:val="false"/>
              <w:adjustRightInd w:val="false"/>
              <w:spacing w:lineRule="auto" w:line="276" w:after="0"/>
              <w:jc w:val="right"/>
              <w:rPr>
                <w:rFonts w:cs="Tahoma" w:eastAsia="Calibri" w:hAnsi="Calibri" w:ascii="Calibri"/>
                <w:noProof/>
                <w:sz w:val="19"/>
                <w:szCs w:val="19"/>
                <w:lang w:val="en-US"/>
              </w:rPr>
            </w:pPr>
            <w:r>
              <w:rPr>
                <w:rFonts w:cs="Tahoma" w:eastAsia="Calibri" w:hAnsi="Calibri" w:ascii="Calibri"/>
                <w:noProof/>
                <w:sz w:val="19"/>
                <w:szCs w:val="19"/>
                <w:lang w:val="en-US"/>
              </w:rPr>
              <w:t>11.526,30</w:t>
            </w:r>
          </w:p>
        </w:tc>
        <w:tc>
          <w:tcPr>
            <w:tcW w:type="dxa" w:w="1394"/>
            <w:tcBorders>
              <w:top w:space="0" w:sz="4" w:color="auto" w:val="single"/>
              <w:left w:space="0" w:sz="4" w:color="auto" w:val="single"/>
              <w:bottom w:space="0" w:sz="4" w:color="auto" w:val="single"/>
              <w:right w:space="0" w:sz="4" w:color="auto" w:val="single"/>
            </w:tcBorders>
            <w:noWrap/>
            <w:hideMark/>
          </w:tcPr>
          <w:p w:rsidRDefault="003B4DA0" w:rsidR="003B4DA0">
            <w:pPr>
              <w:overflowPunct w:val="false"/>
              <w:autoSpaceDE w:val="false"/>
              <w:autoSpaceDN w:val="false"/>
              <w:adjustRightInd w:val="false"/>
              <w:spacing w:lineRule="auto" w:line="276" w:after="0"/>
              <w:jc w:val="right"/>
              <w:rPr>
                <w:rFonts w:cs="Tahoma" w:eastAsia="Calibri" w:hAnsi="Calibri" w:ascii="Calibri"/>
                <w:noProof/>
                <w:sz w:val="19"/>
                <w:szCs w:val="19"/>
                <w:lang w:val="en-US"/>
              </w:rPr>
            </w:pPr>
            <w:r>
              <w:rPr>
                <w:rFonts w:cs="Tahoma" w:eastAsia="Calibri" w:hAnsi="Calibri" w:ascii="Calibri"/>
                <w:noProof/>
                <w:sz w:val="19"/>
                <w:szCs w:val="19"/>
                <w:lang w:val="en-US"/>
              </w:rPr>
              <w:t>1.280,70</w:t>
            </w:r>
          </w:p>
        </w:tc>
      </w:tr>
      <w:tr w:rsidTr="003B4DA0" w:rsidR="003B4DA0">
        <w:trPr>
          <w:trHeight w:val="564"/>
        </w:trPr>
        <w:tc>
          <w:tcPr>
            <w:tcW w:type="dxa" w:w="3085"/>
            <w:tcBorders>
              <w:top w:space="0" w:sz="4" w:color="auto" w:val="single"/>
              <w:left w:space="0" w:sz="4" w:color="auto" w:val="single"/>
              <w:bottom w:space="0" w:sz="4" w:color="auto" w:val="single"/>
              <w:right w:space="0" w:sz="4" w:color="auto" w:val="single"/>
            </w:tcBorders>
            <w:hideMark/>
          </w:tcPr>
          <w:p w:rsidRDefault="003B4DA0" w:rsidR="003B4DA0">
            <w:pPr>
              <w:overflowPunct w:val="false"/>
              <w:autoSpaceDE w:val="false"/>
              <w:autoSpaceDN w:val="false"/>
              <w:adjustRightInd w:val="false"/>
              <w:spacing w:lineRule="auto" w:line="276" w:after="0"/>
              <w:rPr>
                <w:rFonts w:cs="Tahoma" w:eastAsia="Calibri" w:hAnsi="Calibri" w:ascii="Calibri"/>
                <w:noProof/>
                <w:sz w:val="19"/>
                <w:szCs w:val="19"/>
                <w:lang w:val="en-US"/>
              </w:rPr>
            </w:pPr>
            <w:r>
              <w:rPr>
                <w:rFonts w:cs="Tahoma" w:eastAsia="Calibri" w:hAnsi="Calibri" w:ascii="Calibri"/>
                <w:noProof/>
                <w:sz w:val="19"/>
                <w:szCs w:val="19"/>
                <w:lang w:val="en-US"/>
              </w:rPr>
              <w:t>HRVATSKO DRUŠTVO SKLADATELJA</w:t>
            </w:r>
          </w:p>
        </w:tc>
        <w:tc>
          <w:tcPr>
            <w:tcW w:type="dxa" w:w="1559"/>
            <w:tcBorders>
              <w:top w:space="0" w:sz="4" w:color="auto" w:val="single"/>
              <w:left w:space="0" w:sz="4" w:color="auto" w:val="single"/>
              <w:bottom w:space="0" w:sz="4" w:color="auto" w:val="single"/>
              <w:right w:space="0" w:sz="4" w:color="auto" w:val="single"/>
            </w:tcBorders>
            <w:hideMark/>
          </w:tcPr>
          <w:p w:rsidRDefault="003B4DA0" w:rsidR="003B4DA0">
            <w:pPr>
              <w:overflowPunct w:val="false"/>
              <w:autoSpaceDE w:val="false"/>
              <w:autoSpaceDN w:val="false"/>
              <w:adjustRightInd w:val="false"/>
              <w:spacing w:lineRule="auto" w:line="276" w:after="0"/>
              <w:rPr>
                <w:rFonts w:cs="Tahoma" w:eastAsia="Calibri" w:hAnsi="Calibri" w:ascii="Calibri"/>
                <w:noProof/>
                <w:sz w:val="19"/>
                <w:szCs w:val="19"/>
                <w:lang w:val="en-US"/>
              </w:rPr>
            </w:pPr>
            <w:r>
              <w:rPr>
                <w:rFonts w:cs="Tahoma" w:eastAsia="Calibri" w:hAnsi="Calibri" w:ascii="Calibri"/>
                <w:noProof/>
                <w:sz w:val="19"/>
                <w:szCs w:val="19"/>
                <w:lang w:val="en-US"/>
              </w:rPr>
              <w:t>56668956985</w:t>
            </w:r>
          </w:p>
        </w:tc>
        <w:tc>
          <w:tcPr>
            <w:tcW w:type="dxa" w:w="1604"/>
            <w:tcBorders>
              <w:top w:space="0" w:sz="4" w:color="auto" w:val="single"/>
              <w:left w:space="0" w:sz="4" w:color="auto" w:val="single"/>
              <w:bottom w:space="0" w:sz="4" w:color="auto" w:val="single"/>
              <w:right w:space="0" w:sz="4" w:color="auto" w:val="single"/>
            </w:tcBorders>
            <w:noWrap/>
            <w:hideMark/>
          </w:tcPr>
          <w:p w:rsidRDefault="003B4DA0" w:rsidR="003B4DA0">
            <w:pPr>
              <w:overflowPunct w:val="false"/>
              <w:autoSpaceDE w:val="false"/>
              <w:autoSpaceDN w:val="false"/>
              <w:adjustRightInd w:val="false"/>
              <w:spacing w:lineRule="auto" w:line="276" w:after="0"/>
              <w:jc w:val="right"/>
              <w:rPr>
                <w:rFonts w:cs="Tahoma" w:eastAsia="Calibri" w:hAnsi="Calibri" w:ascii="Calibri"/>
                <w:noProof/>
                <w:sz w:val="19"/>
                <w:szCs w:val="19"/>
                <w:lang w:val="en-US"/>
              </w:rPr>
            </w:pPr>
            <w:r>
              <w:rPr>
                <w:rFonts w:cs="Tahoma" w:eastAsia="Calibri" w:hAnsi="Calibri" w:ascii="Calibri"/>
                <w:noProof/>
                <w:sz w:val="19"/>
                <w:szCs w:val="19"/>
                <w:lang w:val="en-US"/>
              </w:rPr>
              <w:t>842.984,90</w:t>
            </w:r>
          </w:p>
        </w:tc>
        <w:tc>
          <w:tcPr>
            <w:tcW w:type="dxa" w:w="1646"/>
            <w:tcBorders>
              <w:top w:space="0" w:sz="4" w:color="auto" w:val="single"/>
              <w:left w:space="0" w:sz="4" w:color="auto" w:val="single"/>
              <w:bottom w:space="0" w:sz="4" w:color="auto" w:val="single"/>
              <w:right w:space="0" w:sz="4" w:color="auto" w:val="single"/>
            </w:tcBorders>
            <w:noWrap/>
            <w:hideMark/>
          </w:tcPr>
          <w:p w:rsidRDefault="003B4DA0" w:rsidR="003B4DA0">
            <w:pPr>
              <w:overflowPunct w:val="false"/>
              <w:autoSpaceDE w:val="false"/>
              <w:autoSpaceDN w:val="false"/>
              <w:adjustRightInd w:val="false"/>
              <w:spacing w:lineRule="auto" w:line="276" w:after="0"/>
              <w:jc w:val="right"/>
              <w:rPr>
                <w:rFonts w:cs="Tahoma" w:eastAsia="Calibri" w:hAnsi="Calibri" w:ascii="Calibri"/>
                <w:noProof/>
                <w:sz w:val="19"/>
                <w:szCs w:val="19"/>
                <w:lang w:val="en-US"/>
              </w:rPr>
            </w:pPr>
            <w:r>
              <w:rPr>
                <w:rFonts w:cs="Tahoma" w:eastAsia="Calibri" w:hAnsi="Calibri" w:ascii="Calibri"/>
                <w:noProof/>
                <w:sz w:val="19"/>
                <w:szCs w:val="19"/>
                <w:lang w:val="en-US"/>
              </w:rPr>
              <w:t>758.686,41</w:t>
            </w:r>
          </w:p>
        </w:tc>
        <w:tc>
          <w:tcPr>
            <w:tcW w:type="dxa" w:w="1394"/>
            <w:tcBorders>
              <w:top w:space="0" w:sz="4" w:color="auto" w:val="single"/>
              <w:left w:space="0" w:sz="4" w:color="auto" w:val="single"/>
              <w:bottom w:space="0" w:sz="4" w:color="auto" w:val="single"/>
              <w:right w:space="0" w:sz="4" w:color="auto" w:val="single"/>
            </w:tcBorders>
            <w:noWrap/>
            <w:hideMark/>
          </w:tcPr>
          <w:p w:rsidRDefault="003B4DA0" w:rsidR="003B4DA0">
            <w:pPr>
              <w:overflowPunct w:val="false"/>
              <w:autoSpaceDE w:val="false"/>
              <w:autoSpaceDN w:val="false"/>
              <w:adjustRightInd w:val="false"/>
              <w:spacing w:lineRule="auto" w:line="276" w:after="0"/>
              <w:jc w:val="right"/>
              <w:rPr>
                <w:rFonts w:cs="Tahoma" w:eastAsia="Calibri" w:hAnsi="Calibri" w:ascii="Calibri"/>
                <w:noProof/>
                <w:sz w:val="19"/>
                <w:szCs w:val="19"/>
                <w:lang w:val="en-US"/>
              </w:rPr>
            </w:pPr>
            <w:r>
              <w:rPr>
                <w:rFonts w:cs="Tahoma" w:eastAsia="Calibri" w:hAnsi="Calibri" w:ascii="Calibri"/>
                <w:noProof/>
                <w:sz w:val="19"/>
                <w:szCs w:val="19"/>
                <w:lang w:val="en-US"/>
              </w:rPr>
              <w:t>84.298,49</w:t>
            </w:r>
          </w:p>
        </w:tc>
      </w:tr>
      <w:tr w:rsidTr="003B4DA0" w:rsidR="003B4DA0">
        <w:trPr>
          <w:trHeight w:val="564"/>
        </w:trPr>
        <w:tc>
          <w:tcPr>
            <w:tcW w:type="dxa" w:w="3085"/>
            <w:tcBorders>
              <w:top w:space="0" w:sz="4" w:color="auto" w:val="single"/>
              <w:left w:space="0" w:sz="4" w:color="auto" w:val="single"/>
              <w:bottom w:space="0" w:sz="4" w:color="auto" w:val="single"/>
              <w:right w:space="0" w:sz="4" w:color="auto" w:val="single"/>
            </w:tcBorders>
            <w:hideMark/>
          </w:tcPr>
          <w:p w:rsidRDefault="003B4DA0" w:rsidR="003B4DA0">
            <w:pPr>
              <w:overflowPunct w:val="false"/>
              <w:autoSpaceDE w:val="false"/>
              <w:autoSpaceDN w:val="false"/>
              <w:adjustRightInd w:val="false"/>
              <w:spacing w:lineRule="auto" w:line="276" w:after="0"/>
              <w:rPr>
                <w:rFonts w:cs="Tahoma" w:eastAsia="Calibri" w:hAnsi="Calibri" w:ascii="Calibri"/>
                <w:noProof/>
                <w:sz w:val="19"/>
                <w:szCs w:val="19"/>
                <w:lang w:val="en-US"/>
              </w:rPr>
            </w:pPr>
            <w:r>
              <w:rPr>
                <w:rFonts w:cs="Tahoma" w:eastAsia="Calibri" w:hAnsi="Calibri" w:ascii="Calibri"/>
                <w:noProof/>
                <w:sz w:val="19"/>
                <w:szCs w:val="19"/>
                <w:lang w:val="en-US"/>
              </w:rPr>
              <w:t>AGENCIJA ZA ELEKTRONIČKE MEDIJE</w:t>
            </w:r>
          </w:p>
        </w:tc>
        <w:tc>
          <w:tcPr>
            <w:tcW w:type="dxa" w:w="1559"/>
            <w:tcBorders>
              <w:top w:space="0" w:sz="4" w:color="auto" w:val="single"/>
              <w:left w:space="0" w:sz="4" w:color="auto" w:val="single"/>
              <w:bottom w:space="0" w:sz="4" w:color="auto" w:val="single"/>
              <w:right w:space="0" w:sz="4" w:color="auto" w:val="single"/>
            </w:tcBorders>
            <w:hideMark/>
          </w:tcPr>
          <w:p w:rsidRDefault="003B4DA0" w:rsidR="003B4DA0">
            <w:pPr>
              <w:overflowPunct w:val="false"/>
              <w:autoSpaceDE w:val="false"/>
              <w:autoSpaceDN w:val="false"/>
              <w:adjustRightInd w:val="false"/>
              <w:spacing w:lineRule="auto" w:line="276" w:after="0"/>
              <w:rPr>
                <w:rFonts w:cs="Tahoma" w:eastAsia="Calibri" w:hAnsi="Calibri" w:ascii="Calibri"/>
                <w:noProof/>
                <w:sz w:val="19"/>
                <w:szCs w:val="19"/>
                <w:lang w:val="en-US"/>
              </w:rPr>
            </w:pPr>
            <w:r>
              <w:rPr>
                <w:rFonts w:cs="Tahoma" w:eastAsia="Calibri" w:hAnsi="Calibri" w:ascii="Calibri"/>
                <w:noProof/>
                <w:sz w:val="19"/>
                <w:szCs w:val="19"/>
                <w:lang w:val="en-US"/>
              </w:rPr>
              <w:t>35237547014</w:t>
            </w:r>
          </w:p>
        </w:tc>
        <w:tc>
          <w:tcPr>
            <w:tcW w:type="dxa" w:w="1604"/>
            <w:tcBorders>
              <w:top w:space="0" w:sz="4" w:color="auto" w:val="single"/>
              <w:left w:space="0" w:sz="4" w:color="auto" w:val="single"/>
              <w:bottom w:space="0" w:sz="4" w:color="auto" w:val="single"/>
              <w:right w:space="0" w:sz="4" w:color="auto" w:val="single"/>
            </w:tcBorders>
            <w:noWrap/>
            <w:hideMark/>
          </w:tcPr>
          <w:p w:rsidRDefault="003B4DA0" w:rsidR="003B4DA0">
            <w:pPr>
              <w:overflowPunct w:val="false"/>
              <w:autoSpaceDE w:val="false"/>
              <w:autoSpaceDN w:val="false"/>
              <w:adjustRightInd w:val="false"/>
              <w:spacing w:lineRule="auto" w:line="276" w:after="0"/>
              <w:jc w:val="right"/>
              <w:rPr>
                <w:rFonts w:cs="Tahoma" w:eastAsia="Calibri" w:hAnsi="Calibri" w:ascii="Calibri"/>
                <w:noProof/>
                <w:sz w:val="19"/>
                <w:szCs w:val="19"/>
                <w:lang w:val="en-US"/>
              </w:rPr>
            </w:pPr>
            <w:r>
              <w:rPr>
                <w:rFonts w:cs="Tahoma" w:eastAsia="Calibri" w:hAnsi="Calibri" w:ascii="Calibri"/>
                <w:noProof/>
                <w:sz w:val="19"/>
                <w:szCs w:val="19"/>
                <w:lang w:val="en-US"/>
              </w:rPr>
              <w:t>14.537,30</w:t>
            </w:r>
          </w:p>
        </w:tc>
        <w:tc>
          <w:tcPr>
            <w:tcW w:type="dxa" w:w="1646"/>
            <w:tcBorders>
              <w:top w:space="0" w:sz="4" w:color="auto" w:val="single"/>
              <w:left w:space="0" w:sz="4" w:color="auto" w:val="single"/>
              <w:bottom w:space="0" w:sz="4" w:color="auto" w:val="single"/>
              <w:right w:space="0" w:sz="4" w:color="auto" w:val="single"/>
            </w:tcBorders>
            <w:noWrap/>
            <w:hideMark/>
          </w:tcPr>
          <w:p w:rsidRDefault="003B4DA0" w:rsidR="003B4DA0">
            <w:pPr>
              <w:overflowPunct w:val="false"/>
              <w:autoSpaceDE w:val="false"/>
              <w:autoSpaceDN w:val="false"/>
              <w:adjustRightInd w:val="false"/>
              <w:spacing w:lineRule="auto" w:line="276" w:after="0"/>
              <w:jc w:val="right"/>
              <w:rPr>
                <w:rFonts w:cs="Tahoma" w:eastAsia="Calibri" w:hAnsi="Calibri" w:ascii="Calibri"/>
                <w:noProof/>
                <w:sz w:val="19"/>
                <w:szCs w:val="19"/>
                <w:lang w:val="en-US"/>
              </w:rPr>
            </w:pPr>
            <w:r>
              <w:rPr>
                <w:rFonts w:cs="Tahoma" w:eastAsia="Calibri" w:hAnsi="Calibri" w:ascii="Calibri"/>
                <w:noProof/>
                <w:sz w:val="19"/>
                <w:szCs w:val="19"/>
                <w:lang w:val="en-US"/>
              </w:rPr>
              <w:t>13.083,57</w:t>
            </w:r>
          </w:p>
        </w:tc>
        <w:tc>
          <w:tcPr>
            <w:tcW w:type="dxa" w:w="1394"/>
            <w:tcBorders>
              <w:top w:space="0" w:sz="4" w:color="auto" w:val="single"/>
              <w:left w:space="0" w:sz="4" w:color="auto" w:val="single"/>
              <w:bottom w:space="0" w:sz="4" w:color="auto" w:val="single"/>
              <w:right w:space="0" w:sz="4" w:color="auto" w:val="single"/>
            </w:tcBorders>
            <w:noWrap/>
            <w:hideMark/>
          </w:tcPr>
          <w:p w:rsidRDefault="003B4DA0" w:rsidR="003B4DA0">
            <w:pPr>
              <w:overflowPunct w:val="false"/>
              <w:autoSpaceDE w:val="false"/>
              <w:autoSpaceDN w:val="false"/>
              <w:adjustRightInd w:val="false"/>
              <w:spacing w:lineRule="auto" w:line="276" w:after="0"/>
              <w:jc w:val="right"/>
              <w:rPr>
                <w:rFonts w:cs="Tahoma" w:eastAsia="Calibri" w:hAnsi="Calibri" w:ascii="Calibri"/>
                <w:noProof/>
                <w:sz w:val="19"/>
                <w:szCs w:val="19"/>
                <w:lang w:val="en-US"/>
              </w:rPr>
            </w:pPr>
            <w:r>
              <w:rPr>
                <w:rFonts w:cs="Tahoma" w:eastAsia="Calibri" w:hAnsi="Calibri" w:ascii="Calibri"/>
                <w:noProof/>
                <w:sz w:val="19"/>
                <w:szCs w:val="19"/>
                <w:lang w:val="en-US"/>
              </w:rPr>
              <w:t>1.453,73</w:t>
            </w:r>
          </w:p>
        </w:tc>
      </w:tr>
      <w:tr w:rsidTr="003B4DA0" w:rsidR="003B4DA0">
        <w:trPr>
          <w:trHeight w:val="1168"/>
        </w:trPr>
        <w:tc>
          <w:tcPr>
            <w:tcW w:type="dxa" w:w="3085"/>
            <w:tcBorders>
              <w:top w:space="0" w:sz="4" w:color="auto" w:val="single"/>
              <w:left w:space="0" w:sz="4" w:color="auto" w:val="single"/>
              <w:bottom w:space="0" w:sz="4" w:color="auto" w:val="single"/>
              <w:right w:space="0" w:sz="4" w:color="auto" w:val="single"/>
            </w:tcBorders>
            <w:hideMark/>
          </w:tcPr>
          <w:p w:rsidRDefault="003B4DA0" w:rsidR="003B4DA0">
            <w:pPr>
              <w:overflowPunct w:val="false"/>
              <w:autoSpaceDE w:val="false"/>
              <w:autoSpaceDN w:val="false"/>
              <w:adjustRightInd w:val="false"/>
              <w:spacing w:lineRule="auto" w:line="276" w:after="0"/>
              <w:rPr>
                <w:rFonts w:cs="Tahoma" w:eastAsia="Calibri" w:hAnsi="Calibri" w:ascii="Calibri"/>
                <w:noProof/>
                <w:sz w:val="19"/>
                <w:szCs w:val="19"/>
                <w:lang w:val="en-US"/>
              </w:rPr>
            </w:pPr>
            <w:r>
              <w:rPr>
                <w:rFonts w:cs="Tahoma" w:eastAsia="Calibri" w:hAnsi="Calibri" w:ascii="Calibri"/>
                <w:noProof/>
                <w:sz w:val="19"/>
                <w:szCs w:val="19"/>
                <w:lang w:val="en-US"/>
              </w:rPr>
              <w:t>SUVLASNICI STAMBENE ZGRADE U ZAGREBU, JURJA ŽERJAVIĆA 19, zastupani po: GRADSKO STAMBENO KOMUNALNO PODUZEĆE d.o.o.</w:t>
            </w:r>
          </w:p>
        </w:tc>
        <w:tc>
          <w:tcPr>
            <w:tcW w:type="dxa" w:w="1559"/>
            <w:tcBorders>
              <w:top w:space="0" w:sz="4" w:color="auto" w:val="single"/>
              <w:left w:space="0" w:sz="4" w:color="auto" w:val="single"/>
              <w:bottom w:space="0" w:sz="4" w:color="auto" w:val="single"/>
              <w:right w:space="0" w:sz="4" w:color="auto" w:val="single"/>
            </w:tcBorders>
            <w:hideMark/>
          </w:tcPr>
          <w:p w:rsidRDefault="003B4DA0" w:rsidR="003B4DA0">
            <w:pPr>
              <w:overflowPunct w:val="false"/>
              <w:autoSpaceDE w:val="false"/>
              <w:autoSpaceDN w:val="false"/>
              <w:adjustRightInd w:val="false"/>
              <w:spacing w:lineRule="auto" w:line="276" w:after="0"/>
              <w:rPr>
                <w:rFonts w:cs="Tahoma" w:eastAsia="Calibri" w:hAnsi="Calibri" w:ascii="Calibri"/>
                <w:noProof/>
                <w:sz w:val="19"/>
                <w:szCs w:val="19"/>
                <w:lang w:val="en-US"/>
              </w:rPr>
            </w:pPr>
            <w:r>
              <w:rPr>
                <w:rFonts w:cs="Tahoma" w:eastAsia="Calibri" w:hAnsi="Calibri" w:ascii="Calibri"/>
                <w:noProof/>
                <w:sz w:val="19"/>
                <w:szCs w:val="19"/>
                <w:lang w:val="en-US"/>
              </w:rPr>
              <w:t>3744272526</w:t>
            </w:r>
          </w:p>
        </w:tc>
        <w:tc>
          <w:tcPr>
            <w:tcW w:type="dxa" w:w="1604"/>
            <w:tcBorders>
              <w:top w:space="0" w:sz="4" w:color="auto" w:val="single"/>
              <w:left w:space="0" w:sz="4" w:color="auto" w:val="single"/>
              <w:bottom w:space="0" w:sz="4" w:color="auto" w:val="single"/>
              <w:right w:space="0" w:sz="4" w:color="auto" w:val="single"/>
            </w:tcBorders>
            <w:noWrap/>
            <w:hideMark/>
          </w:tcPr>
          <w:p w:rsidRDefault="003B4DA0" w:rsidR="003B4DA0">
            <w:pPr>
              <w:overflowPunct w:val="false"/>
              <w:autoSpaceDE w:val="false"/>
              <w:autoSpaceDN w:val="false"/>
              <w:adjustRightInd w:val="false"/>
              <w:spacing w:lineRule="auto" w:line="276" w:after="0"/>
              <w:jc w:val="right"/>
              <w:rPr>
                <w:rFonts w:cs="Tahoma" w:eastAsia="Calibri" w:hAnsi="Calibri" w:ascii="Calibri"/>
                <w:noProof/>
                <w:sz w:val="19"/>
                <w:szCs w:val="19"/>
                <w:lang w:val="en-US"/>
              </w:rPr>
            </w:pPr>
            <w:r>
              <w:rPr>
                <w:rFonts w:cs="Tahoma" w:eastAsia="Calibri" w:hAnsi="Calibri" w:ascii="Calibri"/>
                <w:noProof/>
                <w:sz w:val="19"/>
                <w:szCs w:val="19"/>
                <w:lang w:val="en-US"/>
              </w:rPr>
              <w:t>16.927,32</w:t>
            </w:r>
          </w:p>
        </w:tc>
        <w:tc>
          <w:tcPr>
            <w:tcW w:type="dxa" w:w="1646"/>
            <w:tcBorders>
              <w:top w:space="0" w:sz="4" w:color="auto" w:val="single"/>
              <w:left w:space="0" w:sz="4" w:color="auto" w:val="single"/>
              <w:bottom w:space="0" w:sz="4" w:color="auto" w:val="single"/>
              <w:right w:space="0" w:sz="4" w:color="auto" w:val="single"/>
            </w:tcBorders>
            <w:noWrap/>
            <w:hideMark/>
          </w:tcPr>
          <w:p w:rsidRDefault="003B4DA0" w:rsidR="003B4DA0">
            <w:pPr>
              <w:overflowPunct w:val="false"/>
              <w:autoSpaceDE w:val="false"/>
              <w:autoSpaceDN w:val="false"/>
              <w:adjustRightInd w:val="false"/>
              <w:spacing w:lineRule="auto" w:line="276" w:after="0"/>
              <w:jc w:val="right"/>
              <w:rPr>
                <w:rFonts w:cs="Tahoma" w:eastAsia="Calibri" w:hAnsi="Calibri" w:ascii="Calibri"/>
                <w:noProof/>
                <w:sz w:val="19"/>
                <w:szCs w:val="19"/>
                <w:lang w:val="en-US"/>
              </w:rPr>
            </w:pPr>
            <w:r>
              <w:rPr>
                <w:rFonts w:cs="Tahoma" w:eastAsia="Calibri" w:hAnsi="Calibri" w:ascii="Calibri"/>
                <w:noProof/>
                <w:sz w:val="19"/>
                <w:szCs w:val="19"/>
                <w:lang w:val="en-US"/>
              </w:rPr>
              <w:t>15.234,58</w:t>
            </w:r>
          </w:p>
        </w:tc>
        <w:tc>
          <w:tcPr>
            <w:tcW w:type="dxa" w:w="1394"/>
            <w:tcBorders>
              <w:top w:space="0" w:sz="4" w:color="auto" w:val="single"/>
              <w:left w:space="0" w:sz="4" w:color="auto" w:val="single"/>
              <w:bottom w:space="0" w:sz="4" w:color="auto" w:val="single"/>
              <w:right w:space="0" w:sz="4" w:color="auto" w:val="single"/>
            </w:tcBorders>
            <w:noWrap/>
            <w:hideMark/>
          </w:tcPr>
          <w:p w:rsidRDefault="003B4DA0" w:rsidR="003B4DA0">
            <w:pPr>
              <w:overflowPunct w:val="false"/>
              <w:autoSpaceDE w:val="false"/>
              <w:autoSpaceDN w:val="false"/>
              <w:adjustRightInd w:val="false"/>
              <w:spacing w:lineRule="auto" w:line="276" w:after="0"/>
              <w:jc w:val="right"/>
              <w:rPr>
                <w:rFonts w:cs="Tahoma" w:eastAsia="Calibri" w:hAnsi="Calibri" w:ascii="Calibri"/>
                <w:noProof/>
                <w:sz w:val="19"/>
                <w:szCs w:val="19"/>
                <w:lang w:val="en-US"/>
              </w:rPr>
            </w:pPr>
            <w:r>
              <w:rPr>
                <w:rFonts w:cs="Tahoma" w:eastAsia="Calibri" w:hAnsi="Calibri" w:ascii="Calibri"/>
                <w:noProof/>
                <w:sz w:val="19"/>
                <w:szCs w:val="19"/>
                <w:lang w:val="en-US"/>
              </w:rPr>
              <w:t>1.692,73</w:t>
            </w:r>
          </w:p>
        </w:tc>
      </w:tr>
      <w:tr w:rsidTr="003B4DA0" w:rsidR="003B4DA0">
        <w:trPr>
          <w:trHeight w:val="300"/>
        </w:trPr>
        <w:tc>
          <w:tcPr>
            <w:tcW w:type="dxa" w:w="3085"/>
            <w:tcBorders>
              <w:top w:space="0" w:sz="4" w:color="auto" w:val="single"/>
              <w:left w:space="0" w:sz="4" w:color="auto" w:val="single"/>
              <w:bottom w:space="0" w:sz="4" w:color="auto" w:val="single"/>
              <w:right w:space="0" w:sz="4" w:color="auto" w:val="single"/>
            </w:tcBorders>
            <w:hideMark/>
          </w:tcPr>
          <w:p w:rsidRDefault="003B4DA0" w:rsidR="003B4DA0">
            <w:pPr>
              <w:overflowPunct w:val="false"/>
              <w:autoSpaceDE w:val="false"/>
              <w:autoSpaceDN w:val="false"/>
              <w:adjustRightInd w:val="false"/>
              <w:spacing w:lineRule="auto" w:line="276" w:after="0"/>
              <w:rPr>
                <w:rFonts w:cs="Tahoma" w:eastAsia="Calibri" w:hAnsi="Calibri" w:ascii="Calibri"/>
                <w:noProof/>
                <w:sz w:val="19"/>
                <w:szCs w:val="19"/>
                <w:lang w:val="en-US"/>
              </w:rPr>
            </w:pPr>
            <w:r>
              <w:rPr>
                <w:rFonts w:cs="Tahoma" w:eastAsia="Calibri" w:hAnsi="Calibri" w:ascii="Calibri"/>
                <w:noProof/>
                <w:sz w:val="19"/>
                <w:szCs w:val="19"/>
                <w:lang w:val="en-US"/>
              </w:rPr>
              <w:t>CROATIA OSIGURANJE d.d.</w:t>
            </w:r>
          </w:p>
        </w:tc>
        <w:tc>
          <w:tcPr>
            <w:tcW w:type="dxa" w:w="1559"/>
            <w:tcBorders>
              <w:top w:space="0" w:sz="4" w:color="auto" w:val="single"/>
              <w:left w:space="0" w:sz="4" w:color="auto" w:val="single"/>
              <w:bottom w:space="0" w:sz="4" w:color="auto" w:val="single"/>
              <w:right w:space="0" w:sz="4" w:color="auto" w:val="single"/>
            </w:tcBorders>
            <w:hideMark/>
          </w:tcPr>
          <w:p w:rsidRDefault="003B4DA0" w:rsidR="003B4DA0">
            <w:pPr>
              <w:overflowPunct w:val="false"/>
              <w:autoSpaceDE w:val="false"/>
              <w:autoSpaceDN w:val="false"/>
              <w:adjustRightInd w:val="false"/>
              <w:spacing w:lineRule="auto" w:line="276" w:after="0"/>
              <w:rPr>
                <w:rFonts w:cs="Tahoma" w:eastAsia="Calibri" w:hAnsi="Calibri" w:ascii="Calibri"/>
                <w:noProof/>
                <w:sz w:val="19"/>
                <w:szCs w:val="19"/>
                <w:lang w:val="en-US"/>
              </w:rPr>
            </w:pPr>
            <w:r>
              <w:rPr>
                <w:rFonts w:cs="Tahoma" w:eastAsia="Calibri" w:hAnsi="Calibri" w:ascii="Calibri"/>
                <w:noProof/>
                <w:sz w:val="19"/>
                <w:szCs w:val="19"/>
                <w:lang w:val="en-US"/>
              </w:rPr>
              <w:t>26187994862</w:t>
            </w:r>
          </w:p>
        </w:tc>
        <w:tc>
          <w:tcPr>
            <w:tcW w:type="dxa" w:w="1604"/>
            <w:tcBorders>
              <w:top w:space="0" w:sz="4" w:color="auto" w:val="single"/>
              <w:left w:space="0" w:sz="4" w:color="auto" w:val="single"/>
              <w:bottom w:space="0" w:sz="4" w:color="auto" w:val="single"/>
              <w:right w:space="0" w:sz="4" w:color="auto" w:val="single"/>
            </w:tcBorders>
            <w:noWrap/>
            <w:hideMark/>
          </w:tcPr>
          <w:p w:rsidRDefault="003B4DA0" w:rsidR="003B4DA0">
            <w:pPr>
              <w:overflowPunct w:val="false"/>
              <w:autoSpaceDE w:val="false"/>
              <w:autoSpaceDN w:val="false"/>
              <w:adjustRightInd w:val="false"/>
              <w:spacing w:lineRule="auto" w:line="276" w:after="0"/>
              <w:jc w:val="right"/>
              <w:rPr>
                <w:rFonts w:cs="Tahoma" w:eastAsia="Calibri" w:hAnsi="Calibri" w:ascii="Calibri"/>
                <w:noProof/>
                <w:sz w:val="19"/>
                <w:szCs w:val="19"/>
                <w:lang w:val="en-US"/>
              </w:rPr>
            </w:pPr>
            <w:r>
              <w:rPr>
                <w:rFonts w:cs="Tahoma" w:eastAsia="Calibri" w:hAnsi="Calibri" w:ascii="Calibri"/>
                <w:noProof/>
                <w:sz w:val="19"/>
                <w:szCs w:val="19"/>
                <w:lang w:val="en-US"/>
              </w:rPr>
              <w:t>1.301,39</w:t>
            </w:r>
          </w:p>
        </w:tc>
        <w:tc>
          <w:tcPr>
            <w:tcW w:type="dxa" w:w="1646"/>
            <w:tcBorders>
              <w:top w:space="0" w:sz="4" w:color="auto" w:val="single"/>
              <w:left w:space="0" w:sz="4" w:color="auto" w:val="single"/>
              <w:bottom w:space="0" w:sz="4" w:color="auto" w:val="single"/>
              <w:right w:space="0" w:sz="4" w:color="auto" w:val="single"/>
            </w:tcBorders>
            <w:noWrap/>
            <w:hideMark/>
          </w:tcPr>
          <w:p w:rsidRDefault="003B4DA0" w:rsidR="003B4DA0">
            <w:pPr>
              <w:overflowPunct w:val="false"/>
              <w:autoSpaceDE w:val="false"/>
              <w:autoSpaceDN w:val="false"/>
              <w:adjustRightInd w:val="false"/>
              <w:spacing w:lineRule="auto" w:line="276" w:after="0"/>
              <w:jc w:val="right"/>
              <w:rPr>
                <w:rFonts w:cs="Tahoma" w:eastAsia="Calibri" w:hAnsi="Calibri" w:ascii="Calibri"/>
                <w:noProof/>
                <w:sz w:val="19"/>
                <w:szCs w:val="19"/>
                <w:lang w:val="en-US"/>
              </w:rPr>
            </w:pPr>
            <w:r>
              <w:rPr>
                <w:rFonts w:cs="Tahoma" w:eastAsia="Calibri" w:hAnsi="Calibri" w:ascii="Calibri"/>
                <w:noProof/>
                <w:sz w:val="19"/>
                <w:szCs w:val="19"/>
                <w:lang w:val="en-US"/>
              </w:rPr>
              <w:t>1.171,25</w:t>
            </w:r>
          </w:p>
        </w:tc>
        <w:tc>
          <w:tcPr>
            <w:tcW w:type="dxa" w:w="1394"/>
            <w:tcBorders>
              <w:top w:space="0" w:sz="4" w:color="auto" w:val="single"/>
              <w:left w:space="0" w:sz="4" w:color="auto" w:val="single"/>
              <w:bottom w:space="0" w:sz="4" w:color="auto" w:val="single"/>
              <w:right w:space="0" w:sz="4" w:color="auto" w:val="single"/>
            </w:tcBorders>
            <w:noWrap/>
            <w:hideMark/>
          </w:tcPr>
          <w:p w:rsidRDefault="003B4DA0" w:rsidR="003B4DA0">
            <w:pPr>
              <w:overflowPunct w:val="false"/>
              <w:autoSpaceDE w:val="false"/>
              <w:autoSpaceDN w:val="false"/>
              <w:adjustRightInd w:val="false"/>
              <w:spacing w:lineRule="auto" w:line="276" w:after="0"/>
              <w:jc w:val="right"/>
              <w:rPr>
                <w:rFonts w:cs="Tahoma" w:eastAsia="Calibri" w:hAnsi="Calibri" w:ascii="Calibri"/>
                <w:noProof/>
                <w:sz w:val="19"/>
                <w:szCs w:val="19"/>
                <w:lang w:val="en-US"/>
              </w:rPr>
            </w:pPr>
            <w:r>
              <w:rPr>
                <w:rFonts w:cs="Tahoma" w:eastAsia="Calibri" w:hAnsi="Calibri" w:ascii="Calibri"/>
                <w:noProof/>
                <w:sz w:val="19"/>
                <w:szCs w:val="19"/>
                <w:lang w:val="en-US"/>
              </w:rPr>
              <w:t>130,13</w:t>
            </w:r>
          </w:p>
        </w:tc>
      </w:tr>
      <w:tr w:rsidTr="003B4DA0" w:rsidR="003B4DA0">
        <w:trPr>
          <w:trHeight w:val="300"/>
        </w:trPr>
        <w:tc>
          <w:tcPr>
            <w:tcW w:type="dxa" w:w="3085"/>
            <w:tcBorders>
              <w:top w:space="0" w:sz="4" w:color="auto" w:val="single"/>
              <w:left w:space="0" w:sz="4" w:color="auto" w:val="single"/>
              <w:bottom w:space="0" w:sz="4" w:color="auto" w:val="single"/>
              <w:right w:space="0" w:sz="4" w:color="auto" w:val="single"/>
            </w:tcBorders>
            <w:hideMark/>
          </w:tcPr>
          <w:p w:rsidRDefault="003B4DA0" w:rsidR="003B4DA0">
            <w:pPr>
              <w:overflowPunct w:val="false"/>
              <w:autoSpaceDE w:val="false"/>
              <w:autoSpaceDN w:val="false"/>
              <w:adjustRightInd w:val="false"/>
              <w:spacing w:lineRule="auto" w:line="276" w:after="0"/>
              <w:rPr>
                <w:rFonts w:cs="Tahoma" w:eastAsia="Calibri" w:hAnsi="Calibri" w:ascii="Calibri"/>
                <w:noProof/>
                <w:sz w:val="19"/>
                <w:szCs w:val="19"/>
                <w:lang w:val="en-US"/>
              </w:rPr>
            </w:pPr>
            <w:r>
              <w:rPr>
                <w:rFonts w:cs="Tahoma" w:eastAsia="Calibri" w:hAnsi="Calibri" w:ascii="Calibri"/>
                <w:noProof/>
                <w:sz w:val="19"/>
                <w:szCs w:val="19"/>
                <w:lang w:val="en-US"/>
              </w:rPr>
              <w:t>ERSTE CARD CLUB d.o.o.</w:t>
            </w:r>
          </w:p>
        </w:tc>
        <w:tc>
          <w:tcPr>
            <w:tcW w:type="dxa" w:w="1559"/>
            <w:tcBorders>
              <w:top w:space="0" w:sz="4" w:color="auto" w:val="single"/>
              <w:left w:space="0" w:sz="4" w:color="auto" w:val="single"/>
              <w:bottom w:space="0" w:sz="4" w:color="auto" w:val="single"/>
              <w:right w:space="0" w:sz="4" w:color="auto" w:val="single"/>
            </w:tcBorders>
            <w:hideMark/>
          </w:tcPr>
          <w:p w:rsidRDefault="003B4DA0" w:rsidR="003B4DA0">
            <w:pPr>
              <w:overflowPunct w:val="false"/>
              <w:autoSpaceDE w:val="false"/>
              <w:autoSpaceDN w:val="false"/>
              <w:adjustRightInd w:val="false"/>
              <w:spacing w:lineRule="auto" w:line="276" w:after="0"/>
              <w:rPr>
                <w:rFonts w:cs="Tahoma" w:eastAsia="Calibri" w:hAnsi="Calibri" w:ascii="Calibri"/>
                <w:noProof/>
                <w:sz w:val="19"/>
                <w:szCs w:val="19"/>
                <w:lang w:val="en-US"/>
              </w:rPr>
            </w:pPr>
            <w:r>
              <w:rPr>
                <w:rFonts w:cs="Tahoma" w:eastAsia="Calibri" w:hAnsi="Calibri" w:ascii="Calibri"/>
                <w:noProof/>
                <w:sz w:val="19"/>
                <w:szCs w:val="19"/>
                <w:lang w:val="en-US"/>
              </w:rPr>
              <w:t>85941596441</w:t>
            </w:r>
          </w:p>
        </w:tc>
        <w:tc>
          <w:tcPr>
            <w:tcW w:type="dxa" w:w="1604"/>
            <w:tcBorders>
              <w:top w:space="0" w:sz="4" w:color="auto" w:val="single"/>
              <w:left w:space="0" w:sz="4" w:color="auto" w:val="single"/>
              <w:bottom w:space="0" w:sz="4" w:color="auto" w:val="single"/>
              <w:right w:space="0" w:sz="4" w:color="auto" w:val="single"/>
            </w:tcBorders>
            <w:noWrap/>
            <w:hideMark/>
          </w:tcPr>
          <w:p w:rsidRDefault="003B4DA0" w:rsidR="003B4DA0">
            <w:pPr>
              <w:overflowPunct w:val="false"/>
              <w:autoSpaceDE w:val="false"/>
              <w:autoSpaceDN w:val="false"/>
              <w:adjustRightInd w:val="false"/>
              <w:spacing w:lineRule="auto" w:line="276" w:after="0"/>
              <w:jc w:val="right"/>
              <w:rPr>
                <w:rFonts w:cs="Tahoma" w:eastAsia="Calibri" w:hAnsi="Calibri" w:ascii="Calibri"/>
                <w:noProof/>
                <w:sz w:val="19"/>
                <w:szCs w:val="19"/>
                <w:lang w:val="en-US"/>
              </w:rPr>
            </w:pPr>
            <w:r>
              <w:rPr>
                <w:rFonts w:cs="Tahoma" w:eastAsia="Calibri" w:hAnsi="Calibri" w:ascii="Calibri"/>
                <w:noProof/>
                <w:sz w:val="19"/>
                <w:szCs w:val="19"/>
                <w:lang w:val="en-US"/>
              </w:rPr>
              <w:t>1.511,15</w:t>
            </w:r>
          </w:p>
        </w:tc>
        <w:tc>
          <w:tcPr>
            <w:tcW w:type="dxa" w:w="1646"/>
            <w:tcBorders>
              <w:top w:space="0" w:sz="4" w:color="auto" w:val="single"/>
              <w:left w:space="0" w:sz="4" w:color="auto" w:val="single"/>
              <w:bottom w:space="0" w:sz="4" w:color="auto" w:val="single"/>
              <w:right w:space="0" w:sz="4" w:color="auto" w:val="single"/>
            </w:tcBorders>
            <w:noWrap/>
            <w:hideMark/>
          </w:tcPr>
          <w:p w:rsidRDefault="003B4DA0" w:rsidR="003B4DA0">
            <w:pPr>
              <w:overflowPunct w:val="false"/>
              <w:autoSpaceDE w:val="false"/>
              <w:autoSpaceDN w:val="false"/>
              <w:adjustRightInd w:val="false"/>
              <w:spacing w:lineRule="auto" w:line="276" w:after="0"/>
              <w:jc w:val="right"/>
              <w:rPr>
                <w:rFonts w:cs="Tahoma" w:eastAsia="Calibri" w:hAnsi="Calibri" w:ascii="Calibri"/>
                <w:noProof/>
                <w:sz w:val="19"/>
                <w:szCs w:val="19"/>
                <w:lang w:val="en-US"/>
              </w:rPr>
            </w:pPr>
            <w:r>
              <w:rPr>
                <w:rFonts w:cs="Tahoma" w:eastAsia="Calibri" w:hAnsi="Calibri" w:ascii="Calibri"/>
                <w:noProof/>
                <w:sz w:val="19"/>
                <w:szCs w:val="19"/>
                <w:lang w:val="en-US"/>
              </w:rPr>
              <w:t>1.360,03</w:t>
            </w:r>
          </w:p>
        </w:tc>
        <w:tc>
          <w:tcPr>
            <w:tcW w:type="dxa" w:w="1394"/>
            <w:tcBorders>
              <w:top w:space="0" w:sz="4" w:color="auto" w:val="single"/>
              <w:left w:space="0" w:sz="4" w:color="auto" w:val="single"/>
              <w:bottom w:space="0" w:sz="4" w:color="auto" w:val="single"/>
              <w:right w:space="0" w:sz="4" w:color="auto" w:val="single"/>
            </w:tcBorders>
            <w:noWrap/>
            <w:hideMark/>
          </w:tcPr>
          <w:p w:rsidRDefault="003B4DA0" w:rsidR="003B4DA0">
            <w:pPr>
              <w:overflowPunct w:val="false"/>
              <w:autoSpaceDE w:val="false"/>
              <w:autoSpaceDN w:val="false"/>
              <w:adjustRightInd w:val="false"/>
              <w:spacing w:lineRule="auto" w:line="276" w:after="0"/>
              <w:jc w:val="right"/>
              <w:rPr>
                <w:rFonts w:cs="Tahoma" w:eastAsia="Calibri" w:hAnsi="Calibri" w:ascii="Calibri"/>
                <w:noProof/>
                <w:sz w:val="19"/>
                <w:szCs w:val="19"/>
                <w:lang w:val="en-US"/>
              </w:rPr>
            </w:pPr>
            <w:r>
              <w:rPr>
                <w:rFonts w:cs="Tahoma" w:eastAsia="Calibri" w:hAnsi="Calibri" w:ascii="Calibri"/>
                <w:noProof/>
                <w:sz w:val="19"/>
                <w:szCs w:val="19"/>
                <w:lang w:val="en-US"/>
              </w:rPr>
              <w:t>151,11</w:t>
            </w:r>
          </w:p>
        </w:tc>
      </w:tr>
      <w:tr w:rsidTr="003B4DA0" w:rsidR="003B4DA0">
        <w:trPr>
          <w:trHeight w:val="300"/>
        </w:trPr>
        <w:tc>
          <w:tcPr>
            <w:tcW w:type="dxa" w:w="3085"/>
            <w:tcBorders>
              <w:top w:space="0" w:sz="4" w:color="auto" w:val="single"/>
              <w:left w:space="0" w:sz="4" w:color="auto" w:val="single"/>
              <w:bottom w:space="0" w:sz="4" w:color="auto" w:val="single"/>
              <w:right w:space="0" w:sz="4" w:color="auto" w:val="single"/>
            </w:tcBorders>
            <w:hideMark/>
          </w:tcPr>
          <w:p w:rsidRDefault="003B4DA0" w:rsidR="003B4DA0">
            <w:pPr>
              <w:overflowPunct w:val="false"/>
              <w:autoSpaceDE w:val="false"/>
              <w:autoSpaceDN w:val="false"/>
              <w:adjustRightInd w:val="false"/>
              <w:spacing w:lineRule="auto" w:line="276" w:after="0"/>
              <w:rPr>
                <w:rFonts w:cs="Tahoma" w:eastAsia="Calibri" w:hAnsi="Calibri" w:ascii="Calibri"/>
                <w:noProof/>
                <w:sz w:val="19"/>
                <w:szCs w:val="19"/>
                <w:lang w:val="en-US"/>
              </w:rPr>
            </w:pPr>
            <w:r>
              <w:rPr>
                <w:rFonts w:cs="Tahoma" w:eastAsia="Calibri" w:hAnsi="Calibri" w:ascii="Calibri"/>
                <w:noProof/>
                <w:sz w:val="19"/>
                <w:szCs w:val="19"/>
                <w:lang w:val="en-US"/>
              </w:rPr>
              <w:t>ELEKTROMETAL d.d.</w:t>
            </w:r>
          </w:p>
        </w:tc>
        <w:tc>
          <w:tcPr>
            <w:tcW w:type="dxa" w:w="1559"/>
            <w:tcBorders>
              <w:top w:space="0" w:sz="4" w:color="auto" w:val="single"/>
              <w:left w:space="0" w:sz="4" w:color="auto" w:val="single"/>
              <w:bottom w:space="0" w:sz="4" w:color="auto" w:val="single"/>
              <w:right w:space="0" w:sz="4" w:color="auto" w:val="single"/>
            </w:tcBorders>
            <w:hideMark/>
          </w:tcPr>
          <w:p w:rsidRDefault="003B4DA0" w:rsidR="003B4DA0">
            <w:pPr>
              <w:overflowPunct w:val="false"/>
              <w:autoSpaceDE w:val="false"/>
              <w:autoSpaceDN w:val="false"/>
              <w:adjustRightInd w:val="false"/>
              <w:spacing w:lineRule="auto" w:line="276" w:after="0"/>
              <w:rPr>
                <w:rFonts w:cs="Tahoma" w:eastAsia="Calibri" w:hAnsi="Calibri" w:ascii="Calibri"/>
                <w:noProof/>
                <w:sz w:val="19"/>
                <w:szCs w:val="19"/>
                <w:lang w:val="en-US"/>
              </w:rPr>
            </w:pPr>
            <w:r>
              <w:rPr>
                <w:rFonts w:cs="Tahoma" w:eastAsia="Calibri" w:hAnsi="Calibri" w:ascii="Calibri"/>
                <w:noProof/>
                <w:sz w:val="19"/>
                <w:szCs w:val="19"/>
                <w:lang w:val="en-US"/>
              </w:rPr>
              <w:t>45669853088</w:t>
            </w:r>
          </w:p>
        </w:tc>
        <w:tc>
          <w:tcPr>
            <w:tcW w:type="dxa" w:w="1604"/>
            <w:tcBorders>
              <w:top w:space="0" w:sz="4" w:color="auto" w:val="single"/>
              <w:left w:space="0" w:sz="4" w:color="auto" w:val="single"/>
              <w:bottom w:space="0" w:sz="4" w:color="auto" w:val="single"/>
              <w:right w:space="0" w:sz="4" w:color="auto" w:val="single"/>
            </w:tcBorders>
            <w:noWrap/>
            <w:hideMark/>
          </w:tcPr>
          <w:p w:rsidRDefault="003B4DA0" w:rsidR="003B4DA0">
            <w:pPr>
              <w:overflowPunct w:val="false"/>
              <w:autoSpaceDE w:val="false"/>
              <w:autoSpaceDN w:val="false"/>
              <w:adjustRightInd w:val="false"/>
              <w:spacing w:lineRule="auto" w:line="276" w:after="0"/>
              <w:jc w:val="right"/>
              <w:rPr>
                <w:rFonts w:cs="Tahoma" w:eastAsia="Calibri" w:hAnsi="Calibri" w:ascii="Calibri"/>
                <w:noProof/>
                <w:sz w:val="19"/>
                <w:szCs w:val="19"/>
                <w:lang w:val="en-US"/>
              </w:rPr>
            </w:pPr>
            <w:r>
              <w:rPr>
                <w:rFonts w:cs="Tahoma" w:eastAsia="Calibri" w:hAnsi="Calibri" w:ascii="Calibri"/>
                <w:noProof/>
                <w:sz w:val="19"/>
                <w:szCs w:val="19"/>
                <w:lang w:val="en-US"/>
              </w:rPr>
              <w:t>13.698,28</w:t>
            </w:r>
          </w:p>
        </w:tc>
        <w:tc>
          <w:tcPr>
            <w:tcW w:type="dxa" w:w="1646"/>
            <w:tcBorders>
              <w:top w:space="0" w:sz="4" w:color="auto" w:val="single"/>
              <w:left w:space="0" w:sz="4" w:color="auto" w:val="single"/>
              <w:bottom w:space="0" w:sz="4" w:color="auto" w:val="single"/>
              <w:right w:space="0" w:sz="4" w:color="auto" w:val="single"/>
            </w:tcBorders>
            <w:noWrap/>
            <w:hideMark/>
          </w:tcPr>
          <w:p w:rsidRDefault="003B4DA0" w:rsidR="003B4DA0">
            <w:pPr>
              <w:overflowPunct w:val="false"/>
              <w:autoSpaceDE w:val="false"/>
              <w:autoSpaceDN w:val="false"/>
              <w:adjustRightInd w:val="false"/>
              <w:spacing w:lineRule="auto" w:line="276" w:after="0"/>
              <w:jc w:val="right"/>
              <w:rPr>
                <w:rFonts w:cs="Tahoma" w:eastAsia="Calibri" w:hAnsi="Calibri" w:ascii="Calibri"/>
                <w:noProof/>
                <w:sz w:val="19"/>
                <w:szCs w:val="19"/>
                <w:lang w:val="en-US"/>
              </w:rPr>
            </w:pPr>
            <w:r>
              <w:rPr>
                <w:rFonts w:cs="Tahoma" w:eastAsia="Calibri" w:hAnsi="Calibri" w:ascii="Calibri"/>
                <w:noProof/>
                <w:sz w:val="19"/>
                <w:szCs w:val="19"/>
                <w:lang w:val="en-US"/>
              </w:rPr>
              <w:t>12.328,45</w:t>
            </w:r>
          </w:p>
        </w:tc>
        <w:tc>
          <w:tcPr>
            <w:tcW w:type="dxa" w:w="1394"/>
            <w:tcBorders>
              <w:top w:space="0" w:sz="4" w:color="auto" w:val="single"/>
              <w:left w:space="0" w:sz="4" w:color="auto" w:val="single"/>
              <w:bottom w:space="0" w:sz="4" w:color="auto" w:val="single"/>
              <w:right w:space="0" w:sz="4" w:color="auto" w:val="single"/>
            </w:tcBorders>
            <w:noWrap/>
            <w:hideMark/>
          </w:tcPr>
          <w:p w:rsidRDefault="003B4DA0" w:rsidR="003B4DA0">
            <w:pPr>
              <w:overflowPunct w:val="false"/>
              <w:autoSpaceDE w:val="false"/>
              <w:autoSpaceDN w:val="false"/>
              <w:adjustRightInd w:val="false"/>
              <w:spacing w:lineRule="auto" w:line="276" w:after="0"/>
              <w:jc w:val="right"/>
              <w:rPr>
                <w:rFonts w:cs="Tahoma" w:eastAsia="Calibri" w:hAnsi="Calibri" w:ascii="Calibri"/>
                <w:noProof/>
                <w:sz w:val="19"/>
                <w:szCs w:val="19"/>
                <w:lang w:val="en-US"/>
              </w:rPr>
            </w:pPr>
            <w:r>
              <w:rPr>
                <w:rFonts w:cs="Tahoma" w:eastAsia="Calibri" w:hAnsi="Calibri" w:ascii="Calibri"/>
                <w:noProof/>
                <w:sz w:val="19"/>
                <w:szCs w:val="19"/>
                <w:lang w:val="en-US"/>
              </w:rPr>
              <w:t>1.369,83</w:t>
            </w:r>
          </w:p>
        </w:tc>
      </w:tr>
      <w:tr w:rsidTr="003B4DA0" w:rsidR="003B4DA0">
        <w:trPr>
          <w:trHeight w:val="300"/>
        </w:trPr>
        <w:tc>
          <w:tcPr>
            <w:tcW w:type="dxa" w:w="3085"/>
            <w:tcBorders>
              <w:top w:space="0" w:sz="4" w:color="auto" w:val="single"/>
              <w:left w:space="0" w:sz="4" w:color="auto" w:val="single"/>
              <w:bottom w:space="0" w:sz="4" w:color="auto" w:val="single"/>
              <w:right w:space="0" w:sz="4" w:color="auto" w:val="single"/>
            </w:tcBorders>
            <w:hideMark/>
          </w:tcPr>
          <w:p w:rsidRDefault="003B4DA0" w:rsidR="003B4DA0">
            <w:pPr>
              <w:overflowPunct w:val="false"/>
              <w:autoSpaceDE w:val="false"/>
              <w:autoSpaceDN w:val="false"/>
              <w:adjustRightInd w:val="false"/>
              <w:spacing w:lineRule="auto" w:line="276" w:after="0"/>
              <w:rPr>
                <w:rFonts w:cs="Tahoma" w:eastAsia="Calibri" w:hAnsi="Calibri" w:ascii="Calibri"/>
                <w:noProof/>
                <w:sz w:val="19"/>
                <w:szCs w:val="19"/>
                <w:lang w:val="en-US"/>
              </w:rPr>
            </w:pPr>
            <w:r>
              <w:rPr>
                <w:rFonts w:cs="Tahoma" w:eastAsia="Calibri" w:hAnsi="Calibri" w:ascii="Calibri"/>
                <w:noProof/>
                <w:sz w:val="19"/>
                <w:szCs w:val="19"/>
                <w:lang w:val="en-US"/>
              </w:rPr>
              <w:t>BJELOVARSKI SAJAM d.o.o.</w:t>
            </w:r>
          </w:p>
        </w:tc>
        <w:tc>
          <w:tcPr>
            <w:tcW w:type="dxa" w:w="1559"/>
            <w:tcBorders>
              <w:top w:space="0" w:sz="4" w:color="auto" w:val="single"/>
              <w:left w:space="0" w:sz="4" w:color="auto" w:val="single"/>
              <w:bottom w:space="0" w:sz="4" w:color="auto" w:val="single"/>
              <w:right w:space="0" w:sz="4" w:color="auto" w:val="single"/>
            </w:tcBorders>
            <w:hideMark/>
          </w:tcPr>
          <w:p w:rsidRDefault="003B4DA0" w:rsidR="003B4DA0">
            <w:pPr>
              <w:overflowPunct w:val="false"/>
              <w:autoSpaceDE w:val="false"/>
              <w:autoSpaceDN w:val="false"/>
              <w:adjustRightInd w:val="false"/>
              <w:spacing w:lineRule="auto" w:line="276" w:after="0"/>
              <w:rPr>
                <w:rFonts w:cs="Tahoma" w:eastAsia="Calibri" w:hAnsi="Calibri" w:ascii="Calibri"/>
                <w:noProof/>
                <w:sz w:val="19"/>
                <w:szCs w:val="19"/>
                <w:lang w:val="en-US"/>
              </w:rPr>
            </w:pPr>
            <w:r>
              <w:rPr>
                <w:rFonts w:cs="Tahoma" w:eastAsia="Calibri" w:hAnsi="Calibri" w:ascii="Calibri"/>
                <w:noProof/>
                <w:sz w:val="19"/>
                <w:szCs w:val="19"/>
                <w:lang w:val="en-US"/>
              </w:rPr>
              <w:t>95270568579</w:t>
            </w:r>
          </w:p>
        </w:tc>
        <w:tc>
          <w:tcPr>
            <w:tcW w:type="dxa" w:w="1604"/>
            <w:tcBorders>
              <w:top w:space="0" w:sz="4" w:color="auto" w:val="single"/>
              <w:left w:space="0" w:sz="4" w:color="auto" w:val="single"/>
              <w:bottom w:space="0" w:sz="4" w:color="auto" w:val="single"/>
              <w:right w:space="0" w:sz="4" w:color="auto" w:val="single"/>
            </w:tcBorders>
            <w:noWrap/>
            <w:hideMark/>
          </w:tcPr>
          <w:p w:rsidRDefault="003B4DA0" w:rsidR="003B4DA0">
            <w:pPr>
              <w:overflowPunct w:val="false"/>
              <w:autoSpaceDE w:val="false"/>
              <w:autoSpaceDN w:val="false"/>
              <w:adjustRightInd w:val="false"/>
              <w:spacing w:lineRule="auto" w:line="276" w:after="0"/>
              <w:jc w:val="right"/>
              <w:rPr>
                <w:rFonts w:cs="Tahoma" w:eastAsia="Calibri" w:hAnsi="Calibri" w:ascii="Calibri"/>
                <w:noProof/>
                <w:sz w:val="19"/>
                <w:szCs w:val="19"/>
                <w:lang w:val="en-US"/>
              </w:rPr>
            </w:pPr>
            <w:r>
              <w:rPr>
                <w:rFonts w:cs="Tahoma" w:eastAsia="Calibri" w:hAnsi="Calibri" w:ascii="Calibri"/>
                <w:noProof/>
                <w:sz w:val="19"/>
                <w:szCs w:val="19"/>
                <w:lang w:val="en-US"/>
              </w:rPr>
              <w:t>171.079,58</w:t>
            </w:r>
          </w:p>
        </w:tc>
        <w:tc>
          <w:tcPr>
            <w:tcW w:type="dxa" w:w="1646"/>
            <w:tcBorders>
              <w:top w:space="0" w:sz="4" w:color="auto" w:val="single"/>
              <w:left w:space="0" w:sz="4" w:color="auto" w:val="single"/>
              <w:bottom w:space="0" w:sz="4" w:color="auto" w:val="single"/>
              <w:right w:space="0" w:sz="4" w:color="auto" w:val="single"/>
            </w:tcBorders>
            <w:noWrap/>
            <w:hideMark/>
          </w:tcPr>
          <w:p w:rsidRDefault="003B4DA0" w:rsidR="003B4DA0">
            <w:pPr>
              <w:overflowPunct w:val="false"/>
              <w:autoSpaceDE w:val="false"/>
              <w:autoSpaceDN w:val="false"/>
              <w:adjustRightInd w:val="false"/>
              <w:spacing w:lineRule="auto" w:line="276" w:after="0"/>
              <w:jc w:val="right"/>
              <w:rPr>
                <w:rFonts w:cs="Tahoma" w:eastAsia="Calibri" w:hAnsi="Calibri" w:ascii="Calibri"/>
                <w:noProof/>
                <w:sz w:val="19"/>
                <w:szCs w:val="19"/>
                <w:lang w:val="en-US"/>
              </w:rPr>
            </w:pPr>
            <w:r>
              <w:rPr>
                <w:rFonts w:cs="Tahoma" w:eastAsia="Calibri" w:hAnsi="Calibri" w:ascii="Calibri"/>
                <w:noProof/>
                <w:sz w:val="19"/>
                <w:szCs w:val="19"/>
                <w:lang w:val="en-US"/>
              </w:rPr>
              <w:t>153.971,62</w:t>
            </w:r>
          </w:p>
        </w:tc>
        <w:tc>
          <w:tcPr>
            <w:tcW w:type="dxa" w:w="1394"/>
            <w:tcBorders>
              <w:top w:space="0" w:sz="4" w:color="auto" w:val="single"/>
              <w:left w:space="0" w:sz="4" w:color="auto" w:val="single"/>
              <w:bottom w:space="0" w:sz="4" w:color="auto" w:val="single"/>
              <w:right w:space="0" w:sz="4" w:color="auto" w:val="single"/>
            </w:tcBorders>
            <w:noWrap/>
            <w:hideMark/>
          </w:tcPr>
          <w:p w:rsidRDefault="003B4DA0" w:rsidR="003B4DA0">
            <w:pPr>
              <w:overflowPunct w:val="false"/>
              <w:autoSpaceDE w:val="false"/>
              <w:autoSpaceDN w:val="false"/>
              <w:adjustRightInd w:val="false"/>
              <w:spacing w:lineRule="auto" w:line="276" w:after="0"/>
              <w:jc w:val="right"/>
              <w:rPr>
                <w:rFonts w:cs="Tahoma" w:eastAsia="Calibri" w:hAnsi="Calibri" w:ascii="Calibri"/>
                <w:noProof/>
                <w:sz w:val="19"/>
                <w:szCs w:val="19"/>
                <w:lang w:val="en-US"/>
              </w:rPr>
            </w:pPr>
            <w:r>
              <w:rPr>
                <w:rFonts w:cs="Tahoma" w:eastAsia="Calibri" w:hAnsi="Calibri" w:ascii="Calibri"/>
                <w:noProof/>
                <w:sz w:val="19"/>
                <w:szCs w:val="19"/>
                <w:lang w:val="en-US"/>
              </w:rPr>
              <w:t>17.107,95</w:t>
            </w:r>
          </w:p>
        </w:tc>
      </w:tr>
      <w:tr w:rsidTr="003B4DA0" w:rsidR="003B4DA0">
        <w:trPr>
          <w:trHeight w:val="564"/>
        </w:trPr>
        <w:tc>
          <w:tcPr>
            <w:tcW w:type="dxa" w:w="3085"/>
            <w:tcBorders>
              <w:top w:space="0" w:sz="4" w:color="auto" w:val="single"/>
              <w:left w:space="0" w:sz="4" w:color="auto" w:val="single"/>
              <w:bottom w:space="0" w:sz="4" w:color="auto" w:val="single"/>
              <w:right w:space="0" w:sz="4" w:color="auto" w:val="single"/>
            </w:tcBorders>
            <w:hideMark/>
          </w:tcPr>
          <w:p w:rsidRDefault="003B4DA0" w:rsidR="003B4DA0">
            <w:pPr>
              <w:overflowPunct w:val="false"/>
              <w:autoSpaceDE w:val="false"/>
              <w:autoSpaceDN w:val="false"/>
              <w:adjustRightInd w:val="false"/>
              <w:spacing w:lineRule="auto" w:line="276" w:after="0"/>
              <w:rPr>
                <w:rFonts w:cs="Tahoma" w:eastAsia="Calibri" w:hAnsi="Calibri" w:ascii="Calibri"/>
                <w:noProof/>
                <w:sz w:val="19"/>
                <w:szCs w:val="19"/>
                <w:lang w:val="en-US"/>
              </w:rPr>
            </w:pPr>
            <w:r>
              <w:rPr>
                <w:rFonts w:cs="Tahoma" w:eastAsia="Calibri" w:hAnsi="Calibri" w:ascii="Calibri"/>
                <w:noProof/>
                <w:sz w:val="19"/>
                <w:szCs w:val="19"/>
                <w:lang w:val="en-US"/>
              </w:rPr>
              <w:t>ODVJETNICA RUŽICA PILIČIĆ ŠINKO</w:t>
            </w:r>
          </w:p>
        </w:tc>
        <w:tc>
          <w:tcPr>
            <w:tcW w:type="dxa" w:w="1559"/>
            <w:tcBorders>
              <w:top w:space="0" w:sz="4" w:color="auto" w:val="single"/>
              <w:left w:space="0" w:sz="4" w:color="auto" w:val="single"/>
              <w:bottom w:space="0" w:sz="4" w:color="auto" w:val="single"/>
              <w:right w:space="0" w:sz="4" w:color="auto" w:val="single"/>
            </w:tcBorders>
            <w:hideMark/>
          </w:tcPr>
          <w:p w:rsidRDefault="003B4DA0" w:rsidR="003B4DA0">
            <w:pPr>
              <w:overflowPunct w:val="false"/>
              <w:autoSpaceDE w:val="false"/>
              <w:autoSpaceDN w:val="false"/>
              <w:adjustRightInd w:val="false"/>
              <w:spacing w:lineRule="auto" w:line="276" w:after="0"/>
              <w:rPr>
                <w:rFonts w:cs="Tahoma" w:eastAsia="Calibri" w:hAnsi="Calibri" w:ascii="Calibri"/>
                <w:noProof/>
                <w:sz w:val="19"/>
                <w:szCs w:val="19"/>
                <w:lang w:val="en-US"/>
              </w:rPr>
            </w:pPr>
            <w:r>
              <w:rPr>
                <w:rFonts w:cs="Tahoma" w:eastAsia="Calibri" w:hAnsi="Calibri" w:ascii="Calibri"/>
                <w:noProof/>
                <w:sz w:val="19"/>
                <w:szCs w:val="19"/>
                <w:lang w:val="en-US"/>
              </w:rPr>
              <w:t>69036652687</w:t>
            </w:r>
          </w:p>
        </w:tc>
        <w:tc>
          <w:tcPr>
            <w:tcW w:type="dxa" w:w="1604"/>
            <w:tcBorders>
              <w:top w:space="0" w:sz="4" w:color="auto" w:val="single"/>
              <w:left w:space="0" w:sz="4" w:color="auto" w:val="single"/>
              <w:bottom w:space="0" w:sz="4" w:color="auto" w:val="single"/>
              <w:right w:space="0" w:sz="4" w:color="auto" w:val="single"/>
            </w:tcBorders>
            <w:noWrap/>
            <w:hideMark/>
          </w:tcPr>
          <w:p w:rsidRDefault="003B4DA0" w:rsidR="003B4DA0">
            <w:pPr>
              <w:overflowPunct w:val="false"/>
              <w:autoSpaceDE w:val="false"/>
              <w:autoSpaceDN w:val="false"/>
              <w:adjustRightInd w:val="false"/>
              <w:spacing w:lineRule="auto" w:line="276" w:after="0"/>
              <w:jc w:val="right"/>
              <w:rPr>
                <w:rFonts w:cs="Tahoma" w:eastAsia="Calibri" w:hAnsi="Calibri" w:ascii="Calibri"/>
                <w:noProof/>
                <w:sz w:val="19"/>
                <w:szCs w:val="19"/>
                <w:lang w:val="en-US"/>
              </w:rPr>
            </w:pPr>
            <w:r>
              <w:rPr>
                <w:rFonts w:cs="Tahoma" w:eastAsia="Calibri" w:hAnsi="Calibri" w:ascii="Calibri"/>
                <w:noProof/>
                <w:sz w:val="19"/>
                <w:szCs w:val="19"/>
                <w:lang w:val="en-US"/>
              </w:rPr>
              <w:t>15.500,00</w:t>
            </w:r>
          </w:p>
        </w:tc>
        <w:tc>
          <w:tcPr>
            <w:tcW w:type="dxa" w:w="1646"/>
            <w:tcBorders>
              <w:top w:space="0" w:sz="4" w:color="auto" w:val="single"/>
              <w:left w:space="0" w:sz="4" w:color="auto" w:val="single"/>
              <w:bottom w:space="0" w:sz="4" w:color="auto" w:val="single"/>
              <w:right w:space="0" w:sz="4" w:color="auto" w:val="single"/>
            </w:tcBorders>
            <w:noWrap/>
            <w:hideMark/>
          </w:tcPr>
          <w:p w:rsidRDefault="003B4DA0" w:rsidR="003B4DA0">
            <w:pPr>
              <w:overflowPunct w:val="false"/>
              <w:autoSpaceDE w:val="false"/>
              <w:autoSpaceDN w:val="false"/>
              <w:adjustRightInd w:val="false"/>
              <w:spacing w:lineRule="auto" w:line="276" w:after="0"/>
              <w:jc w:val="right"/>
              <w:rPr>
                <w:rFonts w:cs="Tahoma" w:eastAsia="Calibri" w:hAnsi="Calibri" w:ascii="Calibri"/>
                <w:noProof/>
                <w:sz w:val="19"/>
                <w:szCs w:val="19"/>
                <w:lang w:val="en-US"/>
              </w:rPr>
            </w:pPr>
            <w:r>
              <w:rPr>
                <w:rFonts w:cs="Tahoma" w:eastAsia="Calibri" w:hAnsi="Calibri" w:ascii="Calibri"/>
                <w:noProof/>
                <w:sz w:val="19"/>
                <w:szCs w:val="19"/>
                <w:lang w:val="en-US"/>
              </w:rPr>
              <w:t>13.950,00</w:t>
            </w:r>
          </w:p>
        </w:tc>
        <w:tc>
          <w:tcPr>
            <w:tcW w:type="dxa" w:w="1394"/>
            <w:tcBorders>
              <w:top w:space="0" w:sz="4" w:color="auto" w:val="single"/>
              <w:left w:space="0" w:sz="4" w:color="auto" w:val="single"/>
              <w:bottom w:space="0" w:sz="4" w:color="auto" w:val="single"/>
              <w:right w:space="0" w:sz="4" w:color="auto" w:val="single"/>
            </w:tcBorders>
            <w:noWrap/>
            <w:hideMark/>
          </w:tcPr>
          <w:p w:rsidRDefault="003B4DA0" w:rsidR="003B4DA0">
            <w:pPr>
              <w:overflowPunct w:val="false"/>
              <w:autoSpaceDE w:val="false"/>
              <w:autoSpaceDN w:val="false"/>
              <w:adjustRightInd w:val="false"/>
              <w:spacing w:lineRule="auto" w:line="276" w:after="0"/>
              <w:jc w:val="right"/>
              <w:rPr>
                <w:rFonts w:cs="Tahoma" w:eastAsia="Calibri" w:hAnsi="Calibri" w:ascii="Calibri"/>
                <w:noProof/>
                <w:sz w:val="19"/>
                <w:szCs w:val="19"/>
                <w:lang w:val="en-US"/>
              </w:rPr>
            </w:pPr>
            <w:r>
              <w:rPr>
                <w:rFonts w:cs="Tahoma" w:eastAsia="Calibri" w:hAnsi="Calibri" w:ascii="Calibri"/>
                <w:noProof/>
                <w:sz w:val="19"/>
                <w:szCs w:val="19"/>
                <w:lang w:val="en-US"/>
              </w:rPr>
              <w:t>1.550,00</w:t>
            </w:r>
          </w:p>
        </w:tc>
      </w:tr>
      <w:tr w:rsidTr="003B4DA0" w:rsidR="003B4DA0">
        <w:trPr>
          <w:trHeight w:val="300"/>
        </w:trPr>
        <w:tc>
          <w:tcPr>
            <w:tcW w:type="dxa" w:w="3085"/>
            <w:tcBorders>
              <w:top w:space="0" w:sz="4" w:color="auto" w:val="single"/>
              <w:left w:space="0" w:sz="4" w:color="auto" w:val="single"/>
              <w:bottom w:space="0" w:sz="4" w:color="auto" w:val="single"/>
              <w:right w:space="0" w:sz="4" w:color="auto" w:val="single"/>
            </w:tcBorders>
            <w:hideMark/>
          </w:tcPr>
          <w:p w:rsidRDefault="003B4DA0" w:rsidR="003B4DA0">
            <w:pPr>
              <w:overflowPunct w:val="false"/>
              <w:autoSpaceDE w:val="false"/>
              <w:autoSpaceDN w:val="false"/>
              <w:adjustRightInd w:val="false"/>
              <w:spacing w:lineRule="auto" w:line="276" w:after="0"/>
              <w:rPr>
                <w:rFonts w:cs="Tahoma" w:eastAsia="Calibri" w:hAnsi="Calibri" w:ascii="Calibri"/>
                <w:noProof/>
                <w:sz w:val="19"/>
                <w:szCs w:val="19"/>
                <w:lang w:val="en-US"/>
              </w:rPr>
            </w:pPr>
            <w:r>
              <w:rPr>
                <w:rFonts w:cs="Tahoma" w:eastAsia="Calibri" w:hAnsi="Calibri" w:ascii="Calibri"/>
                <w:noProof/>
                <w:sz w:val="19"/>
                <w:szCs w:val="19"/>
                <w:lang w:val="en-US"/>
              </w:rPr>
              <w:t>PROENERGY</w:t>
            </w:r>
          </w:p>
        </w:tc>
        <w:tc>
          <w:tcPr>
            <w:tcW w:type="dxa" w:w="1559"/>
            <w:tcBorders>
              <w:top w:space="0" w:sz="4" w:color="auto" w:val="single"/>
              <w:left w:space="0" w:sz="4" w:color="auto" w:val="single"/>
              <w:bottom w:space="0" w:sz="4" w:color="auto" w:val="single"/>
              <w:right w:space="0" w:sz="4" w:color="auto" w:val="single"/>
            </w:tcBorders>
            <w:hideMark/>
          </w:tcPr>
          <w:p w:rsidRDefault="003B4DA0" w:rsidR="003B4DA0">
            <w:pPr>
              <w:overflowPunct w:val="false"/>
              <w:autoSpaceDE w:val="false"/>
              <w:autoSpaceDN w:val="false"/>
              <w:adjustRightInd w:val="false"/>
              <w:spacing w:lineRule="auto" w:line="276" w:after="0"/>
              <w:rPr>
                <w:rFonts w:cs="Tahoma" w:eastAsia="Calibri" w:hAnsi="Calibri" w:ascii="Calibri"/>
                <w:noProof/>
                <w:sz w:val="19"/>
                <w:szCs w:val="19"/>
                <w:lang w:val="en-US"/>
              </w:rPr>
            </w:pPr>
            <w:r>
              <w:rPr>
                <w:rFonts w:cs="Tahoma" w:eastAsia="Calibri" w:hAnsi="Calibri" w:ascii="Calibri"/>
                <w:noProof/>
                <w:sz w:val="19"/>
                <w:szCs w:val="19"/>
                <w:lang w:val="en-US"/>
              </w:rPr>
              <w:t>63962176928</w:t>
            </w:r>
          </w:p>
        </w:tc>
        <w:tc>
          <w:tcPr>
            <w:tcW w:type="dxa" w:w="1604"/>
            <w:tcBorders>
              <w:top w:space="0" w:sz="4" w:color="auto" w:val="single"/>
              <w:left w:space="0" w:sz="4" w:color="auto" w:val="single"/>
              <w:bottom w:space="0" w:sz="4" w:color="auto" w:val="single"/>
              <w:right w:space="0" w:sz="4" w:color="auto" w:val="single"/>
            </w:tcBorders>
            <w:noWrap/>
            <w:hideMark/>
          </w:tcPr>
          <w:p w:rsidRDefault="003B4DA0" w:rsidR="003B4DA0">
            <w:pPr>
              <w:overflowPunct w:val="false"/>
              <w:autoSpaceDE w:val="false"/>
              <w:autoSpaceDN w:val="false"/>
              <w:adjustRightInd w:val="false"/>
              <w:spacing w:lineRule="auto" w:line="276" w:after="0"/>
              <w:jc w:val="right"/>
              <w:rPr>
                <w:rFonts w:cs="Tahoma" w:eastAsia="Calibri" w:hAnsi="Calibri" w:ascii="Calibri"/>
                <w:noProof/>
                <w:sz w:val="19"/>
                <w:szCs w:val="19"/>
                <w:lang w:val="en-US"/>
              </w:rPr>
            </w:pPr>
            <w:r>
              <w:rPr>
                <w:rFonts w:cs="Tahoma" w:eastAsia="Calibri" w:hAnsi="Calibri" w:ascii="Calibri"/>
                <w:noProof/>
                <w:sz w:val="19"/>
                <w:szCs w:val="19"/>
                <w:lang w:val="en-US"/>
              </w:rPr>
              <w:t>6.505,79</w:t>
            </w:r>
          </w:p>
        </w:tc>
        <w:tc>
          <w:tcPr>
            <w:tcW w:type="dxa" w:w="1646"/>
            <w:tcBorders>
              <w:top w:space="0" w:sz="4" w:color="auto" w:val="single"/>
              <w:left w:space="0" w:sz="4" w:color="auto" w:val="single"/>
              <w:bottom w:space="0" w:sz="4" w:color="auto" w:val="single"/>
              <w:right w:space="0" w:sz="4" w:color="auto" w:val="single"/>
            </w:tcBorders>
            <w:noWrap/>
            <w:hideMark/>
          </w:tcPr>
          <w:p w:rsidRDefault="003B4DA0" w:rsidR="003B4DA0">
            <w:pPr>
              <w:overflowPunct w:val="false"/>
              <w:autoSpaceDE w:val="false"/>
              <w:autoSpaceDN w:val="false"/>
              <w:adjustRightInd w:val="false"/>
              <w:spacing w:lineRule="auto" w:line="276" w:after="0"/>
              <w:jc w:val="right"/>
              <w:rPr>
                <w:rFonts w:cs="Tahoma" w:eastAsia="Calibri" w:hAnsi="Calibri" w:ascii="Calibri"/>
                <w:noProof/>
                <w:sz w:val="19"/>
                <w:szCs w:val="19"/>
                <w:lang w:val="en-US"/>
              </w:rPr>
            </w:pPr>
            <w:r>
              <w:rPr>
                <w:rFonts w:cs="Tahoma" w:eastAsia="Calibri" w:hAnsi="Calibri" w:ascii="Calibri"/>
                <w:noProof/>
                <w:sz w:val="19"/>
                <w:szCs w:val="19"/>
                <w:lang w:val="en-US"/>
              </w:rPr>
              <w:t>5.855,21</w:t>
            </w:r>
          </w:p>
        </w:tc>
        <w:tc>
          <w:tcPr>
            <w:tcW w:type="dxa" w:w="1394"/>
            <w:tcBorders>
              <w:top w:space="0" w:sz="4" w:color="auto" w:val="single"/>
              <w:left w:space="0" w:sz="4" w:color="auto" w:val="single"/>
              <w:bottom w:space="0" w:sz="4" w:color="auto" w:val="single"/>
              <w:right w:space="0" w:sz="4" w:color="auto" w:val="single"/>
            </w:tcBorders>
            <w:noWrap/>
            <w:hideMark/>
          </w:tcPr>
          <w:p w:rsidRDefault="003B4DA0" w:rsidR="003B4DA0">
            <w:pPr>
              <w:overflowPunct w:val="false"/>
              <w:autoSpaceDE w:val="false"/>
              <w:autoSpaceDN w:val="false"/>
              <w:adjustRightInd w:val="false"/>
              <w:spacing w:lineRule="auto" w:line="276" w:after="0"/>
              <w:jc w:val="right"/>
              <w:rPr>
                <w:rFonts w:cs="Tahoma" w:eastAsia="Calibri" w:hAnsi="Calibri" w:ascii="Calibri"/>
                <w:noProof/>
                <w:sz w:val="19"/>
                <w:szCs w:val="19"/>
                <w:lang w:val="en-US"/>
              </w:rPr>
            </w:pPr>
            <w:r>
              <w:rPr>
                <w:rFonts w:cs="Tahoma" w:eastAsia="Calibri" w:hAnsi="Calibri" w:ascii="Calibri"/>
                <w:noProof/>
                <w:sz w:val="19"/>
                <w:szCs w:val="19"/>
                <w:lang w:val="en-US"/>
              </w:rPr>
              <w:t>650,57</w:t>
            </w:r>
          </w:p>
        </w:tc>
      </w:tr>
      <w:tr w:rsidTr="003B4DA0" w:rsidR="003B4DA0">
        <w:trPr>
          <w:trHeight w:val="300"/>
        </w:trPr>
        <w:tc>
          <w:tcPr>
            <w:tcW w:type="dxa" w:w="3085"/>
            <w:tcBorders>
              <w:top w:space="0" w:sz="4" w:color="auto" w:val="single"/>
              <w:left w:space="0" w:sz="4" w:color="auto" w:val="single"/>
              <w:bottom w:space="0" w:sz="4" w:color="auto" w:val="single"/>
              <w:right w:space="0" w:sz="4" w:color="auto" w:val="single"/>
            </w:tcBorders>
            <w:hideMark/>
          </w:tcPr>
          <w:p w:rsidRDefault="003B4DA0" w:rsidR="003B4DA0">
            <w:pPr>
              <w:overflowPunct w:val="false"/>
              <w:autoSpaceDE w:val="false"/>
              <w:autoSpaceDN w:val="false"/>
              <w:adjustRightInd w:val="false"/>
              <w:spacing w:lineRule="auto" w:line="276" w:after="0"/>
              <w:rPr>
                <w:rFonts w:cs="Tahoma" w:eastAsia="Calibri" w:hAnsi="Calibri" w:ascii="Calibri"/>
                <w:noProof/>
                <w:sz w:val="19"/>
                <w:szCs w:val="19"/>
                <w:lang w:val="en-US"/>
              </w:rPr>
            </w:pPr>
            <w:r>
              <w:rPr>
                <w:rFonts w:cs="Tahoma" w:eastAsia="Calibri" w:hAnsi="Calibri" w:ascii="Calibri"/>
                <w:noProof/>
                <w:sz w:val="19"/>
                <w:szCs w:val="19"/>
                <w:lang w:val="en-US"/>
              </w:rPr>
              <w:t>MEDIARITAM d.o.o.</w:t>
            </w:r>
          </w:p>
        </w:tc>
        <w:tc>
          <w:tcPr>
            <w:tcW w:type="dxa" w:w="1559"/>
            <w:tcBorders>
              <w:top w:space="0" w:sz="4" w:color="auto" w:val="single"/>
              <w:left w:space="0" w:sz="4" w:color="auto" w:val="single"/>
              <w:bottom w:space="0" w:sz="4" w:color="auto" w:val="single"/>
              <w:right w:space="0" w:sz="4" w:color="auto" w:val="single"/>
            </w:tcBorders>
            <w:hideMark/>
          </w:tcPr>
          <w:p w:rsidRDefault="003B4DA0" w:rsidR="003B4DA0">
            <w:pPr>
              <w:overflowPunct w:val="false"/>
              <w:autoSpaceDE w:val="false"/>
              <w:autoSpaceDN w:val="false"/>
              <w:adjustRightInd w:val="false"/>
              <w:spacing w:lineRule="auto" w:line="276" w:after="0"/>
              <w:rPr>
                <w:rFonts w:cs="Tahoma" w:eastAsia="Calibri" w:hAnsi="Calibri" w:ascii="Calibri"/>
                <w:noProof/>
                <w:sz w:val="19"/>
                <w:szCs w:val="19"/>
                <w:lang w:val="en-US"/>
              </w:rPr>
            </w:pPr>
            <w:r>
              <w:rPr>
                <w:rFonts w:cs="Tahoma" w:eastAsia="Calibri" w:hAnsi="Calibri" w:ascii="Calibri"/>
                <w:noProof/>
                <w:sz w:val="19"/>
                <w:szCs w:val="19"/>
                <w:lang w:val="en-US"/>
              </w:rPr>
              <w:t>95283343666</w:t>
            </w:r>
          </w:p>
        </w:tc>
        <w:tc>
          <w:tcPr>
            <w:tcW w:type="dxa" w:w="1604"/>
            <w:tcBorders>
              <w:top w:space="0" w:sz="4" w:color="auto" w:val="single"/>
              <w:left w:space="0" w:sz="4" w:color="auto" w:val="single"/>
              <w:bottom w:space="0" w:sz="4" w:color="auto" w:val="single"/>
              <w:right w:space="0" w:sz="4" w:color="auto" w:val="single"/>
            </w:tcBorders>
            <w:noWrap/>
            <w:hideMark/>
          </w:tcPr>
          <w:p w:rsidRDefault="003B4DA0" w:rsidR="003B4DA0">
            <w:pPr>
              <w:overflowPunct w:val="false"/>
              <w:autoSpaceDE w:val="false"/>
              <w:autoSpaceDN w:val="false"/>
              <w:adjustRightInd w:val="false"/>
              <w:spacing w:lineRule="auto" w:line="276" w:after="0"/>
              <w:jc w:val="right"/>
              <w:rPr>
                <w:rFonts w:cs="Tahoma" w:eastAsia="Calibri" w:hAnsi="Calibri" w:ascii="Calibri"/>
                <w:noProof/>
                <w:sz w:val="19"/>
                <w:szCs w:val="19"/>
                <w:lang w:val="en-US"/>
              </w:rPr>
            </w:pPr>
            <w:r>
              <w:rPr>
                <w:rFonts w:cs="Tahoma" w:eastAsia="Calibri" w:hAnsi="Calibri" w:ascii="Calibri"/>
                <w:noProof/>
                <w:sz w:val="19"/>
                <w:szCs w:val="19"/>
                <w:lang w:val="en-US"/>
              </w:rPr>
              <w:t>3.825,00</w:t>
            </w:r>
          </w:p>
        </w:tc>
        <w:tc>
          <w:tcPr>
            <w:tcW w:type="dxa" w:w="1646"/>
            <w:tcBorders>
              <w:top w:space="0" w:sz="4" w:color="auto" w:val="single"/>
              <w:left w:space="0" w:sz="4" w:color="auto" w:val="single"/>
              <w:bottom w:space="0" w:sz="4" w:color="auto" w:val="single"/>
              <w:right w:space="0" w:sz="4" w:color="auto" w:val="single"/>
            </w:tcBorders>
            <w:noWrap/>
            <w:hideMark/>
          </w:tcPr>
          <w:p w:rsidRDefault="003B4DA0" w:rsidR="003B4DA0">
            <w:pPr>
              <w:overflowPunct w:val="false"/>
              <w:autoSpaceDE w:val="false"/>
              <w:autoSpaceDN w:val="false"/>
              <w:adjustRightInd w:val="false"/>
              <w:spacing w:lineRule="auto" w:line="276" w:after="0"/>
              <w:jc w:val="right"/>
              <w:rPr>
                <w:rFonts w:cs="Tahoma" w:eastAsia="Calibri" w:hAnsi="Calibri" w:ascii="Calibri"/>
                <w:noProof/>
                <w:sz w:val="19"/>
                <w:szCs w:val="19"/>
                <w:lang w:val="en-US"/>
              </w:rPr>
            </w:pPr>
            <w:r>
              <w:rPr>
                <w:rFonts w:cs="Tahoma" w:eastAsia="Calibri" w:hAnsi="Calibri" w:ascii="Calibri"/>
                <w:noProof/>
                <w:sz w:val="19"/>
                <w:szCs w:val="19"/>
                <w:lang w:val="en-US"/>
              </w:rPr>
              <w:t>3.442,50</w:t>
            </w:r>
          </w:p>
        </w:tc>
        <w:tc>
          <w:tcPr>
            <w:tcW w:type="dxa" w:w="1394"/>
            <w:tcBorders>
              <w:top w:space="0" w:sz="4" w:color="auto" w:val="single"/>
              <w:left w:space="0" w:sz="4" w:color="auto" w:val="single"/>
              <w:bottom w:space="0" w:sz="4" w:color="auto" w:val="single"/>
              <w:right w:space="0" w:sz="4" w:color="auto" w:val="single"/>
            </w:tcBorders>
            <w:noWrap/>
            <w:hideMark/>
          </w:tcPr>
          <w:p w:rsidRDefault="003B4DA0" w:rsidR="003B4DA0">
            <w:pPr>
              <w:overflowPunct w:val="false"/>
              <w:autoSpaceDE w:val="false"/>
              <w:autoSpaceDN w:val="false"/>
              <w:adjustRightInd w:val="false"/>
              <w:spacing w:lineRule="auto" w:line="276" w:after="0"/>
              <w:jc w:val="right"/>
              <w:rPr>
                <w:rFonts w:cs="Tahoma" w:eastAsia="Calibri" w:hAnsi="Calibri" w:ascii="Calibri"/>
                <w:noProof/>
                <w:sz w:val="19"/>
                <w:szCs w:val="19"/>
                <w:lang w:val="en-US"/>
              </w:rPr>
            </w:pPr>
            <w:r>
              <w:rPr>
                <w:rFonts w:cs="Tahoma" w:eastAsia="Calibri" w:hAnsi="Calibri" w:ascii="Calibri"/>
                <w:noProof/>
                <w:sz w:val="19"/>
                <w:szCs w:val="19"/>
                <w:lang w:val="en-US"/>
              </w:rPr>
              <w:t>382,50</w:t>
            </w:r>
          </w:p>
        </w:tc>
      </w:tr>
      <w:tr w:rsidTr="003B4DA0" w:rsidR="003B4DA0">
        <w:trPr>
          <w:trHeight w:val="564"/>
        </w:trPr>
        <w:tc>
          <w:tcPr>
            <w:tcW w:type="dxa" w:w="3085"/>
            <w:tcBorders>
              <w:top w:space="0" w:sz="4" w:color="auto" w:val="single"/>
              <w:left w:space="0" w:sz="4" w:color="auto" w:val="single"/>
              <w:bottom w:space="0" w:sz="4" w:color="auto" w:val="single"/>
              <w:right w:space="0" w:sz="4" w:color="auto" w:val="single"/>
            </w:tcBorders>
            <w:hideMark/>
          </w:tcPr>
          <w:p w:rsidRDefault="003B4DA0" w:rsidR="003B4DA0">
            <w:pPr>
              <w:overflowPunct w:val="false"/>
              <w:autoSpaceDE w:val="false"/>
              <w:autoSpaceDN w:val="false"/>
              <w:adjustRightInd w:val="false"/>
              <w:spacing w:lineRule="auto" w:line="276" w:after="0"/>
              <w:rPr>
                <w:rFonts w:cs="Tahoma" w:eastAsia="Calibri" w:hAnsi="Calibri" w:ascii="Calibri"/>
                <w:noProof/>
                <w:sz w:val="19"/>
                <w:szCs w:val="19"/>
                <w:lang w:val="en-US"/>
              </w:rPr>
            </w:pPr>
            <w:r>
              <w:rPr>
                <w:rFonts w:cs="Tahoma" w:eastAsia="Calibri" w:hAnsi="Calibri" w:ascii="Calibri"/>
                <w:noProof/>
                <w:sz w:val="19"/>
                <w:szCs w:val="19"/>
                <w:lang w:val="en-US"/>
              </w:rPr>
              <w:t>ZAGREBAČKI HOLDING d.o.o.</w:t>
            </w:r>
          </w:p>
        </w:tc>
        <w:tc>
          <w:tcPr>
            <w:tcW w:type="dxa" w:w="1559"/>
            <w:tcBorders>
              <w:top w:space="0" w:sz="4" w:color="auto" w:val="single"/>
              <w:left w:space="0" w:sz="4" w:color="auto" w:val="single"/>
              <w:bottom w:space="0" w:sz="4" w:color="auto" w:val="single"/>
              <w:right w:space="0" w:sz="4" w:color="auto" w:val="single"/>
            </w:tcBorders>
            <w:hideMark/>
          </w:tcPr>
          <w:p w:rsidRDefault="003B4DA0" w:rsidR="003B4DA0">
            <w:pPr>
              <w:overflowPunct w:val="false"/>
              <w:autoSpaceDE w:val="false"/>
              <w:autoSpaceDN w:val="false"/>
              <w:adjustRightInd w:val="false"/>
              <w:spacing w:lineRule="auto" w:line="276" w:after="0"/>
              <w:rPr>
                <w:rFonts w:cs="Tahoma" w:eastAsia="Calibri" w:hAnsi="Calibri" w:ascii="Calibri"/>
                <w:noProof/>
                <w:sz w:val="19"/>
                <w:szCs w:val="19"/>
                <w:lang w:val="en-US"/>
              </w:rPr>
            </w:pPr>
            <w:r>
              <w:rPr>
                <w:rFonts w:cs="Tahoma" w:eastAsia="Calibri" w:hAnsi="Calibri" w:ascii="Calibri"/>
                <w:noProof/>
                <w:sz w:val="19"/>
                <w:szCs w:val="19"/>
                <w:lang w:val="en-US"/>
              </w:rPr>
              <w:t>85584865987</w:t>
            </w:r>
          </w:p>
        </w:tc>
        <w:tc>
          <w:tcPr>
            <w:tcW w:type="dxa" w:w="1604"/>
            <w:tcBorders>
              <w:top w:space="0" w:sz="4" w:color="auto" w:val="single"/>
              <w:left w:space="0" w:sz="4" w:color="auto" w:val="single"/>
              <w:bottom w:space="0" w:sz="4" w:color="auto" w:val="single"/>
              <w:right w:space="0" w:sz="4" w:color="auto" w:val="single"/>
            </w:tcBorders>
            <w:noWrap/>
            <w:hideMark/>
          </w:tcPr>
          <w:p w:rsidRDefault="003B4DA0" w:rsidR="003B4DA0">
            <w:pPr>
              <w:overflowPunct w:val="false"/>
              <w:autoSpaceDE w:val="false"/>
              <w:autoSpaceDN w:val="false"/>
              <w:adjustRightInd w:val="false"/>
              <w:spacing w:lineRule="auto" w:line="276" w:after="0"/>
              <w:jc w:val="right"/>
              <w:rPr>
                <w:rFonts w:cs="Tahoma" w:eastAsia="Calibri" w:hAnsi="Calibri" w:ascii="Calibri"/>
                <w:noProof/>
                <w:sz w:val="19"/>
                <w:szCs w:val="19"/>
                <w:lang w:val="en-US"/>
              </w:rPr>
            </w:pPr>
            <w:r>
              <w:rPr>
                <w:rFonts w:cs="Tahoma" w:eastAsia="Calibri" w:hAnsi="Calibri" w:ascii="Calibri"/>
                <w:noProof/>
                <w:sz w:val="19"/>
                <w:szCs w:val="19"/>
                <w:lang w:val="en-US"/>
              </w:rPr>
              <w:t>411,51</w:t>
            </w:r>
          </w:p>
        </w:tc>
        <w:tc>
          <w:tcPr>
            <w:tcW w:type="dxa" w:w="1646"/>
            <w:tcBorders>
              <w:top w:space="0" w:sz="4" w:color="auto" w:val="single"/>
              <w:left w:space="0" w:sz="4" w:color="auto" w:val="single"/>
              <w:bottom w:space="0" w:sz="4" w:color="auto" w:val="single"/>
              <w:right w:space="0" w:sz="4" w:color="auto" w:val="single"/>
            </w:tcBorders>
            <w:noWrap/>
            <w:hideMark/>
          </w:tcPr>
          <w:p w:rsidRDefault="003B4DA0" w:rsidR="003B4DA0">
            <w:pPr>
              <w:overflowPunct w:val="false"/>
              <w:autoSpaceDE w:val="false"/>
              <w:autoSpaceDN w:val="false"/>
              <w:adjustRightInd w:val="false"/>
              <w:spacing w:lineRule="auto" w:line="276" w:after="0"/>
              <w:jc w:val="right"/>
              <w:rPr>
                <w:rFonts w:cs="Tahoma" w:eastAsia="Calibri" w:hAnsi="Calibri" w:ascii="Calibri"/>
                <w:noProof/>
                <w:sz w:val="19"/>
                <w:szCs w:val="19"/>
                <w:lang w:val="en-US"/>
              </w:rPr>
            </w:pPr>
            <w:r>
              <w:rPr>
                <w:rFonts w:cs="Tahoma" w:eastAsia="Calibri" w:hAnsi="Calibri" w:ascii="Calibri"/>
                <w:noProof/>
                <w:sz w:val="19"/>
                <w:szCs w:val="19"/>
                <w:lang w:val="en-US"/>
              </w:rPr>
              <w:t>370,35</w:t>
            </w:r>
          </w:p>
        </w:tc>
        <w:tc>
          <w:tcPr>
            <w:tcW w:type="dxa" w:w="1394"/>
            <w:tcBorders>
              <w:top w:space="0" w:sz="4" w:color="auto" w:val="single"/>
              <w:left w:space="0" w:sz="4" w:color="auto" w:val="single"/>
              <w:bottom w:space="0" w:sz="4" w:color="auto" w:val="single"/>
              <w:right w:space="0" w:sz="4" w:color="auto" w:val="single"/>
            </w:tcBorders>
            <w:noWrap/>
            <w:hideMark/>
          </w:tcPr>
          <w:p w:rsidRDefault="003B4DA0" w:rsidR="003B4DA0">
            <w:pPr>
              <w:overflowPunct w:val="false"/>
              <w:autoSpaceDE w:val="false"/>
              <w:autoSpaceDN w:val="false"/>
              <w:adjustRightInd w:val="false"/>
              <w:spacing w:lineRule="auto" w:line="276" w:after="0"/>
              <w:jc w:val="right"/>
              <w:rPr>
                <w:rFonts w:cs="Tahoma" w:eastAsia="Calibri" w:hAnsi="Calibri" w:ascii="Calibri"/>
                <w:noProof/>
                <w:sz w:val="19"/>
                <w:szCs w:val="19"/>
                <w:lang w:val="en-US"/>
              </w:rPr>
            </w:pPr>
            <w:r>
              <w:rPr>
                <w:rFonts w:cs="Tahoma" w:eastAsia="Calibri" w:hAnsi="Calibri" w:ascii="Calibri"/>
                <w:noProof/>
                <w:sz w:val="19"/>
                <w:szCs w:val="19"/>
                <w:lang w:val="en-US"/>
              </w:rPr>
              <w:t>41,15</w:t>
            </w:r>
          </w:p>
        </w:tc>
      </w:tr>
      <w:tr w:rsidTr="003B4DA0" w:rsidR="003B4DA0">
        <w:trPr>
          <w:trHeight w:val="564"/>
        </w:trPr>
        <w:tc>
          <w:tcPr>
            <w:tcW w:type="dxa" w:w="3085"/>
            <w:tcBorders>
              <w:top w:space="0" w:sz="4" w:color="auto" w:val="single"/>
              <w:left w:space="0" w:sz="4" w:color="auto" w:val="single"/>
              <w:bottom w:space="0" w:sz="4" w:color="auto" w:val="single"/>
              <w:right w:space="0" w:sz="4" w:color="auto" w:val="single"/>
            </w:tcBorders>
            <w:hideMark/>
          </w:tcPr>
          <w:p w:rsidRDefault="003B4DA0" w:rsidR="003B4DA0">
            <w:pPr>
              <w:overflowPunct w:val="false"/>
              <w:autoSpaceDE w:val="false"/>
              <w:autoSpaceDN w:val="false"/>
              <w:adjustRightInd w:val="false"/>
              <w:spacing w:lineRule="auto" w:line="276" w:after="0"/>
              <w:rPr>
                <w:rFonts w:cs="Tahoma" w:eastAsia="Calibri" w:hAnsi="Calibri" w:ascii="Calibri"/>
                <w:noProof/>
                <w:sz w:val="19"/>
                <w:szCs w:val="19"/>
                <w:lang w:val="en-US"/>
              </w:rPr>
            </w:pPr>
            <w:r>
              <w:rPr>
                <w:rFonts w:cs="Tahoma" w:eastAsia="Calibri" w:hAnsi="Calibri" w:ascii="Calibri"/>
                <w:noProof/>
                <w:sz w:val="19"/>
                <w:szCs w:val="19"/>
                <w:lang w:val="en-US"/>
              </w:rPr>
              <w:t>GRADSKA PLINARA ZAGREB OPSKRBA  d.o.o.</w:t>
            </w:r>
          </w:p>
        </w:tc>
        <w:tc>
          <w:tcPr>
            <w:tcW w:type="dxa" w:w="1559"/>
            <w:tcBorders>
              <w:top w:space="0" w:sz="4" w:color="auto" w:val="single"/>
              <w:left w:space="0" w:sz="4" w:color="auto" w:val="single"/>
              <w:bottom w:space="0" w:sz="4" w:color="auto" w:val="single"/>
              <w:right w:space="0" w:sz="4" w:color="auto" w:val="single"/>
            </w:tcBorders>
            <w:hideMark/>
          </w:tcPr>
          <w:p w:rsidRDefault="003B4DA0" w:rsidR="003B4DA0">
            <w:pPr>
              <w:overflowPunct w:val="false"/>
              <w:autoSpaceDE w:val="false"/>
              <w:autoSpaceDN w:val="false"/>
              <w:adjustRightInd w:val="false"/>
              <w:spacing w:lineRule="auto" w:line="276" w:after="0"/>
              <w:rPr>
                <w:rFonts w:cs="Tahoma" w:eastAsia="Calibri" w:hAnsi="Calibri" w:ascii="Calibri"/>
                <w:noProof/>
                <w:sz w:val="19"/>
                <w:szCs w:val="19"/>
                <w:lang w:val="en-US"/>
              </w:rPr>
            </w:pPr>
            <w:r>
              <w:rPr>
                <w:rFonts w:cs="Tahoma" w:eastAsia="Calibri" w:hAnsi="Calibri" w:ascii="Calibri"/>
                <w:noProof/>
                <w:sz w:val="19"/>
                <w:szCs w:val="19"/>
                <w:lang w:val="en-US"/>
              </w:rPr>
              <w:t>74364571096</w:t>
            </w:r>
          </w:p>
        </w:tc>
        <w:tc>
          <w:tcPr>
            <w:tcW w:type="dxa" w:w="1604"/>
            <w:tcBorders>
              <w:top w:space="0" w:sz="4" w:color="auto" w:val="single"/>
              <w:left w:space="0" w:sz="4" w:color="auto" w:val="single"/>
              <w:bottom w:space="0" w:sz="4" w:color="auto" w:val="single"/>
              <w:right w:space="0" w:sz="4" w:color="auto" w:val="single"/>
            </w:tcBorders>
            <w:noWrap/>
            <w:hideMark/>
          </w:tcPr>
          <w:p w:rsidRDefault="003B4DA0" w:rsidR="003B4DA0">
            <w:pPr>
              <w:overflowPunct w:val="false"/>
              <w:autoSpaceDE w:val="false"/>
              <w:autoSpaceDN w:val="false"/>
              <w:adjustRightInd w:val="false"/>
              <w:spacing w:lineRule="auto" w:line="276" w:after="0"/>
              <w:jc w:val="right"/>
              <w:rPr>
                <w:rFonts w:cs="Tahoma" w:eastAsia="Calibri" w:hAnsi="Calibri" w:ascii="Calibri"/>
                <w:noProof/>
                <w:sz w:val="19"/>
                <w:szCs w:val="19"/>
                <w:lang w:val="en-US"/>
              </w:rPr>
            </w:pPr>
            <w:r>
              <w:rPr>
                <w:rFonts w:cs="Tahoma" w:eastAsia="Calibri" w:hAnsi="Calibri" w:ascii="Calibri"/>
                <w:noProof/>
                <w:sz w:val="19"/>
                <w:szCs w:val="19"/>
                <w:lang w:val="en-US"/>
              </w:rPr>
              <w:t>11.271,51</w:t>
            </w:r>
          </w:p>
        </w:tc>
        <w:tc>
          <w:tcPr>
            <w:tcW w:type="dxa" w:w="1646"/>
            <w:tcBorders>
              <w:top w:space="0" w:sz="4" w:color="auto" w:val="single"/>
              <w:left w:space="0" w:sz="4" w:color="auto" w:val="single"/>
              <w:bottom w:space="0" w:sz="4" w:color="auto" w:val="single"/>
              <w:right w:space="0" w:sz="4" w:color="auto" w:val="single"/>
            </w:tcBorders>
            <w:noWrap/>
            <w:hideMark/>
          </w:tcPr>
          <w:p w:rsidRDefault="003B4DA0" w:rsidR="003B4DA0">
            <w:pPr>
              <w:overflowPunct w:val="false"/>
              <w:autoSpaceDE w:val="false"/>
              <w:autoSpaceDN w:val="false"/>
              <w:adjustRightInd w:val="false"/>
              <w:spacing w:lineRule="auto" w:line="276" w:after="0"/>
              <w:jc w:val="right"/>
              <w:rPr>
                <w:rFonts w:cs="Tahoma" w:eastAsia="Calibri" w:hAnsi="Calibri" w:ascii="Calibri"/>
                <w:noProof/>
                <w:sz w:val="19"/>
                <w:szCs w:val="19"/>
                <w:lang w:val="en-US"/>
              </w:rPr>
            </w:pPr>
            <w:r>
              <w:rPr>
                <w:rFonts w:cs="Tahoma" w:eastAsia="Calibri" w:hAnsi="Calibri" w:ascii="Calibri"/>
                <w:noProof/>
                <w:sz w:val="19"/>
                <w:szCs w:val="19"/>
                <w:lang w:val="en-US"/>
              </w:rPr>
              <w:t>10.144,36</w:t>
            </w:r>
          </w:p>
        </w:tc>
        <w:tc>
          <w:tcPr>
            <w:tcW w:type="dxa" w:w="1394"/>
            <w:tcBorders>
              <w:top w:space="0" w:sz="4" w:color="auto" w:val="single"/>
              <w:left w:space="0" w:sz="4" w:color="auto" w:val="single"/>
              <w:bottom w:space="0" w:sz="4" w:color="auto" w:val="single"/>
              <w:right w:space="0" w:sz="4" w:color="auto" w:val="single"/>
            </w:tcBorders>
            <w:noWrap/>
            <w:hideMark/>
          </w:tcPr>
          <w:p w:rsidRDefault="003B4DA0" w:rsidR="003B4DA0">
            <w:pPr>
              <w:overflowPunct w:val="false"/>
              <w:autoSpaceDE w:val="false"/>
              <w:autoSpaceDN w:val="false"/>
              <w:adjustRightInd w:val="false"/>
              <w:spacing w:lineRule="auto" w:line="276" w:after="0"/>
              <w:jc w:val="right"/>
              <w:rPr>
                <w:rFonts w:cs="Tahoma" w:eastAsia="Calibri" w:hAnsi="Calibri" w:ascii="Calibri"/>
                <w:noProof/>
                <w:sz w:val="19"/>
                <w:szCs w:val="19"/>
                <w:lang w:val="en-US"/>
              </w:rPr>
            </w:pPr>
            <w:r>
              <w:rPr>
                <w:rFonts w:cs="Tahoma" w:eastAsia="Calibri" w:hAnsi="Calibri" w:ascii="Calibri"/>
                <w:noProof/>
                <w:sz w:val="19"/>
                <w:szCs w:val="19"/>
                <w:lang w:val="en-US"/>
              </w:rPr>
              <w:t>1.127,15</w:t>
            </w:r>
          </w:p>
        </w:tc>
      </w:tr>
      <w:tr w:rsidTr="003B4DA0" w:rsidR="003B4DA0">
        <w:trPr>
          <w:trHeight w:val="300"/>
        </w:trPr>
        <w:tc>
          <w:tcPr>
            <w:tcW w:type="dxa" w:w="3085"/>
            <w:tcBorders>
              <w:top w:space="0" w:sz="4" w:color="auto" w:val="single"/>
              <w:left w:space="0" w:sz="4" w:color="auto" w:val="single"/>
              <w:bottom w:space="0" w:sz="4" w:color="auto" w:val="single"/>
              <w:right w:space="0" w:sz="4" w:color="auto" w:val="single"/>
            </w:tcBorders>
            <w:hideMark/>
          </w:tcPr>
          <w:p w:rsidRDefault="003B4DA0" w:rsidR="003B4DA0">
            <w:pPr>
              <w:overflowPunct w:val="false"/>
              <w:autoSpaceDE w:val="false"/>
              <w:autoSpaceDN w:val="false"/>
              <w:adjustRightInd w:val="false"/>
              <w:spacing w:lineRule="auto" w:line="276" w:after="0"/>
              <w:rPr>
                <w:rFonts w:cs="Tahoma" w:eastAsia="Calibri" w:hAnsi="Calibri" w:ascii="Calibri"/>
                <w:noProof/>
                <w:sz w:val="19"/>
                <w:szCs w:val="19"/>
                <w:lang w:val="en-US"/>
              </w:rPr>
            </w:pPr>
            <w:r>
              <w:rPr>
                <w:rFonts w:cs="Tahoma" w:eastAsia="Calibri" w:hAnsi="Calibri" w:ascii="Calibri"/>
                <w:noProof/>
                <w:sz w:val="19"/>
                <w:szCs w:val="19"/>
                <w:lang w:val="en-US"/>
              </w:rPr>
              <w:t>EVENT MASTER d.o.o.</w:t>
            </w:r>
          </w:p>
        </w:tc>
        <w:tc>
          <w:tcPr>
            <w:tcW w:type="dxa" w:w="1559"/>
            <w:tcBorders>
              <w:top w:space="0" w:sz="4" w:color="auto" w:val="single"/>
              <w:left w:space="0" w:sz="4" w:color="auto" w:val="single"/>
              <w:bottom w:space="0" w:sz="4" w:color="auto" w:val="single"/>
              <w:right w:space="0" w:sz="4" w:color="auto" w:val="single"/>
            </w:tcBorders>
            <w:hideMark/>
          </w:tcPr>
          <w:p w:rsidRDefault="003B4DA0" w:rsidR="003B4DA0">
            <w:pPr>
              <w:overflowPunct w:val="false"/>
              <w:autoSpaceDE w:val="false"/>
              <w:autoSpaceDN w:val="false"/>
              <w:adjustRightInd w:val="false"/>
              <w:spacing w:lineRule="auto" w:line="276" w:after="0"/>
              <w:rPr>
                <w:rFonts w:cs="Tahoma" w:eastAsia="Calibri" w:hAnsi="Calibri" w:ascii="Calibri"/>
                <w:noProof/>
                <w:sz w:val="19"/>
                <w:szCs w:val="19"/>
                <w:lang w:val="en-US"/>
              </w:rPr>
            </w:pPr>
            <w:r>
              <w:rPr>
                <w:rFonts w:cs="Tahoma" w:eastAsia="Calibri" w:hAnsi="Calibri" w:ascii="Calibri"/>
                <w:noProof/>
                <w:sz w:val="19"/>
                <w:szCs w:val="19"/>
                <w:lang w:val="en-US"/>
              </w:rPr>
              <w:t>47792707577</w:t>
            </w:r>
          </w:p>
        </w:tc>
        <w:tc>
          <w:tcPr>
            <w:tcW w:type="dxa" w:w="1604"/>
            <w:tcBorders>
              <w:top w:space="0" w:sz="4" w:color="auto" w:val="single"/>
              <w:left w:space="0" w:sz="4" w:color="auto" w:val="single"/>
              <w:bottom w:space="0" w:sz="4" w:color="auto" w:val="single"/>
              <w:right w:space="0" w:sz="4" w:color="auto" w:val="single"/>
            </w:tcBorders>
            <w:noWrap/>
            <w:hideMark/>
          </w:tcPr>
          <w:p w:rsidRDefault="003B4DA0" w:rsidR="003B4DA0">
            <w:pPr>
              <w:overflowPunct w:val="false"/>
              <w:autoSpaceDE w:val="false"/>
              <w:autoSpaceDN w:val="false"/>
              <w:adjustRightInd w:val="false"/>
              <w:spacing w:lineRule="auto" w:line="276" w:after="0"/>
              <w:jc w:val="right"/>
              <w:rPr>
                <w:rFonts w:cs="Tahoma" w:eastAsia="Calibri" w:hAnsi="Calibri" w:ascii="Calibri"/>
                <w:noProof/>
                <w:sz w:val="19"/>
                <w:szCs w:val="19"/>
                <w:lang w:val="en-US"/>
              </w:rPr>
            </w:pPr>
            <w:r>
              <w:rPr>
                <w:rFonts w:cs="Tahoma" w:eastAsia="Calibri" w:hAnsi="Calibri" w:ascii="Calibri"/>
                <w:noProof/>
                <w:sz w:val="19"/>
                <w:szCs w:val="19"/>
                <w:lang w:val="en-US"/>
              </w:rPr>
              <w:t>28.948,88</w:t>
            </w:r>
          </w:p>
        </w:tc>
        <w:tc>
          <w:tcPr>
            <w:tcW w:type="dxa" w:w="1646"/>
            <w:tcBorders>
              <w:top w:space="0" w:sz="4" w:color="auto" w:val="single"/>
              <w:left w:space="0" w:sz="4" w:color="auto" w:val="single"/>
              <w:bottom w:space="0" w:sz="4" w:color="auto" w:val="single"/>
              <w:right w:space="0" w:sz="4" w:color="auto" w:val="single"/>
            </w:tcBorders>
            <w:noWrap/>
            <w:hideMark/>
          </w:tcPr>
          <w:p w:rsidRDefault="003B4DA0" w:rsidR="003B4DA0">
            <w:pPr>
              <w:overflowPunct w:val="false"/>
              <w:autoSpaceDE w:val="false"/>
              <w:autoSpaceDN w:val="false"/>
              <w:adjustRightInd w:val="false"/>
              <w:spacing w:lineRule="auto" w:line="276" w:after="0"/>
              <w:jc w:val="right"/>
              <w:rPr>
                <w:rFonts w:cs="Tahoma" w:eastAsia="Calibri" w:hAnsi="Calibri" w:ascii="Calibri"/>
                <w:noProof/>
                <w:sz w:val="19"/>
                <w:szCs w:val="19"/>
                <w:lang w:val="en-US"/>
              </w:rPr>
            </w:pPr>
            <w:r>
              <w:rPr>
                <w:rFonts w:cs="Tahoma" w:eastAsia="Calibri" w:hAnsi="Calibri" w:ascii="Calibri"/>
                <w:noProof/>
                <w:sz w:val="19"/>
                <w:szCs w:val="19"/>
                <w:lang w:val="en-US"/>
              </w:rPr>
              <w:t>26.053,99</w:t>
            </w:r>
          </w:p>
        </w:tc>
        <w:tc>
          <w:tcPr>
            <w:tcW w:type="dxa" w:w="1394"/>
            <w:tcBorders>
              <w:top w:space="0" w:sz="4" w:color="auto" w:val="single"/>
              <w:left w:space="0" w:sz="4" w:color="auto" w:val="single"/>
              <w:bottom w:space="0" w:sz="4" w:color="auto" w:val="single"/>
              <w:right w:space="0" w:sz="4" w:color="auto" w:val="single"/>
            </w:tcBorders>
            <w:noWrap/>
            <w:hideMark/>
          </w:tcPr>
          <w:p w:rsidRDefault="003B4DA0" w:rsidR="003B4DA0">
            <w:pPr>
              <w:overflowPunct w:val="false"/>
              <w:autoSpaceDE w:val="false"/>
              <w:autoSpaceDN w:val="false"/>
              <w:adjustRightInd w:val="false"/>
              <w:spacing w:lineRule="auto" w:line="276" w:after="0"/>
              <w:jc w:val="right"/>
              <w:rPr>
                <w:rFonts w:cs="Tahoma" w:eastAsia="Calibri" w:hAnsi="Calibri" w:ascii="Calibri"/>
                <w:noProof/>
                <w:sz w:val="19"/>
                <w:szCs w:val="19"/>
                <w:lang w:val="en-US"/>
              </w:rPr>
            </w:pPr>
            <w:r>
              <w:rPr>
                <w:rFonts w:cs="Tahoma" w:eastAsia="Calibri" w:hAnsi="Calibri" w:ascii="Calibri"/>
                <w:noProof/>
                <w:sz w:val="19"/>
                <w:szCs w:val="19"/>
                <w:lang w:val="en-US"/>
              </w:rPr>
              <w:t>2.894,90</w:t>
            </w:r>
          </w:p>
        </w:tc>
      </w:tr>
      <w:tr w:rsidTr="003B4DA0" w:rsidR="003B4DA0">
        <w:trPr>
          <w:trHeight w:val="300"/>
        </w:trPr>
        <w:tc>
          <w:tcPr>
            <w:tcW w:type="dxa" w:w="3085"/>
            <w:tcBorders>
              <w:top w:space="0" w:sz="4" w:color="auto" w:val="single"/>
              <w:left w:space="0" w:sz="4" w:color="auto" w:val="single"/>
              <w:bottom w:space="0" w:sz="4" w:color="auto" w:val="single"/>
              <w:right w:space="0" w:sz="4" w:color="auto" w:val="single"/>
            </w:tcBorders>
            <w:hideMark/>
          </w:tcPr>
          <w:p w:rsidRDefault="003B4DA0" w:rsidR="003B4DA0">
            <w:pPr>
              <w:spacing w:lineRule="auto" w:line="276" w:after="0"/>
              <w:rPr>
                <w:rFonts w:cs="Tahoma" w:eastAsia="Calibri" w:hAnsi="Calibri" w:ascii="Calibri"/>
                <w:noProof/>
                <w:sz w:val="19"/>
                <w:szCs w:val="19"/>
                <w:lang w:val="en-US"/>
              </w:rPr>
            </w:pPr>
            <w:r>
              <w:rPr>
                <w:rFonts w:cs="Tahoma" w:eastAsia="Calibri" w:hAnsi="Calibri" w:ascii="Calibri"/>
                <w:noProof/>
                <w:sz w:val="19"/>
                <w:szCs w:val="19"/>
                <w:lang w:val="en-US"/>
              </w:rPr>
              <w:t>DOMAĆI RADIO j.d.o.o. kao sljednik stečajnog vjerovnika</w:t>
            </w:r>
          </w:p>
          <w:p w:rsidRDefault="003B4DA0" w:rsidR="003B4DA0">
            <w:pPr>
              <w:overflowPunct w:val="false"/>
              <w:autoSpaceDE w:val="false"/>
              <w:autoSpaceDN w:val="false"/>
              <w:adjustRightInd w:val="false"/>
              <w:spacing w:lineRule="auto" w:line="276" w:after="0"/>
              <w:rPr>
                <w:rFonts w:cs="Tahoma" w:eastAsia="Calibri" w:hAnsi="Calibri" w:ascii="Calibri"/>
                <w:noProof/>
                <w:sz w:val="19"/>
                <w:szCs w:val="19"/>
                <w:lang w:val="en-US"/>
              </w:rPr>
            </w:pPr>
            <w:r>
              <w:rPr>
                <w:rFonts w:cs="Tahoma" w:eastAsia="Calibri" w:hAnsi="Calibri" w:ascii="Calibri"/>
                <w:noProof/>
                <w:sz w:val="19"/>
                <w:szCs w:val="19"/>
                <w:lang w:val="en-US"/>
              </w:rPr>
              <w:t>ROBERT VESELJAK</w:t>
            </w:r>
          </w:p>
        </w:tc>
        <w:tc>
          <w:tcPr>
            <w:tcW w:type="dxa" w:w="1559"/>
            <w:tcBorders>
              <w:top w:space="0" w:sz="4" w:color="auto" w:val="single"/>
              <w:left w:space="0" w:sz="4" w:color="auto" w:val="single"/>
              <w:bottom w:space="0" w:sz="4" w:color="auto" w:val="single"/>
              <w:right w:space="0" w:sz="4" w:color="auto" w:val="single"/>
            </w:tcBorders>
            <w:hideMark/>
          </w:tcPr>
          <w:p w:rsidRDefault="003B4DA0" w:rsidR="003B4DA0">
            <w:pPr>
              <w:overflowPunct w:val="false"/>
              <w:autoSpaceDE w:val="false"/>
              <w:autoSpaceDN w:val="false"/>
              <w:adjustRightInd w:val="false"/>
              <w:spacing w:lineRule="auto" w:line="276" w:after="0"/>
              <w:rPr>
                <w:rFonts w:cs="Tahoma" w:eastAsia="Calibri" w:hAnsi="Calibri" w:ascii="Calibri"/>
                <w:noProof/>
                <w:sz w:val="19"/>
                <w:szCs w:val="19"/>
                <w:lang w:val="en-US"/>
              </w:rPr>
            </w:pPr>
            <w:r>
              <w:rPr>
                <w:rFonts w:cs="Tahoma" w:eastAsia="Calibri" w:hAnsi="Calibri" w:ascii="Calibri"/>
                <w:noProof/>
                <w:sz w:val="19"/>
                <w:szCs w:val="19"/>
                <w:lang w:val="en-US"/>
              </w:rPr>
              <w:t xml:space="preserve"> 31775677082</w:t>
            </w:r>
          </w:p>
        </w:tc>
        <w:tc>
          <w:tcPr>
            <w:tcW w:type="dxa" w:w="1604"/>
            <w:tcBorders>
              <w:top w:space="0" w:sz="4" w:color="auto" w:val="single"/>
              <w:left w:space="0" w:sz="4" w:color="auto" w:val="single"/>
              <w:bottom w:space="0" w:sz="4" w:color="auto" w:val="single"/>
              <w:right w:space="0" w:sz="4" w:color="auto" w:val="single"/>
            </w:tcBorders>
            <w:noWrap/>
            <w:hideMark/>
          </w:tcPr>
          <w:p w:rsidRDefault="003B4DA0" w:rsidR="003B4DA0">
            <w:pPr>
              <w:overflowPunct w:val="false"/>
              <w:autoSpaceDE w:val="false"/>
              <w:autoSpaceDN w:val="false"/>
              <w:adjustRightInd w:val="false"/>
              <w:spacing w:lineRule="auto" w:line="276" w:after="0"/>
              <w:jc w:val="right"/>
              <w:rPr>
                <w:rFonts w:cs="Tahoma" w:eastAsia="Calibri" w:hAnsi="Calibri" w:ascii="Calibri"/>
                <w:noProof/>
                <w:sz w:val="19"/>
                <w:szCs w:val="19"/>
                <w:lang w:val="en-US"/>
              </w:rPr>
            </w:pPr>
            <w:r>
              <w:rPr>
                <w:rFonts w:cs="Tahoma" w:eastAsia="Calibri" w:hAnsi="Calibri" w:ascii="Calibri"/>
                <w:noProof/>
                <w:sz w:val="19"/>
                <w:szCs w:val="19"/>
                <w:lang w:val="en-US"/>
              </w:rPr>
              <w:t>4.052.136,61</w:t>
            </w:r>
          </w:p>
        </w:tc>
        <w:tc>
          <w:tcPr>
            <w:tcW w:type="dxa" w:w="1646"/>
            <w:tcBorders>
              <w:top w:space="0" w:sz="4" w:color="auto" w:val="single"/>
              <w:left w:space="0" w:sz="4" w:color="auto" w:val="single"/>
              <w:bottom w:space="0" w:sz="4" w:color="auto" w:val="single"/>
              <w:right w:space="0" w:sz="4" w:color="auto" w:val="single"/>
            </w:tcBorders>
            <w:noWrap/>
            <w:hideMark/>
          </w:tcPr>
          <w:p w:rsidRDefault="003B4DA0" w:rsidR="003B4DA0">
            <w:pPr>
              <w:overflowPunct w:val="false"/>
              <w:autoSpaceDE w:val="false"/>
              <w:autoSpaceDN w:val="false"/>
              <w:adjustRightInd w:val="false"/>
              <w:spacing w:lineRule="auto" w:line="276" w:after="0"/>
              <w:jc w:val="right"/>
              <w:rPr>
                <w:rFonts w:cs="Tahoma" w:eastAsia="Calibri" w:hAnsi="Calibri" w:ascii="Calibri"/>
                <w:noProof/>
                <w:sz w:val="19"/>
                <w:szCs w:val="19"/>
                <w:lang w:val="en-US"/>
              </w:rPr>
            </w:pPr>
            <w:r>
              <w:rPr>
                <w:rFonts w:cs="Tahoma" w:eastAsia="Calibri" w:hAnsi="Calibri" w:ascii="Calibri"/>
                <w:noProof/>
                <w:sz w:val="19"/>
                <w:szCs w:val="19"/>
                <w:lang w:val="en-US"/>
              </w:rPr>
              <w:t>3.646.922,95</w:t>
            </w:r>
          </w:p>
        </w:tc>
        <w:tc>
          <w:tcPr>
            <w:tcW w:type="dxa" w:w="1394"/>
            <w:tcBorders>
              <w:top w:space="0" w:sz="4" w:color="auto" w:val="single"/>
              <w:left w:space="0" w:sz="4" w:color="auto" w:val="single"/>
              <w:bottom w:space="0" w:sz="4" w:color="auto" w:val="single"/>
              <w:right w:space="0" w:sz="4" w:color="auto" w:val="single"/>
            </w:tcBorders>
            <w:noWrap/>
            <w:hideMark/>
          </w:tcPr>
          <w:p w:rsidRDefault="003B4DA0" w:rsidR="003B4DA0">
            <w:pPr>
              <w:overflowPunct w:val="false"/>
              <w:autoSpaceDE w:val="false"/>
              <w:autoSpaceDN w:val="false"/>
              <w:adjustRightInd w:val="false"/>
              <w:spacing w:lineRule="auto" w:line="276" w:after="0"/>
              <w:jc w:val="right"/>
              <w:rPr>
                <w:rFonts w:cs="Tahoma" w:eastAsia="Calibri" w:hAnsi="Calibri" w:ascii="Calibri"/>
                <w:noProof/>
                <w:sz w:val="19"/>
                <w:szCs w:val="19"/>
                <w:lang w:val="en-US"/>
              </w:rPr>
            </w:pPr>
            <w:r>
              <w:rPr>
                <w:rFonts w:cs="Tahoma" w:eastAsia="Calibri" w:hAnsi="Calibri" w:ascii="Calibri"/>
                <w:noProof/>
                <w:sz w:val="19"/>
                <w:szCs w:val="19"/>
                <w:lang w:val="en-US"/>
              </w:rPr>
              <w:t>405.213,66</w:t>
            </w:r>
          </w:p>
        </w:tc>
      </w:tr>
      <w:tr w:rsidTr="003B4DA0" w:rsidR="003B4DA0">
        <w:trPr>
          <w:trHeight w:val="300"/>
        </w:trPr>
        <w:tc>
          <w:tcPr>
            <w:tcW w:type="dxa" w:w="3085"/>
            <w:tcBorders>
              <w:top w:space="0" w:sz="4" w:color="auto" w:val="single"/>
              <w:left w:space="0" w:sz="4" w:color="auto" w:val="single"/>
              <w:bottom w:space="0" w:sz="4" w:color="auto" w:val="single"/>
              <w:right w:space="0" w:sz="4" w:color="auto" w:val="single"/>
            </w:tcBorders>
            <w:hideMark/>
          </w:tcPr>
          <w:p w:rsidRDefault="003B4DA0" w:rsidR="003B4DA0">
            <w:pPr>
              <w:overflowPunct w:val="false"/>
              <w:autoSpaceDE w:val="false"/>
              <w:autoSpaceDN w:val="false"/>
              <w:adjustRightInd w:val="false"/>
              <w:spacing w:lineRule="auto" w:line="276" w:after="0"/>
              <w:rPr>
                <w:rFonts w:cs="Tahoma" w:eastAsia="Calibri" w:hAnsi="Calibri" w:ascii="Calibri"/>
                <w:noProof/>
                <w:sz w:val="19"/>
                <w:szCs w:val="19"/>
                <w:lang w:val="en-US"/>
              </w:rPr>
            </w:pPr>
            <w:r>
              <w:rPr>
                <w:rFonts w:cs="Tahoma" w:eastAsia="Calibri" w:hAnsi="Calibri" w:ascii="Calibri"/>
                <w:noProof/>
                <w:sz w:val="19"/>
                <w:szCs w:val="19"/>
                <w:lang w:val="en-US"/>
              </w:rPr>
              <w:t>ODAŠILJAČI I VEZE</w:t>
            </w:r>
          </w:p>
        </w:tc>
        <w:tc>
          <w:tcPr>
            <w:tcW w:type="dxa" w:w="1559"/>
            <w:tcBorders>
              <w:top w:space="0" w:sz="4" w:color="auto" w:val="single"/>
              <w:left w:space="0" w:sz="4" w:color="auto" w:val="single"/>
              <w:bottom w:space="0" w:sz="4" w:color="auto" w:val="single"/>
              <w:right w:space="0" w:sz="4" w:color="auto" w:val="single"/>
            </w:tcBorders>
            <w:hideMark/>
          </w:tcPr>
          <w:p w:rsidRDefault="003B4DA0" w:rsidR="003B4DA0">
            <w:pPr>
              <w:overflowPunct w:val="false"/>
              <w:autoSpaceDE w:val="false"/>
              <w:autoSpaceDN w:val="false"/>
              <w:adjustRightInd w:val="false"/>
              <w:spacing w:lineRule="auto" w:line="276" w:after="0"/>
              <w:rPr>
                <w:rFonts w:cs="Tahoma" w:eastAsia="Calibri" w:hAnsi="Calibri" w:ascii="Calibri"/>
                <w:noProof/>
                <w:sz w:val="19"/>
                <w:szCs w:val="19"/>
                <w:lang w:val="en-US"/>
              </w:rPr>
            </w:pPr>
            <w:r>
              <w:rPr>
                <w:rFonts w:cs="Tahoma" w:eastAsia="Calibri" w:hAnsi="Calibri" w:ascii="Calibri"/>
                <w:noProof/>
                <w:sz w:val="19"/>
                <w:szCs w:val="19"/>
                <w:lang w:val="en-US"/>
              </w:rPr>
              <w:t>88150534338</w:t>
            </w:r>
          </w:p>
        </w:tc>
        <w:tc>
          <w:tcPr>
            <w:tcW w:type="dxa" w:w="1604"/>
            <w:tcBorders>
              <w:top w:space="0" w:sz="4" w:color="auto" w:val="single"/>
              <w:left w:space="0" w:sz="4" w:color="auto" w:val="single"/>
              <w:bottom w:space="0" w:sz="4" w:color="auto" w:val="single"/>
              <w:right w:space="0" w:sz="4" w:color="auto" w:val="single"/>
            </w:tcBorders>
            <w:noWrap/>
            <w:hideMark/>
          </w:tcPr>
          <w:p w:rsidRDefault="003B4DA0" w:rsidR="003B4DA0">
            <w:pPr>
              <w:overflowPunct w:val="false"/>
              <w:autoSpaceDE w:val="false"/>
              <w:autoSpaceDN w:val="false"/>
              <w:adjustRightInd w:val="false"/>
              <w:spacing w:lineRule="auto" w:line="276" w:after="0"/>
              <w:jc w:val="right"/>
              <w:rPr>
                <w:rFonts w:cs="Tahoma" w:eastAsia="Calibri" w:hAnsi="Calibri" w:ascii="Calibri"/>
                <w:noProof/>
                <w:sz w:val="19"/>
                <w:szCs w:val="19"/>
                <w:lang w:val="en-US"/>
              </w:rPr>
            </w:pPr>
            <w:r>
              <w:rPr>
                <w:rFonts w:cs="Tahoma" w:eastAsia="Calibri" w:hAnsi="Calibri" w:ascii="Calibri"/>
                <w:noProof/>
                <w:sz w:val="19"/>
                <w:szCs w:val="19"/>
                <w:lang w:val="en-US"/>
              </w:rPr>
              <w:t>570.603,01</w:t>
            </w:r>
          </w:p>
        </w:tc>
        <w:tc>
          <w:tcPr>
            <w:tcW w:type="dxa" w:w="1646"/>
            <w:tcBorders>
              <w:top w:space="0" w:sz="4" w:color="auto" w:val="single"/>
              <w:left w:space="0" w:sz="4" w:color="auto" w:val="single"/>
              <w:bottom w:space="0" w:sz="4" w:color="auto" w:val="single"/>
              <w:right w:space="0" w:sz="4" w:color="auto" w:val="single"/>
            </w:tcBorders>
            <w:noWrap/>
            <w:hideMark/>
          </w:tcPr>
          <w:p w:rsidRDefault="003B4DA0" w:rsidR="003B4DA0">
            <w:pPr>
              <w:overflowPunct w:val="false"/>
              <w:autoSpaceDE w:val="false"/>
              <w:autoSpaceDN w:val="false"/>
              <w:adjustRightInd w:val="false"/>
              <w:spacing w:lineRule="auto" w:line="276" w:after="0"/>
              <w:jc w:val="right"/>
              <w:rPr>
                <w:rFonts w:cs="Tahoma" w:eastAsia="Calibri" w:hAnsi="Calibri" w:ascii="Calibri"/>
                <w:noProof/>
                <w:sz w:val="19"/>
                <w:szCs w:val="19"/>
                <w:lang w:val="en-US"/>
              </w:rPr>
            </w:pPr>
            <w:r>
              <w:rPr>
                <w:rFonts w:cs="Tahoma" w:eastAsia="Calibri" w:hAnsi="Calibri" w:ascii="Calibri"/>
                <w:noProof/>
                <w:sz w:val="19"/>
                <w:szCs w:val="19"/>
                <w:lang w:val="en-US"/>
              </w:rPr>
              <w:t>513.542,70</w:t>
            </w:r>
          </w:p>
        </w:tc>
        <w:tc>
          <w:tcPr>
            <w:tcW w:type="dxa" w:w="1394"/>
            <w:tcBorders>
              <w:top w:space="0" w:sz="4" w:color="auto" w:val="single"/>
              <w:left w:space="0" w:sz="4" w:color="auto" w:val="single"/>
              <w:bottom w:space="0" w:sz="4" w:color="auto" w:val="single"/>
              <w:right w:space="0" w:sz="4" w:color="auto" w:val="single"/>
            </w:tcBorders>
            <w:noWrap/>
            <w:hideMark/>
          </w:tcPr>
          <w:p w:rsidRDefault="003B4DA0" w:rsidR="003B4DA0">
            <w:pPr>
              <w:overflowPunct w:val="false"/>
              <w:autoSpaceDE w:val="false"/>
              <w:autoSpaceDN w:val="false"/>
              <w:adjustRightInd w:val="false"/>
              <w:spacing w:lineRule="auto" w:line="276" w:after="0"/>
              <w:jc w:val="right"/>
              <w:rPr>
                <w:rFonts w:cs="Tahoma" w:eastAsia="Calibri" w:hAnsi="Calibri" w:ascii="Calibri"/>
                <w:noProof/>
                <w:sz w:val="19"/>
                <w:szCs w:val="19"/>
                <w:lang w:val="en-US"/>
              </w:rPr>
            </w:pPr>
            <w:r>
              <w:rPr>
                <w:rFonts w:cs="Tahoma" w:eastAsia="Calibri" w:hAnsi="Calibri" w:ascii="Calibri"/>
                <w:noProof/>
                <w:sz w:val="19"/>
                <w:szCs w:val="19"/>
                <w:lang w:val="en-US"/>
              </w:rPr>
              <w:t>57.060,30</w:t>
            </w:r>
          </w:p>
        </w:tc>
      </w:tr>
      <w:tr w:rsidTr="003B4DA0" w:rsidR="003B4DA0">
        <w:trPr>
          <w:trHeight w:val="300"/>
        </w:trPr>
        <w:tc>
          <w:tcPr>
            <w:tcW w:type="dxa" w:w="3085"/>
            <w:tcBorders>
              <w:top w:space="0" w:sz="4" w:color="auto" w:val="single"/>
              <w:left w:space="0" w:sz="4" w:color="auto" w:val="single"/>
              <w:bottom w:space="0" w:sz="4" w:color="auto" w:val="single"/>
              <w:right w:space="0" w:sz="4" w:color="auto" w:val="single"/>
            </w:tcBorders>
            <w:hideMark/>
          </w:tcPr>
          <w:p w:rsidRDefault="003B4DA0" w:rsidR="003B4DA0">
            <w:pPr>
              <w:overflowPunct w:val="false"/>
              <w:autoSpaceDE w:val="false"/>
              <w:autoSpaceDN w:val="false"/>
              <w:adjustRightInd w:val="false"/>
              <w:spacing w:lineRule="auto" w:line="276" w:after="0"/>
              <w:rPr>
                <w:rFonts w:cs="Tahoma" w:eastAsia="Calibri" w:hAnsi="Calibri" w:ascii="Calibri"/>
                <w:noProof/>
                <w:sz w:val="19"/>
                <w:szCs w:val="19"/>
                <w:lang w:val="en-US"/>
              </w:rPr>
            </w:pPr>
            <w:r>
              <w:rPr>
                <w:rFonts w:cs="Tahoma" w:eastAsia="Calibri" w:hAnsi="Calibri" w:ascii="Calibri"/>
                <w:noProof/>
                <w:sz w:val="19"/>
                <w:szCs w:val="19"/>
                <w:lang w:val="en-US"/>
              </w:rPr>
              <w:t>GLAS SLAVONIJE d.d.</w:t>
            </w:r>
          </w:p>
        </w:tc>
        <w:tc>
          <w:tcPr>
            <w:tcW w:type="dxa" w:w="1559"/>
            <w:tcBorders>
              <w:top w:space="0" w:sz="4" w:color="auto" w:val="single"/>
              <w:left w:space="0" w:sz="4" w:color="auto" w:val="single"/>
              <w:bottom w:space="0" w:sz="4" w:color="auto" w:val="single"/>
              <w:right w:space="0" w:sz="4" w:color="auto" w:val="single"/>
            </w:tcBorders>
            <w:hideMark/>
          </w:tcPr>
          <w:p w:rsidRDefault="003B4DA0" w:rsidR="003B4DA0">
            <w:pPr>
              <w:overflowPunct w:val="false"/>
              <w:autoSpaceDE w:val="false"/>
              <w:autoSpaceDN w:val="false"/>
              <w:adjustRightInd w:val="false"/>
              <w:spacing w:lineRule="auto" w:line="276" w:after="0"/>
              <w:rPr>
                <w:rFonts w:cs="Tahoma" w:eastAsia="Calibri" w:hAnsi="Calibri" w:ascii="Calibri"/>
                <w:noProof/>
                <w:sz w:val="19"/>
                <w:szCs w:val="19"/>
                <w:lang w:val="en-US"/>
              </w:rPr>
            </w:pPr>
            <w:r>
              <w:rPr>
                <w:rFonts w:cs="Tahoma" w:eastAsia="Calibri" w:hAnsi="Calibri" w:ascii="Calibri"/>
                <w:noProof/>
                <w:sz w:val="19"/>
                <w:szCs w:val="19"/>
                <w:lang w:val="en-US"/>
              </w:rPr>
              <w:t>87192735882</w:t>
            </w:r>
          </w:p>
        </w:tc>
        <w:tc>
          <w:tcPr>
            <w:tcW w:type="dxa" w:w="1604"/>
            <w:tcBorders>
              <w:top w:space="0" w:sz="4" w:color="auto" w:val="single"/>
              <w:left w:space="0" w:sz="4" w:color="auto" w:val="single"/>
              <w:bottom w:space="0" w:sz="4" w:color="auto" w:val="single"/>
              <w:right w:space="0" w:sz="4" w:color="auto" w:val="single"/>
            </w:tcBorders>
            <w:noWrap/>
            <w:hideMark/>
          </w:tcPr>
          <w:p w:rsidRDefault="003B4DA0" w:rsidR="003B4DA0">
            <w:pPr>
              <w:overflowPunct w:val="false"/>
              <w:autoSpaceDE w:val="false"/>
              <w:autoSpaceDN w:val="false"/>
              <w:adjustRightInd w:val="false"/>
              <w:spacing w:lineRule="auto" w:line="276" w:after="0"/>
              <w:jc w:val="right"/>
              <w:rPr>
                <w:rFonts w:cs="Tahoma" w:eastAsia="Calibri" w:hAnsi="Calibri" w:ascii="Calibri"/>
                <w:noProof/>
                <w:sz w:val="19"/>
                <w:szCs w:val="19"/>
                <w:lang w:val="en-US"/>
              </w:rPr>
            </w:pPr>
            <w:r>
              <w:rPr>
                <w:rFonts w:cs="Tahoma" w:eastAsia="Calibri" w:hAnsi="Calibri" w:ascii="Calibri"/>
                <w:noProof/>
                <w:sz w:val="19"/>
                <w:szCs w:val="19"/>
                <w:lang w:val="en-US"/>
              </w:rPr>
              <w:t>2.292.557,28</w:t>
            </w:r>
          </w:p>
        </w:tc>
        <w:tc>
          <w:tcPr>
            <w:tcW w:type="dxa" w:w="1646"/>
            <w:tcBorders>
              <w:top w:space="0" w:sz="4" w:color="auto" w:val="single"/>
              <w:left w:space="0" w:sz="4" w:color="auto" w:val="single"/>
              <w:bottom w:space="0" w:sz="4" w:color="auto" w:val="single"/>
              <w:right w:space="0" w:sz="4" w:color="auto" w:val="single"/>
            </w:tcBorders>
            <w:noWrap/>
            <w:hideMark/>
          </w:tcPr>
          <w:p w:rsidRDefault="003B4DA0" w:rsidR="003B4DA0">
            <w:pPr>
              <w:overflowPunct w:val="false"/>
              <w:autoSpaceDE w:val="false"/>
              <w:autoSpaceDN w:val="false"/>
              <w:adjustRightInd w:val="false"/>
              <w:spacing w:lineRule="auto" w:line="276" w:after="0"/>
              <w:jc w:val="right"/>
              <w:rPr>
                <w:rFonts w:cs="Tahoma" w:eastAsia="Calibri" w:hAnsi="Calibri" w:ascii="Calibri"/>
                <w:noProof/>
                <w:sz w:val="19"/>
                <w:szCs w:val="19"/>
                <w:lang w:val="en-US"/>
              </w:rPr>
            </w:pPr>
            <w:r>
              <w:rPr>
                <w:rFonts w:cs="Tahoma" w:eastAsia="Calibri" w:hAnsi="Calibri" w:ascii="Calibri"/>
                <w:noProof/>
                <w:sz w:val="19"/>
                <w:szCs w:val="19"/>
                <w:lang w:val="en-US"/>
              </w:rPr>
              <w:t>2.063.301,55</w:t>
            </w:r>
          </w:p>
        </w:tc>
        <w:tc>
          <w:tcPr>
            <w:tcW w:type="dxa" w:w="1394"/>
            <w:tcBorders>
              <w:top w:space="0" w:sz="4" w:color="auto" w:val="single"/>
              <w:left w:space="0" w:sz="4" w:color="auto" w:val="single"/>
              <w:bottom w:space="0" w:sz="4" w:color="auto" w:val="single"/>
              <w:right w:space="0" w:sz="4" w:color="auto" w:val="single"/>
            </w:tcBorders>
            <w:noWrap/>
            <w:hideMark/>
          </w:tcPr>
          <w:p w:rsidRDefault="003B4DA0" w:rsidR="003B4DA0">
            <w:pPr>
              <w:overflowPunct w:val="false"/>
              <w:autoSpaceDE w:val="false"/>
              <w:autoSpaceDN w:val="false"/>
              <w:adjustRightInd w:val="false"/>
              <w:spacing w:lineRule="auto" w:line="276" w:after="0"/>
              <w:jc w:val="right"/>
              <w:rPr>
                <w:rFonts w:cs="Tahoma" w:eastAsia="Calibri" w:hAnsi="Calibri" w:ascii="Calibri"/>
                <w:noProof/>
                <w:sz w:val="19"/>
                <w:szCs w:val="19"/>
                <w:lang w:val="en-US"/>
              </w:rPr>
            </w:pPr>
            <w:r>
              <w:rPr>
                <w:rFonts w:cs="Tahoma" w:eastAsia="Calibri" w:hAnsi="Calibri" w:ascii="Calibri"/>
                <w:noProof/>
                <w:sz w:val="19"/>
                <w:szCs w:val="19"/>
                <w:lang w:val="en-US"/>
              </w:rPr>
              <w:t>0,00</w:t>
            </w:r>
          </w:p>
        </w:tc>
      </w:tr>
      <w:tr w:rsidTr="003B4DA0" w:rsidR="003B4DA0">
        <w:trPr>
          <w:trHeight w:val="312"/>
        </w:trPr>
        <w:tc>
          <w:tcPr>
            <w:tcW w:type="dxa" w:w="3085"/>
            <w:tcBorders>
              <w:top w:space="0" w:sz="4" w:color="auto" w:val="single"/>
              <w:left w:space="0" w:sz="4" w:color="auto" w:val="single"/>
              <w:bottom w:space="0" w:sz="4" w:color="auto" w:val="single"/>
              <w:right w:space="0" w:sz="4" w:color="auto" w:val="single"/>
            </w:tcBorders>
            <w:shd w:fill="D9D9D9" w:color="auto" w:val="clear"/>
            <w:noWrap/>
            <w:hideMark/>
          </w:tcPr>
          <w:p w:rsidRDefault="003B4DA0" w:rsidR="003B4DA0">
            <w:pPr>
              <w:overflowPunct w:val="false"/>
              <w:autoSpaceDE w:val="false"/>
              <w:autoSpaceDN w:val="false"/>
              <w:adjustRightInd w:val="false"/>
              <w:spacing w:lineRule="auto" w:line="276" w:after="0"/>
              <w:rPr>
                <w:rFonts w:cs="Tahoma" w:eastAsia="Calibri" w:hAnsi="Calibri" w:ascii="Calibri"/>
                <w:noProof/>
                <w:sz w:val="19"/>
                <w:szCs w:val="19"/>
                <w:lang w:val="en-US"/>
              </w:rPr>
            </w:pPr>
            <w:r>
              <w:rPr>
                <w:rFonts w:cs="Tahoma" w:eastAsia="Calibri" w:hAnsi="Calibri" w:ascii="Calibri"/>
                <w:noProof/>
                <w:sz w:val="19"/>
                <w:szCs w:val="19"/>
                <w:lang w:val="en-US"/>
              </w:rPr>
              <w:lastRenderedPageBreak/>
              <w:t xml:space="preserve">UKUPNO                        </w:t>
            </w:r>
          </w:p>
        </w:tc>
        <w:tc>
          <w:tcPr>
            <w:tcW w:type="dxa" w:w="1559"/>
            <w:tcBorders>
              <w:top w:space="0" w:sz="4" w:color="auto" w:val="single"/>
              <w:left w:space="0" w:sz="4" w:color="auto" w:val="single"/>
              <w:bottom w:space="0" w:sz="4" w:color="auto" w:val="single"/>
              <w:right w:space="0" w:sz="4" w:color="auto" w:val="single"/>
            </w:tcBorders>
            <w:shd w:fill="D9D9D9" w:color="auto" w:val="clear"/>
          </w:tcPr>
          <w:p w:rsidRDefault="003B4DA0" w:rsidR="003B4DA0">
            <w:pPr>
              <w:overflowPunct w:val="false"/>
              <w:autoSpaceDE w:val="false"/>
              <w:autoSpaceDN w:val="false"/>
              <w:adjustRightInd w:val="false"/>
              <w:spacing w:lineRule="auto" w:line="276" w:after="0"/>
              <w:rPr>
                <w:rFonts w:cs="Tahoma" w:eastAsia="Calibri" w:hAnsi="Calibri" w:ascii="Calibri"/>
                <w:noProof/>
                <w:sz w:val="19"/>
                <w:szCs w:val="19"/>
                <w:lang w:val="en-US"/>
              </w:rPr>
            </w:pPr>
          </w:p>
        </w:tc>
        <w:tc>
          <w:tcPr>
            <w:tcW w:type="dxa" w:w="1604"/>
            <w:tcBorders>
              <w:top w:space="0" w:sz="4" w:color="auto" w:val="single"/>
              <w:left w:space="0" w:sz="4" w:color="auto" w:val="single"/>
              <w:bottom w:space="0" w:sz="4" w:color="auto" w:val="single"/>
              <w:right w:space="0" w:sz="4" w:color="auto" w:val="single"/>
            </w:tcBorders>
            <w:shd w:fill="D9D9D9" w:color="auto" w:val="clear"/>
            <w:noWrap/>
            <w:hideMark/>
          </w:tcPr>
          <w:p w:rsidRDefault="003B4DA0" w:rsidR="003B4DA0">
            <w:pPr>
              <w:overflowPunct w:val="false"/>
              <w:autoSpaceDE w:val="false"/>
              <w:autoSpaceDN w:val="false"/>
              <w:adjustRightInd w:val="false"/>
              <w:spacing w:lineRule="auto" w:line="276" w:after="0"/>
              <w:jc w:val="right"/>
              <w:rPr>
                <w:rFonts w:cs="Tahoma" w:eastAsia="Calibri" w:hAnsi="Calibri" w:ascii="Calibri"/>
                <w:noProof/>
                <w:sz w:val="19"/>
                <w:szCs w:val="19"/>
                <w:lang w:val="en-US"/>
              </w:rPr>
            </w:pPr>
            <w:r>
              <w:rPr>
                <w:rFonts w:cs="Tahoma" w:eastAsia="Calibri" w:hAnsi="Calibri" w:ascii="Calibri"/>
                <w:noProof/>
                <w:sz w:val="19"/>
                <w:szCs w:val="19"/>
                <w:lang w:val="en-US"/>
              </w:rPr>
              <w:t>8.561.912,40</w:t>
            </w:r>
          </w:p>
        </w:tc>
        <w:tc>
          <w:tcPr>
            <w:tcW w:type="dxa" w:w="1646"/>
            <w:tcBorders>
              <w:top w:space="0" w:sz="4" w:color="auto" w:val="single"/>
              <w:left w:space="0" w:sz="4" w:color="auto" w:val="single"/>
              <w:bottom w:space="0" w:sz="4" w:color="auto" w:val="single"/>
              <w:right w:space="0" w:sz="4" w:color="auto" w:val="single"/>
            </w:tcBorders>
            <w:shd w:fill="D9D9D9" w:color="auto" w:val="clear"/>
            <w:noWrap/>
            <w:hideMark/>
          </w:tcPr>
          <w:p w:rsidRDefault="003B4DA0" w:rsidR="003B4DA0">
            <w:pPr>
              <w:overflowPunct w:val="false"/>
              <w:autoSpaceDE w:val="false"/>
              <w:autoSpaceDN w:val="false"/>
              <w:adjustRightInd w:val="false"/>
              <w:spacing w:lineRule="auto" w:line="276" w:after="0"/>
              <w:jc w:val="right"/>
              <w:rPr>
                <w:rFonts w:cs="Tahoma" w:eastAsia="Calibri" w:hAnsi="Calibri" w:ascii="Calibri"/>
                <w:noProof/>
                <w:sz w:val="19"/>
                <w:szCs w:val="19"/>
                <w:lang w:val="en-US"/>
              </w:rPr>
            </w:pPr>
            <w:r>
              <w:rPr>
                <w:rFonts w:cs="Tahoma" w:eastAsia="Calibri" w:hAnsi="Calibri" w:ascii="Calibri"/>
                <w:noProof/>
                <w:sz w:val="19"/>
                <w:szCs w:val="19"/>
                <w:lang w:val="en-US"/>
              </w:rPr>
              <w:t>7.705.721,10</w:t>
            </w:r>
          </w:p>
        </w:tc>
        <w:tc>
          <w:tcPr>
            <w:tcW w:type="dxa" w:w="1394"/>
            <w:tcBorders>
              <w:top w:space="0" w:sz="4" w:color="auto" w:val="single"/>
              <w:left w:space="0" w:sz="4" w:color="auto" w:val="single"/>
              <w:bottom w:space="0" w:sz="4" w:color="auto" w:val="single"/>
              <w:right w:space="0" w:sz="4" w:color="auto" w:val="single"/>
            </w:tcBorders>
            <w:shd w:fill="D9D9D9" w:color="auto" w:val="clear"/>
            <w:noWrap/>
            <w:hideMark/>
          </w:tcPr>
          <w:p w:rsidRDefault="003B4DA0" w:rsidR="003B4DA0">
            <w:pPr>
              <w:overflowPunct w:val="false"/>
              <w:autoSpaceDE w:val="false"/>
              <w:autoSpaceDN w:val="false"/>
              <w:adjustRightInd w:val="false"/>
              <w:spacing w:lineRule="auto" w:line="276" w:after="0"/>
              <w:jc w:val="right"/>
              <w:rPr>
                <w:rFonts w:cs="Tahoma" w:eastAsia="Calibri" w:hAnsi="Calibri" w:ascii="Calibri"/>
                <w:noProof/>
                <w:sz w:val="19"/>
                <w:szCs w:val="19"/>
                <w:lang w:val="en-US"/>
              </w:rPr>
            </w:pPr>
            <w:r>
              <w:rPr>
                <w:rFonts w:cs="Tahoma" w:eastAsia="Calibri" w:hAnsi="Calibri" w:ascii="Calibri"/>
                <w:noProof/>
                <w:sz w:val="19"/>
                <w:szCs w:val="19"/>
                <w:lang w:val="en-US"/>
              </w:rPr>
              <w:fldChar w:fldCharType="begin"/>
            </w:r>
            <w:r>
              <w:rPr>
                <w:rFonts w:cs="Tahoma" w:eastAsia="Calibri" w:hAnsi="Calibri" w:ascii="Calibri"/>
                <w:noProof/>
                <w:sz w:val="19"/>
                <w:szCs w:val="19"/>
                <w:lang w:val="en-US"/>
              </w:rPr>
              <w:instrText xml:space="preserve"> =SUM(ABOVE) </w:instrText>
            </w:r>
            <w:r>
              <w:rPr>
                <w:rFonts w:cs="Tahoma" w:eastAsia="Calibri" w:hAnsi="Calibri" w:ascii="Calibri"/>
                <w:noProof/>
                <w:sz w:val="19"/>
                <w:szCs w:val="19"/>
                <w:lang w:val="en-US"/>
              </w:rPr>
              <w:fldChar w:fldCharType="separate"/>
            </w:r>
            <w:r>
              <w:rPr>
                <w:rFonts w:cs="Tahoma" w:eastAsia="Calibri" w:hAnsi="Calibri" w:ascii="Calibri"/>
                <w:noProof/>
                <w:sz w:val="19"/>
                <w:szCs w:val="19"/>
                <w:lang w:val="en-US"/>
              </w:rPr>
              <w:t>626.935,46</w:t>
            </w:r>
            <w:r>
              <w:rPr>
                <w:rFonts w:cs="Tahoma" w:eastAsia="Calibri" w:hAnsi="Calibri" w:ascii="Calibri"/>
                <w:noProof/>
                <w:sz w:val="19"/>
                <w:szCs w:val="19"/>
                <w:lang w:val="en-US"/>
              </w:rPr>
              <w:fldChar w:fldCharType="end"/>
            </w:r>
          </w:p>
        </w:tc>
      </w:tr>
      <w:tr w:rsidTr="003B4DA0" w:rsidR="003B4DA0">
        <w:trPr>
          <w:trHeight w:val="312"/>
        </w:trPr>
        <w:tc>
          <w:tcPr>
            <w:tcW w:type="dxa" w:w="3085"/>
            <w:tcBorders>
              <w:top w:space="0" w:sz="4" w:color="auto" w:val="single"/>
              <w:left w:space="0" w:sz="4" w:color="auto" w:val="single"/>
              <w:bottom w:space="0" w:sz="4" w:color="auto" w:val="single"/>
              <w:right w:space="0" w:sz="4" w:color="auto" w:val="single"/>
            </w:tcBorders>
            <w:shd w:fill="D9D9D9" w:color="auto" w:val="clear"/>
            <w:noWrap/>
            <w:hideMark/>
          </w:tcPr>
          <w:p w:rsidRDefault="003B4DA0" w:rsidR="003B4DA0">
            <w:pPr>
              <w:overflowPunct w:val="false"/>
              <w:autoSpaceDE w:val="false"/>
              <w:autoSpaceDN w:val="false"/>
              <w:adjustRightInd w:val="false"/>
              <w:spacing w:lineRule="auto" w:line="276" w:after="0"/>
              <w:rPr>
                <w:rFonts w:cs="Tahoma" w:eastAsia="Calibri" w:hAnsi="Calibri" w:ascii="Calibri"/>
                <w:noProof/>
                <w:sz w:val="19"/>
                <w:szCs w:val="19"/>
                <w:lang w:val="en-US"/>
              </w:rPr>
            </w:pPr>
            <w:r>
              <w:rPr>
                <w:rFonts w:cs="Tahoma" w:eastAsia="Calibri" w:hAnsi="Calibri" w:ascii="Calibri"/>
                <w:noProof/>
                <w:sz w:val="19"/>
                <w:szCs w:val="19"/>
                <w:lang w:val="en-US"/>
              </w:rPr>
              <w:t>GRAD ZAGREB osporeni dio</w:t>
            </w:r>
          </w:p>
        </w:tc>
        <w:tc>
          <w:tcPr>
            <w:tcW w:type="dxa" w:w="1559"/>
            <w:tcBorders>
              <w:top w:space="0" w:sz="4" w:color="auto" w:val="single"/>
              <w:left w:space="0" w:sz="4" w:color="auto" w:val="single"/>
              <w:bottom w:space="0" w:sz="4" w:color="auto" w:val="single"/>
              <w:right w:space="0" w:sz="4" w:color="auto" w:val="single"/>
            </w:tcBorders>
            <w:shd w:fill="D9D9D9" w:color="auto" w:val="clear"/>
          </w:tcPr>
          <w:p w:rsidRDefault="003B4DA0" w:rsidR="003B4DA0">
            <w:pPr>
              <w:overflowPunct w:val="false"/>
              <w:autoSpaceDE w:val="false"/>
              <w:autoSpaceDN w:val="false"/>
              <w:adjustRightInd w:val="false"/>
              <w:spacing w:lineRule="auto" w:line="276" w:after="0"/>
              <w:rPr>
                <w:rFonts w:cs="Tahoma" w:eastAsia="Calibri" w:hAnsi="Calibri" w:ascii="Calibri"/>
                <w:noProof/>
                <w:sz w:val="19"/>
                <w:szCs w:val="19"/>
                <w:lang w:val="en-US"/>
              </w:rPr>
            </w:pPr>
          </w:p>
        </w:tc>
        <w:tc>
          <w:tcPr>
            <w:tcW w:type="dxa" w:w="1604"/>
            <w:tcBorders>
              <w:top w:space="0" w:sz="4" w:color="auto" w:val="single"/>
              <w:left w:space="0" w:sz="4" w:color="auto" w:val="single"/>
              <w:bottom w:space="0" w:sz="4" w:color="auto" w:val="single"/>
              <w:right w:space="0" w:sz="4" w:color="auto" w:val="single"/>
            </w:tcBorders>
            <w:shd w:fill="D9D9D9" w:color="auto" w:val="clear"/>
            <w:noWrap/>
            <w:hideMark/>
          </w:tcPr>
          <w:p w:rsidRDefault="003B4DA0" w:rsidR="003B4DA0">
            <w:pPr>
              <w:overflowPunct w:val="false"/>
              <w:autoSpaceDE w:val="false"/>
              <w:autoSpaceDN w:val="false"/>
              <w:adjustRightInd w:val="false"/>
              <w:spacing w:lineRule="auto" w:line="276" w:after="0"/>
              <w:jc w:val="right"/>
              <w:rPr>
                <w:rFonts w:cs="Tahoma" w:eastAsia="Calibri" w:hAnsi="Calibri" w:ascii="Calibri"/>
                <w:noProof/>
                <w:sz w:val="19"/>
                <w:szCs w:val="19"/>
                <w:lang w:val="en-US"/>
              </w:rPr>
            </w:pPr>
            <w:r>
              <w:rPr>
                <w:rFonts w:eastAsia="Calibri" w:hAnsi="Calibri" w:ascii="Calibri"/>
                <w:iCs/>
                <w:sz w:val="19"/>
                <w:szCs w:val="19"/>
                <w:lang w:val="en-US"/>
              </w:rPr>
              <w:t>47.455,88</w:t>
            </w:r>
          </w:p>
        </w:tc>
        <w:tc>
          <w:tcPr>
            <w:tcW w:type="dxa" w:w="1646"/>
            <w:tcBorders>
              <w:top w:space="0" w:sz="4" w:color="auto" w:val="single"/>
              <w:left w:space="0" w:sz="4" w:color="auto" w:val="single"/>
              <w:bottom w:space="0" w:sz="4" w:color="auto" w:val="single"/>
              <w:right w:space="0" w:sz="4" w:color="auto" w:val="single"/>
            </w:tcBorders>
            <w:shd w:fill="D9D9D9" w:color="auto" w:val="clear"/>
            <w:noWrap/>
            <w:hideMark/>
          </w:tcPr>
          <w:p w:rsidRDefault="003B4DA0" w:rsidR="003B4DA0">
            <w:pPr>
              <w:overflowPunct w:val="false"/>
              <w:autoSpaceDE w:val="false"/>
              <w:autoSpaceDN w:val="false"/>
              <w:adjustRightInd w:val="false"/>
              <w:spacing w:lineRule="auto" w:line="276" w:after="0"/>
              <w:jc w:val="right"/>
              <w:rPr>
                <w:rFonts w:cs="Tahoma" w:eastAsia="Calibri" w:hAnsi="Calibri" w:ascii="Calibri"/>
                <w:noProof/>
                <w:sz w:val="19"/>
                <w:szCs w:val="19"/>
                <w:lang w:val="en-US"/>
              </w:rPr>
            </w:pPr>
            <w:r>
              <w:rPr>
                <w:rFonts w:cs="Tahoma" w:eastAsia="Calibri" w:hAnsi="Calibri" w:ascii="Calibri"/>
                <w:noProof/>
                <w:sz w:val="19"/>
                <w:szCs w:val="19"/>
                <w:lang w:val="en-US"/>
              </w:rPr>
              <w:t>42.710,30</w:t>
            </w:r>
          </w:p>
        </w:tc>
        <w:tc>
          <w:tcPr>
            <w:tcW w:type="dxa" w:w="1394"/>
            <w:tcBorders>
              <w:top w:space="0" w:sz="4" w:color="auto" w:val="single"/>
              <w:left w:space="0" w:sz="4" w:color="auto" w:val="single"/>
              <w:bottom w:space="0" w:sz="4" w:color="auto" w:val="single"/>
              <w:right w:space="0" w:sz="4" w:color="auto" w:val="single"/>
            </w:tcBorders>
            <w:shd w:fill="D9D9D9" w:color="auto" w:val="clear"/>
            <w:noWrap/>
            <w:hideMark/>
          </w:tcPr>
          <w:p w:rsidRDefault="003B4DA0" w:rsidR="003B4DA0">
            <w:pPr>
              <w:overflowPunct w:val="false"/>
              <w:autoSpaceDE w:val="false"/>
              <w:autoSpaceDN w:val="false"/>
              <w:adjustRightInd w:val="false"/>
              <w:spacing w:lineRule="auto" w:line="276" w:after="0"/>
              <w:jc w:val="right"/>
              <w:rPr>
                <w:rFonts w:cs="Tahoma" w:eastAsia="Calibri" w:hAnsi="Calibri" w:ascii="Calibri"/>
                <w:noProof/>
                <w:sz w:val="19"/>
                <w:szCs w:val="19"/>
                <w:lang w:val="en-US"/>
              </w:rPr>
            </w:pPr>
            <w:r>
              <w:rPr>
                <w:rFonts w:cs="Tahoma" w:eastAsia="Calibri" w:hAnsi="Calibri" w:ascii="Calibri"/>
                <w:noProof/>
                <w:sz w:val="19"/>
                <w:szCs w:val="19"/>
                <w:lang w:val="en-US"/>
              </w:rPr>
              <w:t>4.745,58</w:t>
            </w:r>
          </w:p>
        </w:tc>
      </w:tr>
      <w:tr w:rsidTr="003B4DA0" w:rsidR="003B4DA0">
        <w:trPr>
          <w:trHeight w:val="312"/>
        </w:trPr>
        <w:tc>
          <w:tcPr>
            <w:tcW w:type="dxa" w:w="3085"/>
            <w:tcBorders>
              <w:top w:space="0" w:sz="4" w:color="auto" w:val="single"/>
              <w:left w:space="0" w:sz="4" w:color="auto" w:val="single"/>
              <w:bottom w:space="0" w:sz="4" w:color="auto" w:val="single"/>
              <w:right w:space="0" w:sz="4" w:color="auto" w:val="single"/>
            </w:tcBorders>
            <w:shd w:fill="D9D9D9" w:color="auto" w:val="clear"/>
            <w:noWrap/>
            <w:hideMark/>
          </w:tcPr>
          <w:p w:rsidRDefault="003B4DA0" w:rsidR="003B4DA0">
            <w:pPr>
              <w:overflowPunct w:val="false"/>
              <w:autoSpaceDE w:val="false"/>
              <w:autoSpaceDN w:val="false"/>
              <w:adjustRightInd w:val="false"/>
              <w:spacing w:lineRule="auto" w:line="276" w:after="0"/>
              <w:rPr>
                <w:rFonts w:cs="Tahoma" w:eastAsia="Calibri" w:hAnsi="Calibri" w:ascii="Calibri"/>
                <w:noProof/>
                <w:sz w:val="19"/>
                <w:szCs w:val="19"/>
                <w:lang w:val="en-US"/>
              </w:rPr>
            </w:pPr>
            <w:r>
              <w:rPr>
                <w:rFonts w:cs="Tahoma" w:eastAsia="Calibri" w:hAnsi="Calibri" w:ascii="Calibri"/>
                <w:noProof/>
                <w:sz w:val="19"/>
                <w:szCs w:val="19"/>
                <w:lang w:val="en-US"/>
              </w:rPr>
              <w:t xml:space="preserve">SVEUKUPNO </w:t>
            </w:r>
          </w:p>
        </w:tc>
        <w:tc>
          <w:tcPr>
            <w:tcW w:type="dxa" w:w="1559"/>
            <w:tcBorders>
              <w:top w:space="0" w:sz="4" w:color="auto" w:val="single"/>
              <w:left w:space="0" w:sz="4" w:color="auto" w:val="single"/>
              <w:bottom w:space="0" w:sz="4" w:color="auto" w:val="single"/>
              <w:right w:space="0" w:sz="4" w:color="auto" w:val="single"/>
            </w:tcBorders>
            <w:shd w:fill="D9D9D9" w:color="auto" w:val="clear"/>
          </w:tcPr>
          <w:p w:rsidRDefault="003B4DA0" w:rsidR="003B4DA0">
            <w:pPr>
              <w:overflowPunct w:val="false"/>
              <w:autoSpaceDE w:val="false"/>
              <w:autoSpaceDN w:val="false"/>
              <w:adjustRightInd w:val="false"/>
              <w:spacing w:lineRule="auto" w:line="276" w:after="0"/>
              <w:rPr>
                <w:rFonts w:cs="Tahoma" w:eastAsia="Calibri" w:hAnsi="Calibri" w:ascii="Calibri"/>
                <w:noProof/>
                <w:sz w:val="19"/>
                <w:szCs w:val="19"/>
                <w:lang w:val="en-US"/>
              </w:rPr>
            </w:pPr>
          </w:p>
        </w:tc>
        <w:tc>
          <w:tcPr>
            <w:tcW w:type="dxa" w:w="1604"/>
            <w:tcBorders>
              <w:top w:space="0" w:sz="4" w:color="auto" w:val="single"/>
              <w:left w:space="0" w:sz="4" w:color="auto" w:val="single"/>
              <w:bottom w:space="0" w:sz="4" w:color="auto" w:val="single"/>
              <w:right w:space="0" w:sz="4" w:color="auto" w:val="single"/>
            </w:tcBorders>
            <w:shd w:fill="D9D9D9" w:color="auto" w:val="clear"/>
            <w:noWrap/>
            <w:hideMark/>
          </w:tcPr>
          <w:p w:rsidRDefault="003B4DA0" w:rsidR="003B4DA0">
            <w:pPr>
              <w:overflowPunct w:val="false"/>
              <w:autoSpaceDE w:val="false"/>
              <w:autoSpaceDN w:val="false"/>
              <w:adjustRightInd w:val="false"/>
              <w:spacing w:lineRule="auto" w:line="276" w:after="0"/>
              <w:jc w:val="right"/>
              <w:rPr>
                <w:rFonts w:cs="Times New Roman" w:eastAsia="Calibri" w:hAnsi="Calibri" w:ascii="Calibri"/>
                <w:iCs/>
                <w:sz w:val="19"/>
                <w:szCs w:val="19"/>
                <w:lang w:val="en-US"/>
              </w:rPr>
            </w:pPr>
            <w:r>
              <w:rPr>
                <w:rFonts w:eastAsia="Calibri" w:hAnsi="Calibri" w:ascii="Calibri"/>
                <w:iCs/>
                <w:sz w:val="19"/>
                <w:szCs w:val="19"/>
                <w:lang w:val="en-US"/>
              </w:rPr>
              <w:t>8.609.368,28</w:t>
            </w:r>
          </w:p>
        </w:tc>
        <w:tc>
          <w:tcPr>
            <w:tcW w:type="dxa" w:w="1646"/>
            <w:tcBorders>
              <w:top w:space="0" w:sz="4" w:color="auto" w:val="single"/>
              <w:left w:space="0" w:sz="4" w:color="auto" w:val="single"/>
              <w:bottom w:space="0" w:sz="4" w:color="auto" w:val="single"/>
              <w:right w:space="0" w:sz="4" w:color="auto" w:val="single"/>
            </w:tcBorders>
            <w:shd w:fill="D9D9D9" w:color="auto" w:val="clear"/>
            <w:noWrap/>
            <w:hideMark/>
          </w:tcPr>
          <w:p w:rsidRDefault="003B4DA0" w:rsidR="003B4DA0">
            <w:pPr>
              <w:overflowPunct w:val="false"/>
              <w:autoSpaceDE w:val="false"/>
              <w:autoSpaceDN w:val="false"/>
              <w:adjustRightInd w:val="false"/>
              <w:spacing w:lineRule="auto" w:line="276" w:after="0"/>
              <w:jc w:val="right"/>
              <w:rPr>
                <w:rFonts w:cs="Tahoma" w:eastAsia="Calibri" w:hAnsi="Calibri" w:ascii="Calibri"/>
                <w:noProof/>
                <w:sz w:val="19"/>
                <w:szCs w:val="19"/>
                <w:lang w:val="en-US"/>
              </w:rPr>
            </w:pPr>
            <w:r>
              <w:rPr>
                <w:rFonts w:cs="Tahoma" w:eastAsia="Calibri" w:hAnsi="Calibri" w:ascii="Calibri"/>
                <w:noProof/>
                <w:sz w:val="19"/>
                <w:szCs w:val="19"/>
                <w:lang w:val="en-US"/>
              </w:rPr>
              <w:t>7.748.431,40</w:t>
            </w:r>
          </w:p>
        </w:tc>
        <w:tc>
          <w:tcPr>
            <w:tcW w:type="dxa" w:w="1394"/>
            <w:tcBorders>
              <w:top w:space="0" w:sz="4" w:color="auto" w:val="single"/>
              <w:left w:space="0" w:sz="4" w:color="auto" w:val="single"/>
              <w:bottom w:space="0" w:sz="4" w:color="auto" w:val="single"/>
              <w:right w:space="0" w:sz="4" w:color="auto" w:val="single"/>
            </w:tcBorders>
            <w:shd w:fill="D9D9D9" w:color="auto" w:val="clear"/>
            <w:noWrap/>
            <w:hideMark/>
          </w:tcPr>
          <w:p w:rsidRDefault="003B4DA0" w:rsidR="003B4DA0">
            <w:pPr>
              <w:overflowPunct w:val="false"/>
              <w:autoSpaceDE w:val="false"/>
              <w:autoSpaceDN w:val="false"/>
              <w:adjustRightInd w:val="false"/>
              <w:spacing w:lineRule="auto" w:line="276" w:after="0"/>
              <w:jc w:val="right"/>
              <w:rPr>
                <w:rFonts w:cs="Tahoma" w:eastAsia="Calibri" w:hAnsi="Calibri" w:ascii="Calibri"/>
                <w:noProof/>
                <w:sz w:val="19"/>
                <w:szCs w:val="19"/>
                <w:lang w:val="en-US"/>
              </w:rPr>
            </w:pPr>
            <w:r>
              <w:rPr>
                <w:rFonts w:cs="Tahoma" w:eastAsia="Calibri" w:hAnsi="Calibri" w:ascii="Calibri"/>
                <w:noProof/>
                <w:sz w:val="19"/>
                <w:szCs w:val="19"/>
                <w:lang w:val="en-US"/>
              </w:rPr>
              <w:t xml:space="preserve">631.681,04 </w:t>
            </w:r>
          </w:p>
        </w:tc>
      </w:tr>
    </w:tbl>
    <w:p w:rsidRDefault="003B4DA0" w:rsidP="003B4DA0" w:rsidR="003B4DA0">
      <w:pPr>
        <w:spacing w:after="0"/>
        <w:jc w:val="both"/>
        <w:rPr>
          <w:i/>
          <w:sz w:val="21"/>
          <w:szCs w:val="21"/>
        </w:rPr>
      </w:pPr>
    </w:p>
    <w:p w:rsidRDefault="003B4DA0" w:rsidP="003B4DA0" w:rsidR="003B4DA0">
      <w:pPr>
        <w:spacing w:after="0"/>
        <w:ind w:firstLine="851"/>
        <w:jc w:val="both"/>
        <w:rPr>
          <w:szCs w:val="20"/>
          <w:u w:val="single"/>
        </w:rPr>
      </w:pPr>
      <w:r>
        <w:t>II. Utvrđuje se, da se radi potpunog namirenja tražbine stečajnog vjerovnika Glas Slavonije d.d., OIB 87192735882, ostatak njegove utvrđene tražbine u iznosu od 229.255,72 kn prenosi u nenovčano namirenje, tako što se navedeni ostatak iznosa utvrđene tražbine unosi kao pravo tog vjerovnika u temeljni kapital društva stečajnoga dužnika, radi stjecanja poslovnog udjela u društvu stečajnog dužnika u nominalnom iznosu od 229.200,00 kuna, dok se ostatak tražbine u iznosu od 55,72 kn prenosi u rezerve društva stečajnog dužnika, a sve to, u postupku povećanja temeljnog kapitala društva stečajnog dužnika temeljem odluke o povećanju temeljnog kapitala iz točke X.</w:t>
      </w:r>
    </w:p>
    <w:p w:rsidRDefault="003B4DA0" w:rsidP="003B4DA0" w:rsidR="003B4DA0">
      <w:pPr>
        <w:spacing w:after="0"/>
        <w:jc w:val="both"/>
        <w:rPr>
          <w:u w:val="single"/>
        </w:rPr>
      </w:pPr>
    </w:p>
    <w:p w:rsidRDefault="003B4DA0" w:rsidP="003B4DA0" w:rsidR="003B4DA0">
      <w:pPr>
        <w:spacing w:after="0"/>
        <w:ind w:firstLine="851"/>
        <w:jc w:val="both"/>
      </w:pPr>
      <w:r>
        <w:t xml:space="preserve">III. Sljednik stečajnog dužnika dužan je, za slučaj da pravomoćnom presudom bude utvrđena tražbina stečajnog vjerovnika Erste &amp; Steiermarkische bank d.d. isplatiti dio od 10% naknadno utvrđenog iznosa te tražbine tome vjerovniku, a najviše do iznosa od 837.263,91 kn, iz sredstava koja će sljednik stečajnog dužnika pribaviti uplatom novčanog uloga investitora </w:t>
      </w:r>
      <w:r>
        <w:rPr>
          <w:bCs/>
          <w:noProof/>
        </w:rPr>
        <w:t xml:space="preserve">ROBERTA VESELJAKA iz </w:t>
      </w:r>
      <w:r>
        <w:rPr>
          <w:noProof/>
        </w:rPr>
        <w:t>Varaždin</w:t>
      </w:r>
      <w:r>
        <w:rPr>
          <w:bCs/>
          <w:noProof/>
        </w:rPr>
        <w:t>a</w:t>
      </w:r>
      <w:r>
        <w:rPr>
          <w:noProof/>
        </w:rPr>
        <w:t>, A. B. Šimića 1</w:t>
      </w:r>
      <w:r>
        <w:rPr>
          <w:bCs/>
          <w:noProof/>
        </w:rPr>
        <w:t xml:space="preserve">, OIB </w:t>
      </w:r>
      <w:r>
        <w:rPr>
          <w:noProof/>
        </w:rPr>
        <w:t>67946168060</w:t>
      </w:r>
      <w:r>
        <w:rPr>
          <w:bCs/>
          <w:noProof/>
        </w:rPr>
        <w:t xml:space="preserve">, </w:t>
      </w:r>
      <w:r>
        <w:t xml:space="preserve">u povećanje temeljnog kapitala društva do visine od 837.300,00 kn, koji postupak je sljednik stečajnog dužnika dužan dovršiti u roku od 60 dana od dana nastupa pravomoćnosti presude kojom je utvrđena tražbina stečajnog vjerovnika Erste &amp; Steiermarkische bank d.d.  </w:t>
      </w:r>
    </w:p>
    <w:p w:rsidRDefault="003B4DA0" w:rsidP="003B4DA0" w:rsidR="003B4DA0">
      <w:pPr>
        <w:spacing w:after="0"/>
        <w:ind w:firstLine="851" w:left="720"/>
        <w:contextualSpacing/>
        <w:jc w:val="both"/>
      </w:pPr>
    </w:p>
    <w:p w:rsidRDefault="003B4DA0" w:rsidP="003B4DA0" w:rsidR="003B4DA0">
      <w:pPr>
        <w:spacing w:after="0"/>
        <w:ind w:firstLine="851"/>
        <w:jc w:val="both"/>
      </w:pPr>
      <w:r>
        <w:t xml:space="preserve">IV. Utvrđuje se, da investitor </w:t>
      </w:r>
      <w:r>
        <w:rPr>
          <w:bCs/>
          <w:noProof/>
        </w:rPr>
        <w:t xml:space="preserve">ROBERT VESELJAK iz </w:t>
      </w:r>
      <w:r>
        <w:rPr>
          <w:noProof/>
        </w:rPr>
        <w:t>Varaždin</w:t>
      </w:r>
      <w:r>
        <w:rPr>
          <w:bCs/>
          <w:noProof/>
        </w:rPr>
        <w:t>a</w:t>
      </w:r>
      <w:r>
        <w:rPr>
          <w:noProof/>
        </w:rPr>
        <w:t>, A. B. Šimića 1</w:t>
      </w:r>
      <w:r>
        <w:rPr>
          <w:bCs/>
          <w:noProof/>
        </w:rPr>
        <w:t xml:space="preserve">, OIB </w:t>
      </w:r>
      <w:r>
        <w:rPr>
          <w:noProof/>
        </w:rPr>
        <w:t>67946168060</w:t>
      </w:r>
      <w:r>
        <w:rPr>
          <w:bCs/>
          <w:noProof/>
        </w:rPr>
        <w:t xml:space="preserve">, ima obvezu najkasnije 120-tog dana od dana donošenja odluke o povećanju temeljnog kapitala društva stečajnog dužnika na račun stečajnog dužnika uplatiti iznos od 400.000,00 kuna na ime povećanja temeljnog kapitala društva stečajnog dužnika i stjecanja poslovnog udjela u tome društvu u nominalnom iznosu od 400.000,00 kuna, a stečajni upravitelj ima obvezu u  roku od 15 dana od dana pravomoćnosti ovoga Rješenja u svojstvu Skupštine društva stečajnog dužnika donijeti odluku o povećanju temeljnog kapitala društva stečajnog dužnika za iznos od 400.000,00 kuna, novčanim ulogom investitora </w:t>
      </w:r>
      <w:r>
        <w:t xml:space="preserve"> </w:t>
      </w:r>
      <w:r>
        <w:rPr>
          <w:bCs/>
          <w:noProof/>
        </w:rPr>
        <w:t xml:space="preserve">ROBERT VESELJAK iz </w:t>
      </w:r>
      <w:r>
        <w:rPr>
          <w:noProof/>
        </w:rPr>
        <w:t>Varaždin</w:t>
      </w:r>
      <w:r>
        <w:rPr>
          <w:bCs/>
          <w:noProof/>
        </w:rPr>
        <w:t>a</w:t>
      </w:r>
      <w:r>
        <w:rPr>
          <w:noProof/>
        </w:rPr>
        <w:t>, A. B. Šimića 1</w:t>
      </w:r>
      <w:r>
        <w:rPr>
          <w:bCs/>
          <w:noProof/>
        </w:rPr>
        <w:t xml:space="preserve">, OIB </w:t>
      </w:r>
      <w:r>
        <w:rPr>
          <w:noProof/>
        </w:rPr>
        <w:t>67946168060</w:t>
      </w:r>
      <w:r>
        <w:rPr>
          <w:bCs/>
          <w:noProof/>
        </w:rPr>
        <w:t>, koju uplatu taj investitor ima izvršiti u roku od 120 dana od dana donošenja te odluke, a iz kojih sredstava će se izvršiti potpuna isplata dijela tražbina stečajnim vjerovnicima drugog višeg isplatnog reda u iznosima kako su navedeni u toč. I. ovoga Rješenja.</w:t>
      </w:r>
    </w:p>
    <w:p w:rsidRDefault="003B4DA0" w:rsidP="003B4DA0" w:rsidR="003B4DA0">
      <w:pPr>
        <w:spacing w:after="0"/>
        <w:contextualSpacing/>
      </w:pPr>
    </w:p>
    <w:p w:rsidRDefault="003B4DA0" w:rsidP="003B4DA0" w:rsidR="003B4DA0">
      <w:pPr>
        <w:spacing w:after="0"/>
        <w:ind w:firstLine="851"/>
        <w:jc w:val="both"/>
      </w:pPr>
      <w:r>
        <w:t xml:space="preserve">V. Utvrđuje se da investitor </w:t>
      </w:r>
      <w:r>
        <w:rPr>
          <w:bCs/>
          <w:noProof/>
        </w:rPr>
        <w:t xml:space="preserve">ROBERT VESELJAK iz </w:t>
      </w:r>
      <w:r>
        <w:rPr>
          <w:noProof/>
        </w:rPr>
        <w:t>Varaždin</w:t>
      </w:r>
      <w:r>
        <w:rPr>
          <w:bCs/>
          <w:noProof/>
        </w:rPr>
        <w:t>a</w:t>
      </w:r>
      <w:r>
        <w:rPr>
          <w:noProof/>
        </w:rPr>
        <w:t>, A. B. Šimića 1</w:t>
      </w:r>
      <w:r>
        <w:rPr>
          <w:bCs/>
          <w:noProof/>
        </w:rPr>
        <w:t xml:space="preserve">, OIB </w:t>
      </w:r>
      <w:r>
        <w:rPr>
          <w:noProof/>
        </w:rPr>
        <w:t>67946168060</w:t>
      </w:r>
      <w:r>
        <w:rPr>
          <w:bCs/>
          <w:noProof/>
        </w:rPr>
        <w:t>,</w:t>
      </w:r>
      <w:r>
        <w:t xml:space="preserve">  najkasnije 60-tog dana od dana pravomoćnosti presude kojom je utvrđeno postojanje tražbine stečajnog vjerovnika Erste &amp; Steiermarkische bank d.d. najviše do iznosa od 8.372.639,18 kn, ima obvezu izvršenja uplate uloga u temeljni kapital društva sljednika stečajnog dužnika u novcu, do iznosa od 837.300,00 kn.</w:t>
      </w:r>
    </w:p>
    <w:p w:rsidRDefault="003B4DA0" w:rsidP="003B4DA0" w:rsidR="003B4DA0">
      <w:pPr>
        <w:spacing w:after="0"/>
        <w:jc w:val="both"/>
      </w:pPr>
    </w:p>
    <w:p w:rsidRDefault="003B4DA0" w:rsidP="003B4DA0" w:rsidR="003B4DA0">
      <w:pPr>
        <w:spacing w:after="0"/>
        <w:ind w:firstLine="851"/>
        <w:jc w:val="both"/>
      </w:pPr>
      <w:r>
        <w:t>VI. Utvrđuje se, da se stečajni vjerovnici drugog višeg isplatnog reda s utvrđenim tražbinama danom primitka isplate novčanog namirenja u pojedinačnim iznosima iz točke I. smatraju potpuno namirenima, a stečajni dužnik je oslobođen obveza prema tim stečajnim vjerovnicima.</w:t>
      </w:r>
    </w:p>
    <w:p w:rsidRDefault="003B4DA0" w:rsidP="003B4DA0" w:rsidR="003B4DA0">
      <w:pPr>
        <w:spacing w:after="0"/>
        <w:contextualSpacing/>
      </w:pPr>
    </w:p>
    <w:p w:rsidRDefault="003B4DA0" w:rsidP="003B4DA0" w:rsidR="003B4DA0">
      <w:pPr>
        <w:spacing w:after="0"/>
        <w:ind w:firstLine="851"/>
        <w:jc w:val="both"/>
      </w:pPr>
      <w:r>
        <w:t xml:space="preserve">VII. Utvrđuje se, da se s danom upisa povećanja temeljnog kapitala društva stečajnog dužnika unosom prava - ostatka tražbina prema stečajnom dužniku u skladu s točkom X. u </w:t>
      </w:r>
      <w:r>
        <w:lastRenderedPageBreak/>
        <w:t>sudski registar stečajni vjerovnik GLAS SLAVONIJE d.d. smatra potpuno namirenim, a stečajni dužnik je oslobođen obveze prema tom stečajnom vjerovniku.</w:t>
      </w:r>
    </w:p>
    <w:p w:rsidRDefault="003B4DA0" w:rsidP="003B4DA0" w:rsidR="003B4DA0">
      <w:pPr>
        <w:spacing w:after="0"/>
        <w:ind w:firstLine="851"/>
        <w:jc w:val="both"/>
      </w:pPr>
      <w:r>
        <w:t>VIII. Stečajni upravitelj će u roku od 15 dana od dana pravomoćnosti rješenja o potvrdi Stečajnog plana donijeti odluku o spajanju poslovnih udjela postojećih članova društva, temeljem koje će ti članovi imati u društvu svaki po jedan poslovni udjel, i to član društva „nasljednička zajednica iza pok. Ivana Butkovića“ u nominalnom iznosu od 1.008.109,25 kuna, član društva Erste &amp; Steiermarkische bank d.d. u nominalnom iznosu od 23.242,75 kuna i član društva Moslavka d.o.o. Bjelovar u nominalnom iznosu od 12.276,00 kuna.</w:t>
      </w:r>
    </w:p>
    <w:p w:rsidRDefault="003B4DA0" w:rsidP="003B4DA0" w:rsidR="003B4DA0">
      <w:pPr>
        <w:spacing w:after="0"/>
        <w:jc w:val="both"/>
      </w:pPr>
    </w:p>
    <w:p w:rsidRDefault="003B4DA0" w:rsidP="003B4DA0" w:rsidR="003B4DA0">
      <w:pPr>
        <w:spacing w:after="0"/>
        <w:ind w:firstLine="851"/>
        <w:jc w:val="both"/>
      </w:pPr>
      <w:r>
        <w:t xml:space="preserve">IX. Stečajni upravitelj će, u svojstvu Skupštine društva stečajnog dužnika, radi provođenja sanacije stečajnog dužnika, u roku od 60 dana od dana pravomoćnosti rješenja o potvrdi Stečajnog plana, donijeti Odluku o smanjenju temeljnog kapitala društva pojednostavljenim smanjenjem, radi pokrića gubitaka stečajnog dužnika, sa </w:t>
      </w:r>
      <w:r>
        <w:rPr>
          <w:rFonts w:cs="Tahoma"/>
          <w:bCs/>
          <w:iCs/>
        </w:rPr>
        <w:t>1.115.628,00 kuna za 1.090.628,00 kuna na novi iznos temeljnoga kapitala u iznosu od 25.000,00 kuna, i to smanjenjem nominalnih iznosa poslovnih udjela članova društva razmjerno njihovom udjelu u temeljnom kapitalu društva stečajnog dužnika. Temeljem navedene Odluke, iznos smanjenja temeljnog kapitala društva stečajnog dužnika u iznosu od 1.090.628,00 kuna iskoristit će se za pokriće prenesenih gubitaka stečajnog dužnika u istom iznosu.</w:t>
      </w:r>
    </w:p>
    <w:p w:rsidRDefault="003B4DA0" w:rsidP="003B4DA0" w:rsidR="003B4DA0">
      <w:pPr>
        <w:spacing w:after="0"/>
        <w:contextualSpacing/>
      </w:pPr>
    </w:p>
    <w:p w:rsidRDefault="003B4DA0" w:rsidP="003B4DA0" w:rsidR="003B4DA0">
      <w:pPr>
        <w:spacing w:after="0"/>
        <w:ind w:firstLine="851"/>
        <w:jc w:val="both"/>
      </w:pPr>
      <w:r>
        <w:t xml:space="preserve">X. Stečajni upravitelj će, u svojstvu skupštine društva stečajnog dužnika, radi provođenja nenovčanog namirenja stečajnih vjerovnika drugog višeg isplatnog reda Glas Slavonije d.d. donijeti Odluku o povećanju temeljnog kapitala unosom prava – tražbina u temeljni kapital društva, tako da će se temeljni kapital društva povećati s nominalnog iznosa od </w:t>
      </w:r>
      <w:r>
        <w:rPr>
          <w:rFonts w:cs="Tahoma"/>
          <w:bCs/>
          <w:iCs/>
        </w:rPr>
        <w:t xml:space="preserve">25.000,00 kuna za </w:t>
      </w:r>
      <w:r>
        <w:t xml:space="preserve">229.200,00 </w:t>
      </w:r>
      <w:r>
        <w:rPr>
          <w:rFonts w:cs="Tahoma"/>
          <w:bCs/>
          <w:iCs/>
        </w:rPr>
        <w:t>kuna na novi nominalni iznos temeljnoga kapitala od  254.200,00 kuna, te će stečajni vjerovnik Glas Slavonije d.d. steći u društvu jedan poslovni udjel u nominalnom iznosu od 229.200,00 kuna.</w:t>
      </w:r>
    </w:p>
    <w:p w:rsidRDefault="003B4DA0" w:rsidP="003B4DA0" w:rsidR="003B4DA0">
      <w:pPr>
        <w:spacing w:after="0"/>
        <w:contextualSpacing/>
      </w:pPr>
    </w:p>
    <w:p w:rsidRDefault="003B4DA0" w:rsidP="003B4DA0" w:rsidR="003B4DA0">
      <w:pPr>
        <w:spacing w:after="0"/>
        <w:ind w:firstLine="851"/>
        <w:jc w:val="both"/>
      </w:pPr>
      <w:r>
        <w:t>XI. Utvrđuje se, da se vjerovnicima nižih isplatnih redova neće ništa isplatiti, jer nisu pozvani da prijave svoje tražbine.</w:t>
      </w:r>
    </w:p>
    <w:p w:rsidRDefault="003B4DA0" w:rsidP="003B4DA0" w:rsidR="003B4DA0">
      <w:pPr>
        <w:spacing w:after="0"/>
        <w:contextualSpacing/>
      </w:pPr>
    </w:p>
    <w:p w:rsidRDefault="003B4DA0" w:rsidP="003B4DA0" w:rsidR="003B4DA0">
      <w:pPr>
        <w:spacing w:after="0"/>
        <w:ind w:firstLine="851"/>
        <w:jc w:val="both"/>
      </w:pPr>
      <w:r>
        <w:t>XII. Utvrđuje se, da sveukupna imovina stečajnog dužnika ostaje stečajnome dužniku, radi nastavka poslovanja na osnovama utvrđenima Pripremnom i Provedbenom osnovom izmijenjenog Stečajnoga plana.</w:t>
      </w:r>
    </w:p>
    <w:p w:rsidRDefault="003B4DA0" w:rsidP="003B4DA0" w:rsidR="003B4DA0">
      <w:pPr>
        <w:spacing w:after="0"/>
        <w:jc w:val="both"/>
      </w:pPr>
    </w:p>
    <w:p w:rsidRDefault="003B4DA0" w:rsidP="003B4DA0" w:rsidR="003B4DA0">
      <w:pPr>
        <w:spacing w:after="0"/>
        <w:ind w:firstLine="851"/>
        <w:jc w:val="both"/>
      </w:pPr>
      <w:r>
        <w:t>XIII. Stečajni upravitelj dužan je namiriti nesporne dospjele obveze stečajne mase najkasnije do dana zaključenja stečajnog postupka, a za sporne obveze dužan je pružiti odgovarajuće osiguranje.“</w:t>
      </w:r>
    </w:p>
    <w:p w:rsidRDefault="003B4DA0" w:rsidP="003B4DA0" w:rsidR="003B4DA0">
      <w:pPr>
        <w:spacing w:after="0"/>
        <w:jc w:val="both"/>
      </w:pPr>
    </w:p>
    <w:p w:rsidRDefault="003B4DA0" w:rsidP="003B4DA0" w:rsidR="003B4DA0">
      <w:pPr>
        <w:spacing w:after="0"/>
        <w:ind w:firstLine="851"/>
        <w:jc w:val="both"/>
      </w:pPr>
      <w:r>
        <w:t>2. Ovo rješenje o potvrdi izmijenjenog Stečajnog plana djeluje prema svim sudionicima od njegove pravomoćnosti. Pravni učinci ovog rješenja protežu se na sve stečajne vjerovnike te rješenje nadomješta sve nedostajuće izjave i očitovanja vjerovnika koji su glasovali protiv Stečajnog plana ili glasovanju nisu pristupili.</w:t>
      </w:r>
    </w:p>
    <w:p w:rsidRDefault="003B4DA0" w:rsidP="003B4DA0" w:rsidR="003B4DA0">
      <w:pPr>
        <w:spacing w:after="0"/>
        <w:jc w:val="both"/>
      </w:pPr>
    </w:p>
    <w:p w:rsidRDefault="003B4DA0" w:rsidP="003B4DA0" w:rsidR="003B4DA0">
      <w:pPr>
        <w:spacing w:after="0"/>
        <w:ind w:firstLine="851"/>
        <w:jc w:val="both"/>
      </w:pPr>
      <w:r>
        <w:t xml:space="preserve">3. Određuje se nadzor stečajnog upravitelja Nenada Homara iz Koprivnice, Dravska 1, </w:t>
      </w:r>
      <w:r>
        <w:rPr>
          <w:noProof/>
        </w:rPr>
        <w:t xml:space="preserve">OIB: 11719729882, </w:t>
      </w:r>
      <w:r>
        <w:t xml:space="preserve">nad provedbom Stečajnog plana, u dijelu koji se odnosi na namirenje tražbina stečajnih vjerovnika. </w:t>
      </w:r>
    </w:p>
    <w:p w:rsidRDefault="003B4DA0" w:rsidP="003B4DA0" w:rsidR="003B4DA0">
      <w:pPr>
        <w:spacing w:after="0"/>
        <w:jc w:val="both"/>
      </w:pPr>
    </w:p>
    <w:p w:rsidRDefault="003B4DA0" w:rsidP="003B4DA0" w:rsidR="003B4DA0">
      <w:pPr>
        <w:spacing w:after="0"/>
        <w:ind w:firstLine="851"/>
        <w:jc w:val="both"/>
      </w:pPr>
      <w:r>
        <w:t>Tijekom trajanja nadzora stečajni upravitelj dužan je sud jednom godišnje izvijestiti o ispunjenju Stečajnog plana te daljnjim izgledima za njegovo ispunjenje.</w:t>
      </w:r>
    </w:p>
    <w:p w:rsidRDefault="003B4DA0" w:rsidP="003B4DA0" w:rsidR="003B4DA0">
      <w:pPr>
        <w:spacing w:after="0"/>
        <w:ind w:firstLine="851"/>
        <w:jc w:val="both"/>
      </w:pPr>
      <w:r>
        <w:lastRenderedPageBreak/>
        <w:t>Utvrdi li stečajni upravitelj da se tražbine čije se ispunjenje nadzire ne ispunjavaju ili se ne mogu ispuniti, dužan je o tome bez odgode podnijeti prijavu sudu i izvijestiti sve vjerovnike kojima prema ovom rješenju pripadaju zahtjevi protiv dužnika.</w:t>
      </w:r>
    </w:p>
    <w:p w:rsidRDefault="003B4DA0" w:rsidP="003B4DA0" w:rsidR="003B4DA0">
      <w:pPr>
        <w:spacing w:after="0"/>
        <w:ind w:firstLine="851"/>
        <w:jc w:val="both"/>
      </w:pPr>
      <w:r>
        <w:t xml:space="preserve">Sud će donijeti rješenje o ukidanju nadzora ako su tražbine čije se ispunjenje nadzire ispunjene ili je njihovo ispunjenje osigurano. </w:t>
      </w:r>
    </w:p>
    <w:p w:rsidRDefault="003B4DA0" w:rsidP="003B4DA0" w:rsidR="003B4DA0">
      <w:pPr>
        <w:spacing w:after="0"/>
        <w:ind w:firstLine="851"/>
        <w:jc w:val="both"/>
      </w:pPr>
      <w:r>
        <w:t xml:space="preserve">Troškove nadzora dužan je naknaditi dužnik. </w:t>
      </w:r>
    </w:p>
    <w:p w:rsidRDefault="003B4DA0" w:rsidP="003B4DA0" w:rsidR="003B4DA0">
      <w:pPr>
        <w:spacing w:after="0"/>
        <w:jc w:val="both"/>
      </w:pPr>
    </w:p>
    <w:p w:rsidRDefault="003B4DA0" w:rsidP="003B4DA0" w:rsidR="003B4DA0">
      <w:pPr>
        <w:spacing w:after="0"/>
        <w:ind w:firstLine="851"/>
        <w:jc w:val="both"/>
      </w:pPr>
      <w:r>
        <w:t>4. Ovo rješenje ima snagu ovršne isprave.</w:t>
      </w:r>
    </w:p>
    <w:p w:rsidRDefault="003B4DA0" w:rsidP="003B4DA0" w:rsidR="003B4DA0">
      <w:pPr>
        <w:spacing w:after="0"/>
        <w:jc w:val="both"/>
      </w:pPr>
    </w:p>
    <w:p w:rsidRDefault="003B4DA0" w:rsidP="003B4DA0" w:rsidR="003B4DA0">
      <w:pPr>
        <w:spacing w:after="0"/>
        <w:ind w:firstLine="851"/>
        <w:jc w:val="both"/>
      </w:pPr>
      <w:r>
        <w:t>5. Ovo rješenje objaviti će se na mrežnoj stranici e-oglasna ploča suda i upisati u sudski registar ovoga suda.“</w:t>
      </w:r>
    </w:p>
    <w:p w:rsidRDefault="003B4DA0" w:rsidP="003B4DA0" w:rsidR="003B4DA0">
      <w:pPr>
        <w:spacing w:after="0"/>
        <w:rPr>
          <w:lang w:val="en-GB"/>
        </w:rPr>
      </w:pPr>
    </w:p>
    <w:p w:rsidRDefault="003B4DA0" w:rsidP="003B4DA0" w:rsidR="003B4DA0">
      <w:pPr>
        <w:pStyle w:val="Bezproreda"/>
        <w:jc w:val="both"/>
      </w:pPr>
      <w:r>
        <w:tab/>
        <w:t>Protiv ovog rješenja žale se dva stečajna vjerovnika Erste &amp; Steirmarkische bank d.d. Rijeka te Agencija za elektroničke medije. Erste Steirmarkische bank d.d. žalbu podnosi zbog bitne povrede odredaba parničnog postupka, a Agencija za elektroničke medije zbog bitne povrede odredaba parničnog postupka i zbog pogrešne primjene materijalnog prava. Oba žalitelja predlažu pobijano rješenje preinačiti podredno ukinuti.</w:t>
      </w:r>
    </w:p>
    <w:p w:rsidRDefault="003B4DA0" w:rsidP="003B4DA0" w:rsidR="003B4DA0">
      <w:pPr>
        <w:pStyle w:val="Bezproreda"/>
        <w:jc w:val="both"/>
      </w:pPr>
    </w:p>
    <w:p w:rsidRDefault="003B4DA0" w:rsidP="003B4DA0" w:rsidR="003B4DA0">
      <w:pPr>
        <w:pStyle w:val="Bezproreda"/>
        <w:jc w:val="both"/>
      </w:pPr>
      <w:r>
        <w:tab/>
        <w:t>Stečajni dužnik u odgovorima na žalbe poriče žalbene navode, te predlaže žalbe stečajnih vjerovnika odbiti.</w:t>
      </w:r>
    </w:p>
    <w:p w:rsidRDefault="003B4DA0" w:rsidP="003B4DA0" w:rsidR="003B4DA0">
      <w:pPr>
        <w:pStyle w:val="Bezproreda"/>
        <w:jc w:val="both"/>
      </w:pPr>
    </w:p>
    <w:p w:rsidRDefault="003B4DA0" w:rsidP="003B4DA0" w:rsidR="003B4DA0">
      <w:pPr>
        <w:pStyle w:val="Bezproreda"/>
        <w:jc w:val="both"/>
      </w:pPr>
      <w:r>
        <w:tab/>
        <w:t>Žalbe su osnovane.</w:t>
      </w:r>
    </w:p>
    <w:p w:rsidRDefault="003B4DA0" w:rsidP="003B4DA0" w:rsidR="003B4DA0">
      <w:pPr>
        <w:pStyle w:val="Bezproreda"/>
        <w:jc w:val="both"/>
      </w:pPr>
    </w:p>
    <w:p w:rsidRDefault="003B4DA0" w:rsidP="003B4DA0" w:rsidR="003B4DA0">
      <w:pPr>
        <w:pStyle w:val="Bezproreda"/>
        <w:jc w:val="both"/>
      </w:pPr>
      <w:r>
        <w:tab/>
        <w:t>Iz sadržaja pobijanog rješenja proizlazi da je stečajni upravitelj Nenad Homar, sukladno odluci vjerovnika donijetoj na izvještajnom ročištu 27. veljače 2018. izradio stečajni plan koji je zajedno s prilozima (list 418. do 462. spisa) predao sudu 28. svibnja 2018., a koji je izmijenjen nakon ročišta za raspravljanje o stečajnom planu od 29. lipnja 2018. Na novom ročištu za raspravljanje o glasovanju o izmijenjenom stečajnom planu od 13. rujna 2018. stečajni upravitelj usmeno je iznio predloženi izmijenjeni stečajni plan, a nitko od nazočnih vjerovnika nije imao pitanja i prigovora. Prvostupanjski sud navodi da je glasovanje o stečajnom planu provedeno sukladno odredbi članka 329. Stečajnog zakona („Narodne novine“ broj 71/15 i 104/17; dalje: SZ) i svaka skupina vjerovnika odvojeno je glasovala o stečajnom planu. Sud je utvrdio da u skupini 1 nije postignuta potrebna većina, dok je u skupini 2 i 3 potrebna većina postignuta. Sud prvog stupnja je primjenom odredbe članka 331. SZ-a, utvrdio da vjerovnik Steirmarkische bank d.d., koji je u skupini 1 glasovao protiv prihvaćenja izmijenjenog stečajnog plana, nije u lošijem položaju od onog u kojem bi bio da stečajnog plana nema. Ocjena je suda prvog stupnja kako je većina glasačkih skupina (dvije od tri skupine) prihvatila izmijenjeni stečajni plan potrebnom većinom, pa je ispunjen uvjet iz članka 331. stavka 1. SZ-a, kao i da je skupina 1 prihvatila izmijenjeni stečajni plan, pa je postignuta potrebna većina iz odredbe članka 330. stavka 1. SZ-a, a zbog čega se smatra da su vjerovnici prihvatili izmijenjeni stečajni plan.</w:t>
      </w:r>
    </w:p>
    <w:p w:rsidRDefault="003B4DA0" w:rsidP="003B4DA0" w:rsidR="003B4DA0">
      <w:pPr>
        <w:pStyle w:val="Bezproreda"/>
        <w:jc w:val="both"/>
      </w:pPr>
    </w:p>
    <w:p w:rsidRDefault="003B4DA0" w:rsidP="003B4DA0" w:rsidR="003B4DA0">
      <w:pPr>
        <w:pStyle w:val="Bezproreda"/>
        <w:jc w:val="both"/>
      </w:pPr>
      <w:r>
        <w:tab/>
        <w:t>Iz stanja spisa proizlazi da je prijedlog za otvaranje stečajnog postupka podnio sam dužnik 11. listopada 2017.; da je rješenjem poslovni broj St-800/2017 od 15. studenog 2017. otvoren stečajni postupak nad dužnikom; da je na skupštini vjerovnika 27. veljače 2018. donijeta odluka kojom se nalaže stečajnom upravitelju izraditi stečajni plan u roku od 90 dana; da je 29. lipnja 2018. održano ročište radi rasprave o stečajnom planu; da je 13. rujna 2018. održano novo ročište o glasovanju o stečajnom planu i da je 27. rujna 2018. održano ročište radi objave rješenja o potvrdi stečajnog plana.</w:t>
      </w:r>
    </w:p>
    <w:p w:rsidRDefault="003B4DA0" w:rsidP="003B4DA0" w:rsidR="003B4DA0">
      <w:pPr>
        <w:pStyle w:val="Bezproreda"/>
        <w:jc w:val="both"/>
      </w:pPr>
    </w:p>
    <w:p w:rsidRDefault="003B4DA0" w:rsidP="003B4DA0" w:rsidR="003B4DA0">
      <w:pPr>
        <w:pStyle w:val="Bezproreda"/>
        <w:jc w:val="both"/>
      </w:pPr>
      <w:r>
        <w:lastRenderedPageBreak/>
        <w:tab/>
        <w:t>Iz stečajnog plana stečajnog upravitelja od 28. svibnja 2018. proizlazi da pripremna osnova sadrži između ostalog: nalog stečajnog upravitelja da je dužnik nastavio s poslovanjem što omogućilo i održavanje na snazi važeće radijske koncesije temeljnog uvjeta za obavljanje djelatnosti; da je stečajni dužnik nositelj radijske koncesije važeće do 31. svibnja 2019. s time da je ugovorom o koncesiji određen rok od najmanje 6 mjeseci prije isteka koncesije za podnošenje zahtjeva za obnovu koncesije, a koji rok istječe 30. studenog 2018. U ovom stečajnom planu se navodi „za slučaj ovaj stečajni plan bude potvrđen prije isteka roka za podnošenje zahtjeva za obnovu koncesije to će omogućiti obnavljanje radijske koncesije i time nastavak poslovanja stečajnog dužnika. U suprotnom, neće biti moguć nastavak poslovanja stečajnog dužnika.“ Cilj stečajnog plana je sanacija stečajnog dužnika radi omogućavanja nastavka poslovanja stečajnog dužnika. Sanacija stečajnog dužnika obavila bi se pokrićem gubitaka na teret zadržane dobiti, pojednostavljenim smanjenjem temeljenog kapitala te povećanjem temeljenog kapitala unosom u društvo dužnika potraživanja nekih od vjerovnika, tako da bi članovi društva bili: nasljednička zajednica iza pokojnog Ivana Butkovića s poslovnim udjelom od 24.200,00 kn, Steirmarkische bank d.d. iz Rijeke s poslovnim udjelom od 500,00 kn, Moslavka d.o.o. s poslovnim udjelom od 300,00 kn, Robert Veseljak s poslovnim udjelom od 405.200,00 kn i Glas Slavonije d.d. s poslovnim udjelom od 229.200,00 kn. Stečajnim planom bi se omogućilo povoljnije namirenje svih stečajnih vjerovnika (i onih utvrđenih i onih kojima je osporena tražbina).</w:t>
      </w:r>
    </w:p>
    <w:p w:rsidRDefault="003B4DA0" w:rsidP="003B4DA0" w:rsidR="003B4DA0">
      <w:pPr>
        <w:pStyle w:val="Bezproreda"/>
        <w:jc w:val="both"/>
      </w:pPr>
    </w:p>
    <w:p w:rsidRDefault="003B4DA0" w:rsidP="003B4DA0" w:rsidR="003B4DA0">
      <w:pPr>
        <w:pStyle w:val="Bezproreda"/>
        <w:jc w:val="both"/>
      </w:pPr>
      <w:r>
        <w:tab/>
        <w:t>Provedbenom osnovom predviđeno je namirenje stečajnih vjerovnika osim Glasa Slavonije i Roberta Veseljaka u novcu od 180 dana od dana pravomoćnosti rješenja u iznosu od 10% utvrđenih tražbina. Navedena dva vjerovnika bi se namirila nenovčano unosom u temeljni kapital 10% utvrđenih tražbina radi stjecanja poslovnih udjela. Isto tako stečajnim planom ne predviđa se razvrstavanje vjerovnika u skupine, jer je stečajnim planom predviđeno ujednačeno namirenje svih stečajnih vjerovnika u omjeru od 10% njihovih utvrđenih tražbina.</w:t>
      </w:r>
    </w:p>
    <w:p w:rsidRDefault="003B4DA0" w:rsidP="003B4DA0" w:rsidR="003B4DA0">
      <w:pPr>
        <w:pStyle w:val="Bezproreda"/>
        <w:jc w:val="both"/>
      </w:pPr>
    </w:p>
    <w:p w:rsidRDefault="003B4DA0" w:rsidP="003B4DA0" w:rsidR="003B4DA0">
      <w:pPr>
        <w:pStyle w:val="Bezproreda"/>
        <w:jc w:val="both"/>
      </w:pPr>
      <w:r>
        <w:tab/>
        <w:t>Iz izmijenjenog stečajnog plana od 31. srpnja 2018. proizlazi da će se nedostajaća sredstva stečajne mase za isplatu vjerovnicima osigurati dijelom koji iznosi 400.00,00 kn iz sredstava povećanja temeljenog kapitala uplatom u novcu u kojem će sudjelovati investitor Robert Veseljak iz Varaždina. Nenovčano se namiruje vjerovnik Glas Slavonije d.d. u visini 10% utvrđene tražbine. Vjerovnik osporene tražbine Steirmarkische bank d.d. za slučaj da uspije u parnici namiruje se u iznosu od najviše 837.300,00 kn i to iz sredstava uplaćenih kao ulog u novcu povećanje temeljnog kapitala od strane investitora Roberta Veseljaka. Predviđeno je razvrstavanje vjerovnika u tri skupine zbog različitog položaja i to: skupina 1. Steirmarkische bank d.d., Rijeka, zbog toga što joj je osporena tražbina, skupina 2. Glas Slavonije zbog oblika namirenja i skupina 3. svi ostali stečajni vjerovnici.</w:t>
      </w:r>
    </w:p>
    <w:p w:rsidRDefault="003B4DA0" w:rsidP="003B4DA0" w:rsidR="003B4DA0">
      <w:pPr>
        <w:pStyle w:val="Bezproreda"/>
        <w:jc w:val="both"/>
      </w:pPr>
    </w:p>
    <w:p w:rsidRDefault="003B4DA0" w:rsidP="003B4DA0" w:rsidR="003B4DA0">
      <w:pPr>
        <w:pStyle w:val="Bezproreda"/>
        <w:jc w:val="both"/>
      </w:pPr>
      <w:r>
        <w:tab/>
        <w:t>Prvenstveno je potrebno navesti da je Institutom stečajnog plana omogućeno vjerovnicima da u konkretnom stečajnom postupku odstupe od pravila Stečajnog zakona kojim se unovčava imovina dužnika i pravila prema kojima se unovčena imovina raspodjeljuje vjerovnicima u stečajnom postupku. Stečajnim planom stečajni će se vjerovnici poslužiti kad smatraju da bi im on s obzirom na okolnosti konkretne stečajnopravne situacije omogućio bolje namirenje njihovih tražbina odnosno da bi on u većoj mjeri zaštitio njihove pravne i gospodarske interese, nego što bi imao u slučaju provođenja klasičnog redovnog stečajnog postupka u kojem se stečajni plan ne izrađuje. S obzirom na cilj koji se želi postići, zakonom su predviđene tri vrste stečajnih planova i to likvidacijski, prijenosni i sanacijski (odgovarajuća primjena članka 303. SZ-a).</w:t>
      </w:r>
    </w:p>
    <w:p w:rsidRDefault="003B4DA0" w:rsidP="003B4DA0" w:rsidR="003B4DA0">
      <w:pPr>
        <w:pStyle w:val="Bezproreda"/>
        <w:jc w:val="both"/>
      </w:pPr>
    </w:p>
    <w:p w:rsidRDefault="003B4DA0" w:rsidP="003B4DA0" w:rsidR="003B4DA0">
      <w:pPr>
        <w:pStyle w:val="Bezproreda"/>
        <w:jc w:val="both"/>
      </w:pPr>
      <w:r>
        <w:lastRenderedPageBreak/>
        <w:tab/>
        <w:t>Cilj je likvidacijskog plana likvidacija poduzeća stečajnog dužnika, uključujući i stečajnog dužnika kao njegovog pravnog nositelja ako je riječ o dužniku trgovačkom društvu, uz odstupanja od zakonskih pravila o unovčenju i raspodjeli stečajne mase. Ovdje bi se radilo o situaciji kad bi se ispunjenjem postojećih ugovora bitno povećala stečajna masa, pa je zbog toga potrebno odrediti privremeni, kratkoročni nastavak poslovanja, nakon kojeg bi se predmet iz stečajne mase ipak unovčio. U svakom slučaju vjerovnici se namiruju unovčenjem vrijednosti predmeta stečajne mase.</w:t>
      </w:r>
    </w:p>
    <w:p w:rsidRDefault="003B4DA0" w:rsidP="003B4DA0" w:rsidR="003B4DA0">
      <w:pPr>
        <w:pStyle w:val="Bezproreda"/>
        <w:jc w:val="both"/>
      </w:pPr>
    </w:p>
    <w:p w:rsidRDefault="003B4DA0" w:rsidP="003B4DA0" w:rsidR="003B4DA0">
      <w:pPr>
        <w:pStyle w:val="Bezproreda"/>
        <w:jc w:val="both"/>
      </w:pPr>
      <w:r>
        <w:tab/>
        <w:t>Cilj prijenosnog plana ili plana prijenosne sanacije je također likvidacija stečajnog dužnika, ali ne i poduzeća čiji je on pravni nositelj. Ovim se planom predviđa da se poduzeće u cjelini ili funkcionalni sposobni dio poduzeća pogon ili dio pogona) stečajnog dužnika prenese na osobu koju osniva stečajni dužnik u svrhu osposobljavanja pogona na ponovno ostvarivanje prihoda. U pogledu namirenja vjerovnika moguća su različita rješenja. Može se odrediti da će se oni namiriti: iz kupovne cijene dobivene prodajom novoosnovanog društva, iz budućih prihoda koje će nastaviti voditi osoba, koja će biti osnovana. Pojedine grupe vjerovnika mogle bi se namiriti i tako da dobiju udjele u novoosnovanom društvu – preuzimatelju.</w:t>
      </w:r>
    </w:p>
    <w:p w:rsidRDefault="003B4DA0" w:rsidP="003B4DA0" w:rsidR="003B4DA0">
      <w:pPr>
        <w:pStyle w:val="Bezproreda"/>
        <w:jc w:val="both"/>
      </w:pPr>
    </w:p>
    <w:p w:rsidRDefault="003B4DA0" w:rsidP="003B4DA0" w:rsidR="003B4DA0">
      <w:pPr>
        <w:pStyle w:val="Bezproreda"/>
        <w:jc w:val="both"/>
      </w:pPr>
      <w:r>
        <w:tab/>
        <w:t>Cilj sanacijskog stečajnog plana nije samo sanacija poduzeća stečajnog dužnika, već i samog stečajnog dužnika, naime, stečajni dužnik nakon zaključenja stečajnog postupka prema ovom planu ostaje pravni nositelj svog poduzeća i nastavlja poslovanje (nakon zaključenja stečajnog postupka dužnik ponovno stječe pravo slobodnog raspolaganja stečajnom masom članak 345. stavak 1. SZ-a). Ovim planom želi se stečajnog dužnika osposobiti za plaćanje odnosno otkloniti razloge prezaduženosti stečajnog dužnika, pa se njime treba predvidjeti niz financijskih, organizacijsko-proizvodnih i pravnih mjera, koje bi stečajnog dužnika trebale izvući iz nepovoljne gospodarske situacije i osposobiti za ponovno ostvarivanje dobiti. Vjerovnici bi se u pravilu, u takvom slučaju, namirivali iz budućih prihoda stečajnog dužnika.</w:t>
      </w:r>
    </w:p>
    <w:p w:rsidRDefault="003B4DA0" w:rsidP="003B4DA0" w:rsidR="003B4DA0">
      <w:pPr>
        <w:pStyle w:val="Bezproreda"/>
        <w:jc w:val="both"/>
      </w:pPr>
    </w:p>
    <w:p w:rsidRDefault="003B4DA0" w:rsidP="003B4DA0" w:rsidR="003B4DA0">
      <w:pPr>
        <w:pStyle w:val="Bezproreda"/>
        <w:jc w:val="both"/>
      </w:pPr>
      <w:r>
        <w:tab/>
        <w:t>Stečajni plan u sebi sadrži i elemente ugovora i nagodbe, ali i sudske odluke, budući da od sudionika prihvaćeni plan podliježe potvrdi stečajnog suca.</w:t>
      </w:r>
    </w:p>
    <w:p w:rsidRDefault="003B4DA0" w:rsidP="003B4DA0" w:rsidR="003B4DA0">
      <w:pPr>
        <w:pStyle w:val="Bezproreda"/>
        <w:jc w:val="both"/>
      </w:pPr>
    </w:p>
    <w:p w:rsidRDefault="003B4DA0" w:rsidP="003B4DA0" w:rsidR="003B4DA0">
      <w:pPr>
        <w:pStyle w:val="Bezproreda"/>
        <w:jc w:val="both"/>
      </w:pPr>
      <w:r>
        <w:tab/>
        <w:t>U konkretnom slučaju, radilo bi se o sanacijskom stečajnom planu, kojem je cilj sanacija stečajnog dužnika, radi omogućavanja nastavka poslovanja stečajnog dužnika na profitabilnim osnovama, te radi omogućavanja provedbe mjera reorganizacije.</w:t>
      </w:r>
    </w:p>
    <w:p w:rsidRDefault="003B4DA0" w:rsidP="003B4DA0" w:rsidR="003B4DA0">
      <w:pPr>
        <w:pStyle w:val="Bezproreda"/>
        <w:jc w:val="both"/>
      </w:pPr>
    </w:p>
    <w:p w:rsidRDefault="003B4DA0" w:rsidP="003B4DA0" w:rsidR="003B4DA0">
      <w:pPr>
        <w:pStyle w:val="Bezproreda"/>
        <w:jc w:val="both"/>
      </w:pPr>
      <w:r>
        <w:tab/>
        <w:t>U takvom slučaju stečajni plan trebao bi sadržavati jasne i konkretne mjere sanacije, kao i financiranje tih mjera te dokumentiranu prognozu očekivanih budućih prihoda i rashoda dužnika (pregled imovine, plan rezultata, financijski plan, a što ovdje nije slučaj).</w:t>
      </w:r>
    </w:p>
    <w:p w:rsidRDefault="003B4DA0" w:rsidP="003B4DA0" w:rsidR="003B4DA0">
      <w:pPr>
        <w:pStyle w:val="Bezproreda"/>
        <w:jc w:val="both"/>
      </w:pPr>
    </w:p>
    <w:p w:rsidRDefault="003B4DA0" w:rsidP="003B4DA0" w:rsidR="003B4DA0">
      <w:pPr>
        <w:pStyle w:val="Bezproreda"/>
        <w:jc w:val="both"/>
      </w:pPr>
      <w:r>
        <w:tab/>
        <w:t>Naime, sanacija dužnika bi se djelomično provela pojednostavljenim smanjenjem temeljnog kapitala, te povećanjem temeljenog kapitala pretvaranjem tražbine u temeljni kapital prema stečajnom planu na način da bi vjerovnici Robert Veselja i Glas Slavonije d.d. bili novi udjeličari.</w:t>
      </w:r>
    </w:p>
    <w:p w:rsidRDefault="003B4DA0" w:rsidP="003B4DA0" w:rsidR="003B4DA0">
      <w:pPr>
        <w:pStyle w:val="Bezproreda"/>
        <w:jc w:val="both"/>
      </w:pPr>
      <w:r>
        <w:tab/>
        <w:t xml:space="preserve">Iz izmijenjenog stečajnog plana ne proizlazi takva sanacija već „nedostajuća sredstva stečajne mase za isplatu stečajnim vjerovnicima bila bi osigurana iz sredstava povećanja temeljnog kapitala uplaćenog u iznosu od 400.000,00 kn od strane investitora Roberta Veseljaka. U Slučaju donošenja odluke o povećanju temeljnog kapitala primjenjuju se odredbe Zakona o trgovačkim društvima („Narodne novine“ broj: 152/11-pročišćeni tekst, 111/12, 68/13 i 110/15; dalje: ZTD), pa nije jasno temeljem kojeg pravila bi se vjerovnici namirivali iz temeljenog kapitala društva prema navedenom zakonu. Isto tako nije jasna mjera </w:t>
      </w:r>
      <w:r>
        <w:lastRenderedPageBreak/>
        <w:t>kojom bi se zbog nedostatka sredstava namirila tražbina vjerovnika Steirmarkische bank d.d. Rijeka, ako bi uspio u parnici na koju je upućen radi osporene tražbine uplatom na ime temeljnog kapitala od strane investitora Roberta Veseljeka. Iz izmijenjenog stečajnog plana više nije jasno predviđa li se da vjerovnik Robert Veseljak namiri tražbinu unosom tražbine u temeljni kapital kako je to predviđeno prvotnim stečajnim planom, odnosno nije jasno kako se namiruje njegova utvrđena tražbina, jer po izmijenjenom stečajnom planu postaje investitor.</w:t>
      </w:r>
    </w:p>
    <w:p w:rsidRDefault="003B4DA0" w:rsidP="003B4DA0" w:rsidR="003B4DA0">
      <w:pPr>
        <w:pStyle w:val="Bezproreda"/>
        <w:jc w:val="both"/>
      </w:pPr>
    </w:p>
    <w:p w:rsidRDefault="003B4DA0" w:rsidP="003B4DA0" w:rsidR="003B4DA0">
      <w:pPr>
        <w:pStyle w:val="Bezproreda"/>
        <w:jc w:val="both"/>
      </w:pPr>
      <w:r>
        <w:tab/>
        <w:t>Nadalje, iz stečajnog plana proizlazi kako je obavljanje djelatnosti dužnika isključivo vezano za radijsku koncesiju, pa ako bi dužnik tu koncesiju izgubio, ne bi mogao obavljati djelatnost, a time ne bi se mogao niti provesti sanacijski stečajni plan.</w:t>
      </w:r>
    </w:p>
    <w:p w:rsidRDefault="003B4DA0" w:rsidP="003B4DA0" w:rsidR="003B4DA0">
      <w:pPr>
        <w:pStyle w:val="Bezproreda"/>
        <w:jc w:val="both"/>
      </w:pPr>
    </w:p>
    <w:p w:rsidRDefault="003B4DA0" w:rsidP="003B4DA0" w:rsidR="003B4DA0">
      <w:pPr>
        <w:pStyle w:val="Bezproreda"/>
        <w:jc w:val="both"/>
      </w:pPr>
      <w:r>
        <w:tab/>
        <w:t>Koncesija je institut putem kojeg se određenom subjektu dopušta upotrebljavati ili iskorištavati određena dobra, izvoditi radove ili obavljati djelatnost na određenom teritoriju.</w:t>
      </w:r>
    </w:p>
    <w:p w:rsidRDefault="003B4DA0" w:rsidP="003B4DA0" w:rsidR="003B4DA0">
      <w:pPr>
        <w:pStyle w:val="Bezproreda"/>
        <w:jc w:val="both"/>
      </w:pPr>
    </w:p>
    <w:p w:rsidRDefault="003B4DA0" w:rsidP="003B4DA0" w:rsidR="003B4DA0">
      <w:pPr>
        <w:pStyle w:val="Bezproreda"/>
        <w:jc w:val="both"/>
      </w:pPr>
      <w:r>
        <w:tab/>
        <w:t>Zakonom o koncesijama („Narodne novine“ broj 143/12; dalje: ZK), uređene su vrste koncesija, postupak dobivanja koncesija, ugovori o koncesiji. U konkretnom slučaju nije prijeporno da dužnik ima sklopljen ugovor o koncesiji do 31. svibnja 2019., koji bi mogao biti obnovljen, ali u stečajni plani nije priložena niti jedna isprava iz koje bi proizlazilo da bi ugovor o koncesiji mogao biti obnovljen. Ako dužnik ne bi mogao obnoviti ugovor o koncesiji, tada bez obzira na prihvaćeni stečajni plan, ne bi mogao obavljati djelatnost predviđen stečajnim planom.</w:t>
      </w:r>
    </w:p>
    <w:p w:rsidRDefault="003B4DA0" w:rsidP="003B4DA0" w:rsidR="003B4DA0">
      <w:pPr>
        <w:pStyle w:val="Bezproreda"/>
        <w:jc w:val="both"/>
      </w:pPr>
    </w:p>
    <w:p w:rsidRDefault="003B4DA0" w:rsidP="003B4DA0" w:rsidR="003B4DA0">
      <w:pPr>
        <w:pStyle w:val="Bezproreda"/>
        <w:jc w:val="both"/>
      </w:pPr>
      <w:r>
        <w:tab/>
        <w:t>Osim svega navedenog o nedostacima izmijenjenog stečajnog plana, potrebno je ukazati na odredbu članka 336. SZ-a, kojom je propisano da je sud po službenoj dužnost dužan uskratiti potvrdu stečajnog plana: 1. ako su bitno povrijeđeni propisi o sadržaju stečajnog plana i postupanju tijekom njegove izrade i donošenja, kao i o prihvatu od vjerovnika i o prestanku dužnika, osim ako se ti nedostaci mogu otkloniti ili 2. ako je prihvat stečajnog plana postignut na nedopušten način, osobito stavljanjem u povoljniji položaj pojedinih vjerovnika.</w:t>
      </w:r>
    </w:p>
    <w:p w:rsidRDefault="003B4DA0" w:rsidP="003B4DA0" w:rsidR="003B4DA0">
      <w:pPr>
        <w:pStyle w:val="Bezproreda"/>
        <w:jc w:val="both"/>
      </w:pPr>
    </w:p>
    <w:p w:rsidRDefault="003B4DA0" w:rsidP="003B4DA0" w:rsidR="003B4DA0">
      <w:pPr>
        <w:pStyle w:val="Bezproreda"/>
        <w:jc w:val="both"/>
      </w:pPr>
      <w:r>
        <w:tab/>
        <w:t xml:space="preserve">Stečajni plan mora sadržavati izmijenjeni pravni položaj sudionika u postupku i pri tome stečajni zakon predviđa podjelu vjerovnika u skupine (članak 308. SZ-a.). Prema navedenoj odredbi sudionici u stečajnom planu razvrstavaju se pri utvrđivanju njihovih prava u skupine. </w:t>
      </w:r>
    </w:p>
    <w:p w:rsidRDefault="003B4DA0" w:rsidP="003B4DA0" w:rsidR="003B4DA0">
      <w:pPr>
        <w:pStyle w:val="Bezproreda"/>
        <w:jc w:val="both"/>
      </w:pPr>
    </w:p>
    <w:p w:rsidRDefault="003B4DA0" w:rsidP="003B4DA0" w:rsidR="003B4DA0">
      <w:pPr>
        <w:pStyle w:val="Bezproreda"/>
        <w:ind w:firstLine="709"/>
        <w:jc w:val="both"/>
      </w:pPr>
      <w:r>
        <w:t>Vjerovnici s različitim pravnim položajem razvrstavaju se u stečajnom planu u posebne skupine (Stečajni zakon navodi neke pravne položaje vjerovnika: vjerovnik s pravom odvojenog namirenja, stečajni vjerovnici viši isplatnih redova, vjerovnici nižih isplatnih redova). U okviru tih pravnih položaja vjerovnici istog pravnog položaja mogu se razvrstati u skupine prema istovrsnosti gospodarskih interesa. Takva razvrstavanja moraju se temeljiti na valjanim razlozima.</w:t>
      </w:r>
    </w:p>
    <w:p w:rsidRDefault="003B4DA0" w:rsidP="003B4DA0" w:rsidR="003B4DA0">
      <w:pPr>
        <w:pStyle w:val="Bezproreda"/>
        <w:jc w:val="both"/>
      </w:pPr>
      <w:r>
        <w:tab/>
        <w:t>Nije prijeporno da su u konkretnom slučaju, sudionici stečajnog plana samo vjerovnici drugog višeg isplatnog reda, dakle imaju isti pravni položaj, pa njihovo razvrstavanje u posebne skupine mora biti utemeljeno na istovrsnosti gospodarskih interesa, odnosno mora se temeljiti na valjanim razlozima.</w:t>
      </w:r>
    </w:p>
    <w:p w:rsidRDefault="003B4DA0" w:rsidP="003B4DA0" w:rsidR="003B4DA0">
      <w:pPr>
        <w:pStyle w:val="Bezproreda"/>
        <w:jc w:val="both"/>
      </w:pPr>
    </w:p>
    <w:p w:rsidRDefault="003B4DA0" w:rsidP="003B4DA0" w:rsidR="003B4DA0">
      <w:pPr>
        <w:pStyle w:val="Bezproreda"/>
        <w:jc w:val="both"/>
      </w:pPr>
      <w:r>
        <w:tab/>
        <w:t xml:space="preserve">Razvrstavanje vjerovnika istog pravnog položaja (stečajni vjerovnici drugog višeg isplatnog reda) u tri skupine zbog načina njihovog namirenja, odnosno zbog toga što je jednom od vjerovnika istog pravnog položaja osporena tražbina, nije valjani razlog za </w:t>
      </w:r>
      <w:r>
        <w:lastRenderedPageBreak/>
        <w:t>razvrstavanje vjerovnika u skupine 1 i 2, kako je to predviđeno izmijenjenim stečajnim planom.</w:t>
      </w:r>
    </w:p>
    <w:p w:rsidRDefault="003B4DA0" w:rsidP="003B4DA0" w:rsidR="003B4DA0">
      <w:pPr>
        <w:pStyle w:val="Bezproreda"/>
        <w:jc w:val="both"/>
      </w:pPr>
    </w:p>
    <w:p w:rsidRDefault="003B4DA0" w:rsidP="003B4DA0" w:rsidR="003B4DA0">
      <w:pPr>
        <w:pStyle w:val="Bezproreda"/>
        <w:jc w:val="both"/>
      </w:pPr>
      <w:r>
        <w:tab/>
        <w:t>Slijedom svega navedenog valjalo je na temelju odredbe članka 380. točke 3. ZPP-a u vezi s odredbom članka 10. SZ-a odlučiti kao u izreci ovog drugostupanjskoj rješenja.</w:t>
      </w:r>
    </w:p>
    <w:p w:rsidRDefault="003B4DA0" w:rsidP="003B4DA0" w:rsidR="003B4DA0">
      <w:pPr>
        <w:pStyle w:val="Bezproreda"/>
        <w:jc w:val="both"/>
      </w:pPr>
    </w:p>
    <w:p w:rsidRDefault="003B4DA0" w:rsidP="003B4DA0" w:rsidR="003B4DA0">
      <w:pPr>
        <w:pStyle w:val="Bezproreda"/>
        <w:jc w:val="both"/>
      </w:pPr>
      <w:r>
        <w:tab/>
        <w:t>U ponovnom postupku sud prvog stupnja će ako ocijeni da su nedostaci u izmijenjenom stečajnom planu otklonjivi, pozvati stečajnog upravitelja na ispravak tih nedostataka, te tek nakon toga ponovno provesti postupak donošenja stečajnog plana ili odbaciti prijedlog zbog nepoštivanja propisa o sadržaju stečajnog plana (članak 317. SZ-a).</w:t>
      </w:r>
    </w:p>
    <w:p w:rsidRDefault="003B4DA0" w:rsidP="003B4DA0" w:rsidR="003B4DA0">
      <w:pPr>
        <w:pStyle w:val="Bezproreda"/>
        <w:jc w:val="both"/>
      </w:pPr>
    </w:p>
    <w:p w:rsidRDefault="003B4DA0" w:rsidP="003B4DA0" w:rsidR="003B4DA0">
      <w:pPr>
        <w:pStyle w:val="Bezproreda"/>
        <w:jc w:val="both"/>
      </w:pPr>
      <w:r>
        <w:tab/>
        <w:t>Posebno se ističe da je u sanacijskom stečajnom planu potrebno odmah imenovati upravu, nadzorni odbor – ako će društvo i dalje imati nadzorni odbor (članak 434. ZTD-a), te sve ostalo što je potrebno za upis u sudski registar (članak 394. ZTD-a), tako da bi trgovačko društvo odmah moglo početi poslovati nakon prihvaćanja i potvrde stečajnog plana, te provedbe upisa u sudskom registru.</w:t>
      </w:r>
    </w:p>
    <w:p w:rsidRDefault="003B4DA0" w:rsidP="003B4DA0" w:rsidR="003B4DA0">
      <w:pPr>
        <w:pStyle w:val="Bezproreda"/>
        <w:jc w:val="both"/>
      </w:pPr>
    </w:p>
    <w:p w:rsidRDefault="003B4DA0" w:rsidP="003B4DA0" w:rsidR="003B4DA0">
      <w:pPr>
        <w:pStyle w:val="Bezproreda"/>
        <w:jc w:val="center"/>
      </w:pPr>
      <w:r>
        <w:t>Zagreb, 13. studenog 2018.</w:t>
      </w:r>
    </w:p>
    <w:p w:rsidRDefault="003B4DA0" w:rsidP="003B4DA0" w:rsidR="003B4DA0">
      <w:pPr>
        <w:pStyle w:val="Bezproreda"/>
        <w:jc w:val="both"/>
      </w:pPr>
    </w:p>
    <w:p w:rsidRDefault="003B4DA0" w:rsidP="003B4DA0" w:rsidR="003B4DA0">
      <w:pPr>
        <w:pStyle w:val="Bezproreda"/>
        <w:ind w:left="4254"/>
        <w:jc w:val="center"/>
      </w:pPr>
      <w:r>
        <w:t>Predsjednik vijeća</w:t>
      </w:r>
    </w:p>
    <w:p w:rsidRDefault="003B4DA0" w:rsidP="003B4DA0" w:rsidR="003B4DA0">
      <w:pPr>
        <w:pStyle w:val="Bezproreda"/>
        <w:ind w:left="4254"/>
        <w:jc w:val="center"/>
      </w:pPr>
      <w:r>
        <w:t>Raoul Dubravec, v.r.</w:t>
      </w:r>
    </w:p>
    <w:p w:rsidRDefault="003B4DA0" w:rsidP="003B4DA0" w:rsidR="003B4DA0">
      <w:pPr>
        <w:pStyle w:val="Bezproreda"/>
        <w:jc w:val="both"/>
      </w:pPr>
    </w:p>
    <w:p w:rsidRDefault="003B4DA0" w:rsidP="003B4DA0" w:rsidR="003B4DA0">
      <w:pPr>
        <w:pStyle w:val="Bezproreda"/>
        <w:ind w:left="4536"/>
        <w:jc w:val="center"/>
      </w:pPr>
      <w:r>
        <w:t>Za točnost otpravka – ovlašteni službenik</w:t>
      </w:r>
    </w:p>
    <w:p w:rsidRDefault="003B4DA0" w:rsidP="003B4DA0" w:rsidR="003B4DA0">
      <w:pPr>
        <w:pStyle w:val="Bezproreda"/>
        <w:ind w:left="4536"/>
        <w:jc w:val="center"/>
      </w:pPr>
      <w:r>
        <w:t>Brankica Curman</w:t>
      </w:r>
    </w:p>
    <w:p w:rsidRDefault="009A2F08" w:rsidR="009A2F08"/>
    <w:sectPr w:rsidSect="003B4DA0" w:rsidR="009A2F08">
      <w:headerReference w:type="default" r:id="rId9"/>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67CC0" w:rsidP="003B4DA0" w:rsidR="00167CC0">
      <w:pPr>
        <w:spacing w:after="0"/>
      </w:pPr>
      <w:r>
        <w:separator/>
      </w:r>
    </w:p>
  </w:endnote>
  <w:endnote w:id="0" w:type="continuationSeparator">
    <w:p w:rsidRDefault="00167CC0" w:rsidP="003B4DA0" w:rsidR="00167CC0">
      <w:pPr>
        <w:spacing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67CC0" w:rsidP="003B4DA0" w:rsidR="00167CC0">
      <w:pPr>
        <w:spacing w:after="0"/>
      </w:pPr>
      <w:r>
        <w:separator/>
      </w:r>
    </w:p>
  </w:footnote>
  <w:footnote w:id="0" w:type="continuationSeparator">
    <w:p w:rsidRDefault="00167CC0" w:rsidP="003B4DA0" w:rsidR="00167CC0">
      <w:pPr>
        <w:spacing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0201967"/>
      <w:docPartObj>
        <w:docPartGallery w:val="Page Numbers (Top of Page)"/>
        <w:docPartUnique/>
      </w:docPartObj>
    </w:sdtPr>
    <w:sdtEndPr/>
    <w:sdtContent>
      <w:p w:rsidRDefault="003B4DA0" w:rsidR="003B4DA0">
        <w:pPr>
          <w:pStyle w:val="Zaglavlje"/>
          <w:jc w:val="center"/>
        </w:pPr>
        <w:r>
          <w:tab/>
        </w:r>
        <w:r>
          <w:tab/>
          <w:t>Poslovni broj: 89 Pž-6312/2018-2</w:t>
        </w:r>
      </w:p>
      <w:p w:rsidRDefault="003B4DA0" w:rsidR="003B4DA0">
        <w:pPr>
          <w:pStyle w:val="Zaglavlje"/>
          <w:jc w:val="center"/>
        </w:pPr>
        <w:r>
          <w:fldChar w:fldCharType="begin"/>
        </w:r>
        <w:r>
          <w:instrText>PAGE   \* MERGEFORMAT</w:instrText>
        </w:r>
        <w:r>
          <w:fldChar w:fldCharType="separate"/>
        </w:r>
        <w:r w:rsidR="009C5C8E">
          <w:rPr>
            <w:noProof/>
          </w:rPr>
          <w:t>9</w:t>
        </w:r>
        <w:r>
          <w:fldChar w:fldCharType="end"/>
        </w:r>
      </w:p>
    </w:sdtContent>
  </w:sdt>
  <w:p w:rsidRDefault="003B4DA0" w:rsidR="003B4DA0">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9" w:val="bestFit"/>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B4DA0"/>
    <w:rsid w:val="00167CC0"/>
    <w:rsid w:val="003B4DA0"/>
    <w:rsid w:val="009A2F08"/>
    <w:rsid w:val="009C5C8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B4DA0"/>
    <w:pPr>
      <w:spacing w:lineRule="auto" w:line="240" w:after="240"/>
    </w:pPr>
    <w:rPr>
      <w:rFonts w:hAnsi="Times New Roman" w:ascii="Times New Roman"/>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3B4DA0"/>
    <w:pPr>
      <w:spacing w:lineRule="auto" w:line="240" w:after="240"/>
      <w:contextualSpacing/>
    </w:pPr>
    <w:rPr>
      <w:rFonts w:cs="Times New Roman" w:eastAsia="Times New Roman" w:hAnsi="Times New Roman" w:ascii="Times New Roman"/>
      <w:sz w:val="24"/>
      <w:szCs w:val="24"/>
      <w:lang w:eastAsia="hr-HR"/>
    </w:rPr>
  </w:style>
  <w:style w:customStyle="true" w:styleId="SudNaziv" w:type="paragraph">
    <w:name w:val="Sud_Naziv"/>
    <w:basedOn w:val="Normal"/>
    <w:rsid w:val="003B4DA0"/>
    <w:pPr>
      <w:spacing w:after="0"/>
    </w:pPr>
    <w:rPr>
      <w:b/>
      <w:noProof/>
    </w:rPr>
  </w:style>
  <w:style w:customStyle="true" w:styleId="SudSjedite" w:type="paragraph">
    <w:name w:val="Sud_Sjedište"/>
    <w:basedOn w:val="Bezproreda"/>
    <w:rsid w:val="003B4DA0"/>
    <w:pPr>
      <w:tabs>
        <w:tab w:pos="7088" w:val="left"/>
      </w:tabs>
      <w:spacing w:after="0"/>
    </w:pPr>
    <w:rPr>
      <w:noProof/>
    </w:rPr>
  </w:style>
  <w:style w:customStyle="true" w:styleId="HeadereSPIS" w:type="paragraph">
    <w:name w:val="Header_eSPIS"/>
    <w:basedOn w:val="Normal"/>
    <w:autoRedefine/>
    <w:qFormat/>
    <w:rsid w:val="003B4DA0"/>
    <w:pPr>
      <w:spacing w:after="0"/>
      <w:jc w:val="right"/>
    </w:pPr>
    <w:rPr>
      <w:rFonts w:eastAsia="Times New Roman"/>
      <w:lang w:eastAsia="hr-HR"/>
    </w:rPr>
  </w:style>
  <w:style w:customStyle="true" w:styleId="PozadinaSvijetloCrvena" w:type="character">
    <w:name w:val="Pozadina_SvijetloCrvena"/>
    <w:basedOn w:val="Zadanifontodlomka"/>
    <w:uiPriority w:val="3"/>
    <w:rsid w:val="003B4DA0"/>
    <w:rPr>
      <w:noProof/>
      <w:bdr w:frame="true" w:space="0" w:sz="0" w:color="auto" w:val="none"/>
      <w:shd w:fill="FFCCCC" w:color="auto" w:val="clear"/>
      <w:lang w:val="hr-HR"/>
    </w:rPr>
  </w:style>
  <w:style w:customStyle="true" w:styleId="PozadinaSvijetloZelena" w:type="character">
    <w:name w:val="Pozadina_SvijetloZelena"/>
    <w:basedOn w:val="Zadanifontodlomka"/>
    <w:rsid w:val="003B4DA0"/>
    <w:rPr>
      <w:noProof/>
      <w:bdr w:frame="true" w:space="0" w:sz="0" w:color="auto" w:val="none"/>
      <w:shd w:fill="CCFFCC" w:color="auto" w:val="clear"/>
      <w:lang w:val="hr-HR"/>
    </w:rPr>
  </w:style>
  <w:style w:customStyle="true" w:styleId="PozadinaSvijetloZuta" w:type="character">
    <w:name w:val="Pozadina_SvijetloZuta"/>
    <w:basedOn w:val="Zadanifontodlomka"/>
    <w:uiPriority w:val="3"/>
    <w:rsid w:val="003B4DA0"/>
    <w:rPr>
      <w:noProof/>
      <w:bdr w:frame="true" w:space="0" w:sz="0" w:color="auto" w:val="none"/>
      <w:shd w:fill="FFFFCC" w:color="auto" w:val="clear"/>
      <w:lang w:val="hr-HR"/>
    </w:rPr>
  </w:style>
  <w:style w:styleId="Tekstbalonia" w:type="paragraph">
    <w:name w:val="Balloon Text"/>
    <w:basedOn w:val="Normal"/>
    <w:link w:val="TekstbaloniaChar"/>
    <w:uiPriority w:val="99"/>
    <w:semiHidden/>
    <w:unhideWhenUsed/>
    <w:rsid w:val="003B4DA0"/>
    <w:pPr>
      <w:spacing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B4DA0"/>
    <w:rPr>
      <w:rFonts w:cs="Tahoma" w:hAnsi="Tahoma" w:ascii="Tahoma"/>
      <w:sz w:val="16"/>
      <w:szCs w:val="16"/>
    </w:rPr>
  </w:style>
  <w:style w:styleId="Zaglavlje" w:type="paragraph">
    <w:name w:val="header"/>
    <w:basedOn w:val="Normal"/>
    <w:link w:val="ZaglavljeChar"/>
    <w:uiPriority w:val="99"/>
    <w:unhideWhenUsed/>
    <w:rsid w:val="003B4DA0"/>
    <w:pPr>
      <w:tabs>
        <w:tab w:pos="4536" w:val="center"/>
        <w:tab w:pos="9072" w:val="right"/>
      </w:tabs>
      <w:spacing w:after="0"/>
    </w:pPr>
  </w:style>
  <w:style w:customStyle="true" w:styleId="ZaglavljeChar" w:type="character">
    <w:name w:val="Zaglavlje Char"/>
    <w:basedOn w:val="Zadanifontodlomka"/>
    <w:link w:val="Zaglavlje"/>
    <w:uiPriority w:val="99"/>
    <w:rsid w:val="003B4DA0"/>
    <w:rPr>
      <w:rFonts w:hAnsi="Times New Roman" w:ascii="Times New Roman"/>
      <w:sz w:val="24"/>
      <w:szCs w:val="24"/>
    </w:rPr>
  </w:style>
  <w:style w:styleId="Podnoje" w:type="paragraph">
    <w:name w:val="footer"/>
    <w:basedOn w:val="Normal"/>
    <w:link w:val="PodnojeChar"/>
    <w:uiPriority w:val="99"/>
    <w:unhideWhenUsed/>
    <w:rsid w:val="003B4DA0"/>
    <w:pPr>
      <w:tabs>
        <w:tab w:pos="4536" w:val="center"/>
        <w:tab w:pos="9072" w:val="right"/>
      </w:tabs>
      <w:spacing w:after="0"/>
    </w:pPr>
  </w:style>
  <w:style w:customStyle="true" w:styleId="PodnojeChar" w:type="character">
    <w:name w:val="Podnožje Char"/>
    <w:basedOn w:val="Zadanifontodlomka"/>
    <w:link w:val="Podnoje"/>
    <w:uiPriority w:val="99"/>
    <w:rsid w:val="003B4DA0"/>
    <w:rPr>
      <w:rFonts w:hAnsi="Times New Roman" w:ascii="Times New Roman"/>
      <w:sz w:val="24"/>
      <w:szCs w:val="24"/>
    </w:rPr>
  </w:style>
  <w:style w:styleId="Tekstrezerviranogmjesta" w:type="character">
    <w:name w:val="Placeholder Text"/>
    <w:basedOn w:val="Zadanifontodlomka"/>
    <w:uiPriority w:val="99"/>
    <w:semiHidden/>
    <w:rsid w:val="009C5C8E"/>
    <w:rPr>
      <w:color w:val="808080"/>
      <w:bdr w:space="0" w:sz="0" w:color="auto" w:val="none"/>
      <w:shd w:fill="auto" w:color="auto" w:val="clear"/>
    </w:rPr>
  </w:style>
  <w:style w:customStyle="true" w:styleId="eSPISCCParagraphDefaultFont" w:type="character">
    <w:name w:val="eSPIS_CC_Paragraph Default Font"/>
    <w:basedOn w:val="PozadinaSvijetloZelena"/>
    <w:rsid w:val="009C5C8E"/>
    <w:rPr>
      <w:rFonts w:cs="Times New Roman" w:hAnsi="Times New Roman" w:ascii="Times New Roman"/>
      <w:noProof/>
      <w:sz w:val="24"/>
      <w:bdr w:space="0" w:sz="0" w:color="auto" w:val="none"/>
      <w:shd w:fill="auto"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B4DA0"/>
    <w:pPr>
      <w:spacing w:after="240" w:line="240" w:lineRule="auto"/>
    </w:pPr>
    <w:rPr>
      <w:rFonts w:ascii="Times New Roman" w:hAnsi="Times New Roman"/>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3B4DA0"/>
    <w:pPr>
      <w:spacing w:after="240" w:line="240" w:lineRule="auto"/>
      <w:contextualSpacing/>
    </w:pPr>
    <w:rPr>
      <w:rFonts w:ascii="Times New Roman" w:cs="Times New Roman" w:eastAsia="Times New Roman" w:hAnsi="Times New Roman"/>
      <w:sz w:val="24"/>
      <w:szCs w:val="24"/>
      <w:lang w:eastAsia="hr-HR"/>
    </w:rPr>
  </w:style>
  <w:style w:customStyle="1" w:styleId="SudNaziv" w:type="paragraph">
    <w:name w:val="Sud_Naziv"/>
    <w:basedOn w:val="Normal"/>
    <w:rsid w:val="003B4DA0"/>
    <w:pPr>
      <w:spacing w:after="0"/>
    </w:pPr>
    <w:rPr>
      <w:b/>
      <w:noProof/>
    </w:rPr>
  </w:style>
  <w:style w:customStyle="1" w:styleId="SudSjedite" w:type="paragraph">
    <w:name w:val="Sud_Sjedište"/>
    <w:basedOn w:val="Bezproreda"/>
    <w:rsid w:val="003B4DA0"/>
    <w:pPr>
      <w:tabs>
        <w:tab w:pos="7088" w:val="left"/>
      </w:tabs>
      <w:spacing w:after="0"/>
    </w:pPr>
    <w:rPr>
      <w:noProof/>
    </w:rPr>
  </w:style>
  <w:style w:customStyle="1" w:styleId="HeadereSPIS" w:type="paragraph">
    <w:name w:val="Header_eSPIS"/>
    <w:basedOn w:val="Normal"/>
    <w:autoRedefine/>
    <w:qFormat/>
    <w:rsid w:val="003B4DA0"/>
    <w:pPr>
      <w:spacing w:after="0"/>
      <w:jc w:val="right"/>
    </w:pPr>
    <w:rPr>
      <w:rFonts w:eastAsia="Times New Roman"/>
      <w:lang w:eastAsia="hr-HR"/>
    </w:rPr>
  </w:style>
  <w:style w:customStyle="1" w:styleId="PozadinaSvijetloCrvena" w:type="character">
    <w:name w:val="Pozadina_SvijetloCrvena"/>
    <w:basedOn w:val="Zadanifontodlomka"/>
    <w:uiPriority w:val="3"/>
    <w:rsid w:val="003B4DA0"/>
    <w:rPr>
      <w:noProof/>
      <w:bdr w:color="auto" w:frame="1" w:space="0" w:sz="0" w:val="none"/>
      <w:shd w:color="auto" w:fill="FFCCCC" w:val="clear"/>
      <w:lang w:val="hr-HR"/>
    </w:rPr>
  </w:style>
  <w:style w:customStyle="1" w:styleId="PozadinaSvijetloZelena" w:type="character">
    <w:name w:val="Pozadina_SvijetloZelena"/>
    <w:basedOn w:val="Zadanifontodlomka"/>
    <w:rsid w:val="003B4DA0"/>
    <w:rPr>
      <w:noProof/>
      <w:bdr w:color="auto" w:frame="1" w:space="0" w:sz="0" w:val="none"/>
      <w:shd w:color="auto" w:fill="CCFFCC" w:val="clear"/>
      <w:lang w:val="hr-HR"/>
    </w:rPr>
  </w:style>
  <w:style w:customStyle="1" w:styleId="PozadinaSvijetloZuta" w:type="character">
    <w:name w:val="Pozadina_SvijetloZuta"/>
    <w:basedOn w:val="Zadanifontodlomka"/>
    <w:uiPriority w:val="3"/>
    <w:rsid w:val="003B4DA0"/>
    <w:rPr>
      <w:noProof/>
      <w:bdr w:color="auto" w:frame="1" w:space="0" w:sz="0" w:val="none"/>
      <w:shd w:color="auto" w:fill="FFFFCC" w:val="clear"/>
      <w:lang w:val="hr-HR"/>
    </w:rPr>
  </w:style>
  <w:style w:styleId="Tekstbalonia" w:type="paragraph">
    <w:name w:val="Balloon Text"/>
    <w:basedOn w:val="Normal"/>
    <w:link w:val="TekstbaloniaChar"/>
    <w:uiPriority w:val="99"/>
    <w:semiHidden/>
    <w:unhideWhenUsed/>
    <w:rsid w:val="003B4DA0"/>
    <w:pPr>
      <w:spacing w:after="0"/>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3B4DA0"/>
    <w:rPr>
      <w:rFonts w:ascii="Tahoma" w:cs="Tahoma" w:hAnsi="Tahoma"/>
      <w:sz w:val="16"/>
      <w:szCs w:val="16"/>
    </w:rPr>
  </w:style>
  <w:style w:styleId="Zaglavlje" w:type="paragraph">
    <w:name w:val="header"/>
    <w:basedOn w:val="Normal"/>
    <w:link w:val="ZaglavljeChar"/>
    <w:uiPriority w:val="99"/>
    <w:unhideWhenUsed/>
    <w:rsid w:val="003B4DA0"/>
    <w:pPr>
      <w:tabs>
        <w:tab w:pos="4536" w:val="center"/>
        <w:tab w:pos="9072" w:val="right"/>
      </w:tabs>
      <w:spacing w:after="0"/>
    </w:pPr>
  </w:style>
  <w:style w:customStyle="1" w:styleId="ZaglavljeChar" w:type="character">
    <w:name w:val="Zaglavlje Char"/>
    <w:basedOn w:val="Zadanifontodlomka"/>
    <w:link w:val="Zaglavlje"/>
    <w:uiPriority w:val="99"/>
    <w:rsid w:val="003B4DA0"/>
    <w:rPr>
      <w:rFonts w:ascii="Times New Roman" w:hAnsi="Times New Roman"/>
      <w:sz w:val="24"/>
      <w:szCs w:val="24"/>
    </w:rPr>
  </w:style>
  <w:style w:styleId="Podnoje" w:type="paragraph">
    <w:name w:val="footer"/>
    <w:basedOn w:val="Normal"/>
    <w:link w:val="PodnojeChar"/>
    <w:uiPriority w:val="99"/>
    <w:unhideWhenUsed/>
    <w:rsid w:val="003B4DA0"/>
    <w:pPr>
      <w:tabs>
        <w:tab w:pos="4536" w:val="center"/>
        <w:tab w:pos="9072" w:val="right"/>
      </w:tabs>
      <w:spacing w:after="0"/>
    </w:pPr>
  </w:style>
  <w:style w:customStyle="1" w:styleId="PodnojeChar" w:type="character">
    <w:name w:val="Podnožje Char"/>
    <w:basedOn w:val="Zadanifontodlomka"/>
    <w:link w:val="Podnoje"/>
    <w:uiPriority w:val="99"/>
    <w:rsid w:val="003B4DA0"/>
    <w:rPr>
      <w:rFonts w:ascii="Times New Roman" w:hAnsi="Times New Roman"/>
      <w:sz w:val="24"/>
      <w:szCs w:val="24"/>
    </w:rPr>
  </w:style>
  <w:style w:styleId="Tekstrezerviranogmjesta" w:type="character">
    <w:name w:val="Placeholder Text"/>
    <w:basedOn w:val="Zadanifontodlomka"/>
    <w:uiPriority w:val="99"/>
    <w:semiHidden/>
    <w:rsid w:val="009C5C8E"/>
    <w:rPr>
      <w:color w:val="808080"/>
      <w:bdr w:color="auto" w:space="0" w:sz="0" w:val="none"/>
      <w:shd w:color="auto" w:fill="auto" w:val="clear"/>
    </w:rPr>
  </w:style>
  <w:style w:customStyle="1" w:styleId="eSPISCCParagraphDefaultFont" w:type="character">
    <w:name w:val="eSPIS_CC_Paragraph Default Font"/>
    <w:basedOn w:val="PozadinaSvijetloZelena"/>
    <w:rsid w:val="009C5C8E"/>
    <w:rPr>
      <w:rFonts w:ascii="Times New Roman" w:cs="Times New Roman" w:hAnsi="Times New Roman"/>
      <w:noProof/>
      <w:sz w:val="24"/>
      <w:bdr w:color="auto" w:space="0" w:sz="0" w:val="none"/>
      <w:shd w:color="auto" w:fill="auto"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3515349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glossary/_rels/document.xml.rels><?xml version="1.0" encoding="UTF-8" standalone="yes"?><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95BC54607BCE4FBCA9D885DFD19291FC"/>
        <w:category>
          <w:name w:val="Općenito"/>
          <w:gallery w:val="placeholder"/>
        </w:category>
        <w:types>
          <w:type w:val="bbPlcHdr"/>
        </w:types>
        <w:behaviors>
          <w:behavior w:val="content"/>
        </w:behaviors>
        <w:guid w:val="{E3F9CCD9-A8E6-47CC-A85E-5A382E6C2C90}"/>
      </w:docPartPr>
      <w:docPartBody>
        <w:p w:rsidRDefault="00DD6AE8" w:rsidP="00DD6AE8" w:rsidR="00522D59">
          <w:pPr>
            <w:pStyle w:val="95BC54607BCE4FBCA9D885DFD19291FC"/>
          </w:pPr>
          <w:r>
            <w:rPr>
              <w:rStyle w:val="Tekstrezerviranogmjesta"/>
              <w:bdr w:frame="true" w:space="0" w:sz="0" w:color="auto" w:val="none"/>
            </w:rPr>
            <w:t>Click here to enter text.</w:t>
          </w:r>
        </w:p>
      </w:docPartBody>
    </w:docPart>
    <w:docPart>
      <w:docPartPr>
        <w:name w:val="37E656D7D12B436FAEDF535E7BAABB7D"/>
        <w:category>
          <w:name w:val="Općenito"/>
          <w:gallery w:val="placeholder"/>
        </w:category>
        <w:types>
          <w:type w:val="bbPlcHdr"/>
        </w:types>
        <w:behaviors>
          <w:behavior w:val="content"/>
        </w:behaviors>
        <w:guid w:val="{2630D1CD-ED26-43BE-B412-33034B6DBCF6}"/>
      </w:docPartPr>
      <w:docPartBody>
        <w:p w:rsidRDefault="00DD6AE8" w:rsidP="00DD6AE8" w:rsidR="00522D59">
          <w:pPr>
            <w:pStyle w:val="37E656D7D12B436FAEDF535E7BAABB7D"/>
          </w:pPr>
          <w:r>
            <w:rPr>
              <w:rStyle w:val="Tekstrezerviranogmjesta"/>
              <w:bdr w:frame="true" w:space="0" w:sz="0" w:color="auto" w:val="none"/>
            </w:rPr>
            <w:t>.._.._.._.._.._.._.._..</w:t>
          </w:r>
        </w:p>
      </w:docPartBody>
    </w:docPart>
    <w:docPart>
      <w:docPartPr>
        <w:name w:val="BE506B463C5348189955A98909517892"/>
        <w:category>
          <w:name w:val="Općenito"/>
          <w:gallery w:val="placeholder"/>
        </w:category>
        <w:types>
          <w:type w:val="bbPlcHdr"/>
        </w:types>
        <w:behaviors>
          <w:behavior w:val="content"/>
        </w:behaviors>
        <w:guid w:val="{A01EB240-44E7-4C6A-BFFF-E508427E8674}"/>
      </w:docPartPr>
      <w:docPartBody>
        <w:p w:rsidRDefault="00DD6AE8" w:rsidP="00DD6AE8" w:rsidR="00522D59">
          <w:pPr>
            <w:pStyle w:val="BE506B463C5348189955A98909517892"/>
          </w:pPr>
          <w:r>
            <w:rPr>
              <w:rStyle w:val="Tekstrezerviranogmjesta"/>
              <w:bdr w:frame="true" w:space="0" w:sz="0" w:color="auto" w:val="none"/>
            </w:rPr>
            <w:t>.._.._.._.._.._.._.._..</w:t>
          </w:r>
        </w:p>
      </w:docPartBody>
    </w:docPart>
    <w:docPart>
      <w:docPartPr>
        <w:name w:val="8E939A7593044FF1BA8ABD191D6DF6B6"/>
        <w:category>
          <w:name w:val="Općenito"/>
          <w:gallery w:val="placeholder"/>
        </w:category>
        <w:types>
          <w:type w:val="bbPlcHdr"/>
        </w:types>
        <w:behaviors>
          <w:behavior w:val="content"/>
        </w:behaviors>
        <w:guid w:val="{70EB1A5D-C024-4875-BEB9-E69F2DF63206}"/>
      </w:docPartPr>
      <w:docPartBody>
        <w:p w:rsidRDefault="00DD6AE8" w:rsidP="00DD6AE8" w:rsidR="00522D59">
          <w:pPr>
            <w:pStyle w:val="8E939A7593044FF1BA8ABD191D6DF6B6"/>
          </w:pPr>
          <w:r>
            <w:rPr>
              <w:rStyle w:val="Tekstrezerviranogmjesta"/>
              <w:bdr w:frame="true" w:space="0" w:sz="0" w:color="auto" w:val="none"/>
            </w:rPr>
            <w:t>.._.._.._.._.._.._.._..</w:t>
          </w:r>
        </w:p>
      </w:docPartBody>
    </w:docPart>
    <w:docPart>
      <w:docPartPr>
        <w:name w:val="0C3F283B5A0F4093831657A118175D61"/>
        <w:category>
          <w:name w:val="Općenito"/>
          <w:gallery w:val="placeholder"/>
        </w:category>
        <w:types>
          <w:type w:val="bbPlcHdr"/>
        </w:types>
        <w:behaviors>
          <w:behavior w:val="content"/>
        </w:behaviors>
        <w:guid w:val="{0574C74A-54F7-4D9B-908B-5DF69CED8707}"/>
      </w:docPartPr>
      <w:docPartBody>
        <w:p w:rsidRDefault="00DD6AE8" w:rsidP="00DD6AE8" w:rsidR="00522D59">
          <w:pPr>
            <w:pStyle w:val="0C3F283B5A0F4093831657A118175D61"/>
          </w:pPr>
          <w:r>
            <w:rPr>
              <w:rStyle w:val="Tekstrezerviranogmjesta"/>
              <w:bdr w:frame="true" w:space="0" w:sz="0" w:color="auto" w:val="none"/>
            </w:rPr>
            <w:t>.._.._.._.._.._.._.._..</w:t>
          </w:r>
        </w:p>
      </w:docPartBody>
    </w:docPart>
    <w:docPart>
      <w:docPartPr>
        <w:name w:val="20886BB7D3914BD99741A573FA65915E"/>
        <w:category>
          <w:name w:val="Općenito"/>
          <w:gallery w:val="placeholder"/>
        </w:category>
        <w:types>
          <w:type w:val="bbPlcHdr"/>
        </w:types>
        <w:behaviors>
          <w:behavior w:val="content"/>
        </w:behaviors>
        <w:guid w:val="{14D07066-BADE-4E0E-BAA6-2273D7D21A10}"/>
      </w:docPartPr>
      <w:docPartBody>
        <w:p w:rsidRDefault="00DD6AE8" w:rsidP="00DD6AE8" w:rsidR="00522D59">
          <w:pPr>
            <w:pStyle w:val="20886BB7D3914BD99741A573FA65915E"/>
          </w:pPr>
          <w:r>
            <w:rPr>
              <w:rStyle w:val="Tekstrezerviranogmjesta"/>
              <w:bdr w:frame="true" w:space="0" w:sz="0" w:color="auto" w:val="none"/>
            </w:rPr>
            <w:t>.._.._.._.._.._.._.._..</w:t>
          </w:r>
        </w:p>
      </w:docPartBody>
    </w:docPart>
  </w:docParts>
</w:glossaryDocument>
</file>

<file path=word/glossary/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glossary/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D6AE8"/>
    <w:rsid w:val="002A5421"/>
    <w:rsid w:val="00522D59"/>
    <w:rsid w:val="00DD6AE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ecimalSymbol w:val=","/>
  <w:listSeparator w:val=";"/>
</w:settings>
</file>

<file path=word/glossary/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hr-HR"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DD6AE8"/>
  </w:style>
  <w:style w:customStyle="true" w:styleId="95BC54607BCE4FBCA9D885DFD19291FC" w:type="paragraph">
    <w:name w:val="95BC54607BCE4FBCA9D885DFD19291FC"/>
    <w:rsid w:val="00DD6AE8"/>
  </w:style>
  <w:style w:customStyle="true" w:styleId="37E656D7D12B436FAEDF535E7BAABB7D" w:type="paragraph">
    <w:name w:val="37E656D7D12B436FAEDF535E7BAABB7D"/>
    <w:rsid w:val="00DD6AE8"/>
  </w:style>
  <w:style w:customStyle="true" w:styleId="BE506B463C5348189955A98909517892" w:type="paragraph">
    <w:name w:val="BE506B463C5348189955A98909517892"/>
    <w:rsid w:val="00DD6AE8"/>
  </w:style>
  <w:style w:customStyle="true" w:styleId="8E939A7593044FF1BA8ABD191D6DF6B6" w:type="paragraph">
    <w:name w:val="8E939A7593044FF1BA8ABD191D6DF6B6"/>
    <w:rsid w:val="00DD6AE8"/>
  </w:style>
  <w:style w:customStyle="true" w:styleId="0C3F283B5A0F4093831657A118175D61" w:type="paragraph">
    <w:name w:val="0C3F283B5A0F4093831657A118175D61"/>
    <w:rsid w:val="00DD6AE8"/>
  </w:style>
  <w:style w:customStyle="true" w:styleId="20886BB7D3914BD99741A573FA65915E" w:type="paragraph">
    <w:name w:val="20886BB7D3914BD99741A573FA65915E"/>
    <w:rsid w:val="00DD6AE8"/>
  </w:style>
</w:styles>
</file>

<file path=word/glossary/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DD6AE8"/>
  </w:style>
  <w:style w:customStyle="1" w:styleId="95BC54607BCE4FBCA9D885DFD19291FC" w:type="paragraph">
    <w:name w:val="95BC54607BCE4FBCA9D885DFD19291FC"/>
    <w:rsid w:val="00DD6AE8"/>
  </w:style>
  <w:style w:customStyle="1" w:styleId="37E656D7D12B436FAEDF535E7BAABB7D" w:type="paragraph">
    <w:name w:val="37E656D7D12B436FAEDF535E7BAABB7D"/>
    <w:rsid w:val="00DD6AE8"/>
  </w:style>
  <w:style w:customStyle="1" w:styleId="BE506B463C5348189955A98909517892" w:type="paragraph">
    <w:name w:val="BE506B463C5348189955A98909517892"/>
    <w:rsid w:val="00DD6AE8"/>
  </w:style>
  <w:style w:customStyle="1" w:styleId="8E939A7593044FF1BA8ABD191D6DF6B6" w:type="paragraph">
    <w:name w:val="8E939A7593044FF1BA8ABD191D6DF6B6"/>
    <w:rsid w:val="00DD6AE8"/>
  </w:style>
  <w:style w:customStyle="1" w:styleId="0C3F283B5A0F4093831657A118175D61" w:type="paragraph">
    <w:name w:val="0C3F283B5A0F4093831657A118175D61"/>
    <w:rsid w:val="00DD6AE8"/>
  </w:style>
  <w:style w:customStyle="1" w:styleId="20886BB7D3914BD99741A573FA65915E" w:type="paragraph">
    <w:name w:val="20886BB7D3914BD99741A573FA65915E"/>
    <w:rsid w:val="00DD6AE8"/>
  </w:style>
</w:styles>
</file>

<file path=word/glossary/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89</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Zagreb</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Berislavićeva 11</derivirana_varijabla>
  </DomainObject.Predmet.Sud.Adresa.UlicaIKBR>
  <DomainObject.Predmet.Sud.Naziv>
    <izvorni_sadrzaj/>
    <derivirana_varijabla naziv="DomainObject.Predmet.Sud.Naziv_1">Visoki trgovački sud Republike Hrvatske</derivirana_varijabla>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Pž-6312/2018-2</derivirana_varijabla>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9</properties:Pages>
  <properties:Words>3681</properties:Words>
  <properties:Characters>22237</properties:Characters>
  <properties:Lines>527</properties:Lines>
  <properties:Paragraphs>210</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25787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2018-12-17T12:26:00Z</dcterms:created>
  <dc:creator>Ljiljana Cafuk</dc:creator>
  <cp:lastModifiedBy>Ljiljana Cafuk</cp:lastModifiedBy>
  <dcterms:modified xmlns:xsi="http://www.w3.org/2001/XMLSchema-instance" xsi:type="dcterms:W3CDTF">2018-12-17T12:41:00Z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St-800/2017-78 / Podnesak - Rješenje - prihvaćena žalba - ukinuto 1. st. rješenje (St-800-17 - Pž-6312-18.docx)</vt:lpwstr>
  </prop:property>
  <prop:property name="CC_coloring" pid="4" fmtid="{D5CDD505-2E9C-101B-9397-08002B2CF9AE}">
    <vt:bool>false</vt:bool>
  </prop:property>
  <prop:property name="BrojStranica" pid="5" fmtid="{D5CDD505-2E9C-101B-9397-08002B2CF9AE}">
    <vt:i4>9</vt:i4>
  </prop:property>
</prop:Properties>
</file>