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614684" w14:paraId="1614684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265B98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265B98">
              <w:t>5 St-127/12-175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2712F" w:rsidP="0049749B" w:rsidR="00A2712F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971D6" w:rsidP="009949CB" w:rsidR="009949CB" w:rsidRPr="00265B98">
      <w:pPr>
        <w:spacing w:lineRule="auto" w:line="240"/>
        <w:ind w:firstLine="720"/>
        <w:jc w:val="both"/>
        <w:rPr>
          <w:rFonts w:hAnsi="Times New Roman" w:ascii="Times New Roman"/>
          <w:sz w:val="24"/>
          <w:szCs w:val="24"/>
        </w:rPr>
      </w:pPr>
      <w:r w:rsidRPr="00265B98">
        <w:rPr>
          <w:rFonts w:hAnsi="Times New Roman" w:ascii="Times New Roman"/>
          <w:sz w:val="24"/>
          <w:szCs w:val="24"/>
        </w:rPr>
        <w:t>Trgovački</w:t>
      </w:r>
      <w:r w:rsidR="008C4EFB" w:rsidRPr="00265B98">
        <w:rPr>
          <w:rFonts w:hAnsi="Times New Roman" w:ascii="Times New Roman"/>
          <w:sz w:val="24"/>
          <w:szCs w:val="24"/>
        </w:rPr>
        <w:t xml:space="preserve"> sud u Varaždinu</w:t>
      </w:r>
      <w:r w:rsidR="0056514C" w:rsidRPr="00265B98">
        <w:rPr>
          <w:rFonts w:hAnsi="Times New Roman" w:ascii="Times New Roman"/>
          <w:sz w:val="24"/>
          <w:szCs w:val="24"/>
        </w:rPr>
        <w:t xml:space="preserve">, </w:t>
      </w:r>
      <w:r w:rsidR="005463DD" w:rsidRPr="00265B98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BB5A4A" w:rsidRPr="00265B98">
        <w:rPr>
          <w:rFonts w:hAnsi="Times New Roman" w:ascii="Times New Roman"/>
          <w:sz w:val="24"/>
          <w:szCs w:val="24"/>
        </w:rPr>
        <w:t xml:space="preserve"> </w:t>
      </w:r>
      <w:r w:rsidR="00265B98" w:rsidRPr="00265B98">
        <w:rPr>
          <w:rFonts w:hAnsi="Times New Roman" w:ascii="Times New Roman"/>
          <w:sz w:val="24"/>
          <w:szCs w:val="24"/>
        </w:rPr>
        <w:t>stečajnim dužnikom BILOKALNIK-DRVO d.o.o. u stečaju, Koprivnica, Pavelinska bb, OIB: 29854066284, kojeg</w:t>
      </w:r>
      <w:r w:rsidR="00BB5A4A" w:rsidRPr="00265B98">
        <w:rPr>
          <w:rFonts w:hAnsi="Times New Roman" w:ascii="Times New Roman"/>
          <w:sz w:val="24"/>
          <w:szCs w:val="24"/>
        </w:rPr>
        <w:t xml:space="preserve"> zastupa stečajni upravitelj Želimir Uršulin iz Ivanca</w:t>
      </w:r>
      <w:r w:rsidR="005463DD" w:rsidRPr="00265B98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265B98" w:rsidRPr="00265B98">
        <w:rPr>
          <w:rFonts w:hAnsi="Times New Roman" w:ascii="Times New Roman"/>
          <w:sz w:val="24"/>
          <w:szCs w:val="24"/>
        </w:rPr>
        <w:t>4. svibnja</w:t>
      </w:r>
      <w:r w:rsidR="00BB5A4A" w:rsidRPr="00265B98">
        <w:rPr>
          <w:rFonts w:hAnsi="Times New Roman" w:ascii="Times New Roman"/>
          <w:sz w:val="24"/>
          <w:szCs w:val="24"/>
        </w:rPr>
        <w:t xml:space="preserve"> 2018</w:t>
      </w:r>
      <w:r w:rsidR="00186030" w:rsidRPr="00265B98">
        <w:rPr>
          <w:rFonts w:hAnsi="Times New Roman" w:ascii="Times New Roman"/>
          <w:sz w:val="24"/>
          <w:szCs w:val="24"/>
        </w:rPr>
        <w:t xml:space="preserve">., dana </w:t>
      </w:r>
      <w:r w:rsidR="00A82FB3">
        <w:rPr>
          <w:rFonts w:hAnsi="Times New Roman" w:ascii="Times New Roman"/>
          <w:sz w:val="24"/>
          <w:szCs w:val="24"/>
        </w:rPr>
        <w:t>17</w:t>
      </w:r>
      <w:r w:rsidR="00265B98" w:rsidRPr="00265B98">
        <w:rPr>
          <w:rFonts w:hAnsi="Times New Roman" w:ascii="Times New Roman"/>
          <w:sz w:val="24"/>
          <w:szCs w:val="24"/>
        </w:rPr>
        <w:t>. svibnja</w:t>
      </w:r>
      <w:r w:rsidR="00BB5A4A" w:rsidRPr="00265B98">
        <w:rPr>
          <w:rFonts w:hAnsi="Times New Roman" w:ascii="Times New Roman"/>
          <w:sz w:val="24"/>
          <w:szCs w:val="24"/>
        </w:rPr>
        <w:t xml:space="preserve"> 2018</w:t>
      </w:r>
      <w:r w:rsidR="005463DD" w:rsidRPr="00265B98">
        <w:rPr>
          <w:rFonts w:hAnsi="Times New Roman" w:ascii="Times New Roman"/>
          <w:sz w:val="24"/>
          <w:szCs w:val="24"/>
        </w:rPr>
        <w:t>.</w:t>
      </w:r>
    </w:p>
    <w:p w:rsidRDefault="00450291" w:rsidP="009949CB" w:rsidR="009949C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E74EBA" w:rsidP="007E6BD9" w:rsidR="00E74EBA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463DD" w:rsidP="005463DD" w:rsidR="005463D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 xml:space="preserve">U stečajnom postupku koji se vodi </w:t>
      </w:r>
      <w:r w:rsidR="00BB5A4A" w:rsidRPr="00BB5A4A">
        <w:rPr>
          <w:rFonts w:hAnsi="Times New Roman" w:ascii="Times New Roman"/>
          <w:sz w:val="24"/>
          <w:szCs w:val="24"/>
        </w:rPr>
        <w:t>nad</w:t>
      </w:r>
      <w:r w:rsidR="00265B98">
        <w:rPr>
          <w:rFonts w:hAnsi="Times New Roman" w:ascii="Times New Roman"/>
          <w:sz w:val="24"/>
          <w:szCs w:val="24"/>
        </w:rPr>
        <w:t xml:space="preserve"> stečajnim dužnikom </w:t>
      </w:r>
      <w:r w:rsidR="00265B98" w:rsidRPr="00265B98">
        <w:rPr>
          <w:rFonts w:hAnsi="Times New Roman" w:ascii="Times New Roman"/>
          <w:sz w:val="24"/>
          <w:szCs w:val="24"/>
        </w:rPr>
        <w:t>BILOKALNIK-DRVO d.o.o. u stečaju, Koprivnica, Pavelinska bb, OIB: 29854066284</w:t>
      </w:r>
      <w:r w:rsidR="00265B98">
        <w:rPr>
          <w:rFonts w:eastAsia="Times New Roman" w:hAnsi="Times New Roman" w:ascii="Times New Roman"/>
          <w:sz w:val="24"/>
          <w:szCs w:val="24"/>
          <w:lang w:eastAsia="hr-HR"/>
        </w:rPr>
        <w:t>, utvrđuju se sljedeće tražbine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BB5A4A" w:rsidP="00990A72" w:rsidR="00BB5A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63DD" w:rsidP="005463DD" w:rsidR="005463DD" w:rsidRPr="00FF3267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F326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I/   </w:t>
      </w:r>
      <w:r w:rsidR="009949CB">
        <w:rPr>
          <w:rFonts w:eastAsia="Times New Roman" w:hAnsi="Times New Roman" w:ascii="Times New Roman"/>
          <w:bCs/>
          <w:sz w:val="24"/>
          <w:szCs w:val="24"/>
          <w:lang w:eastAsia="hr-HR"/>
        </w:rPr>
        <w:t>PRVI</w:t>
      </w:r>
      <w:r w:rsidRPr="00FF326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VIŠI  ISPLATNI  RED</w:t>
      </w:r>
    </w:p>
    <w:p w:rsidRDefault="005463DD" w:rsidP="005463DD" w:rsidR="005463DD" w:rsidRPr="00FF3267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86030" w:rsidP="007E6BD9" w:rsidR="00E74EBA">
      <w:pPr>
        <w:pStyle w:val="Odlomakpopisa"/>
        <w:numPr>
          <w:ilvl w:val="0"/>
          <w:numId w:val="4"/>
        </w:numPr>
        <w:tabs>
          <w:tab w:pos="5400" w:val="lef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186030">
        <w:rPr>
          <w:rFonts w:eastAsia="Times New Roman" w:hAnsi="Times New Roman" w:ascii="Times New Roman"/>
          <w:bCs/>
          <w:sz w:val="24"/>
          <w:szCs w:val="24"/>
          <w:lang w:eastAsia="hr-HR"/>
        </w:rPr>
        <w:t>U CIJELOSTI</w:t>
      </w:r>
      <w:r w:rsidR="005463DD" w:rsidRPr="0018603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</w:t>
      </w:r>
      <w:r w:rsidR="009949CB">
        <w:rPr>
          <w:rFonts w:eastAsia="Times New Roman" w:hAnsi="Times New Roman" w:ascii="Times New Roman"/>
          <w:bCs/>
          <w:sz w:val="24"/>
          <w:szCs w:val="24"/>
          <w:lang w:eastAsia="hr-HR"/>
        </w:rPr>
        <w:t>OSPORENE</w:t>
      </w:r>
      <w:r w:rsidR="005463DD" w:rsidRPr="0018603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TRAŽBINE   </w:t>
      </w:r>
    </w:p>
    <w:p w:rsidRDefault="00186030" w:rsidP="00990A72" w:rsidR="0018603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10916"/>
        <w:tblInd w:type="dxa" w:w="-743"/>
        <w:tblLayout w:type="fixed"/>
        <w:tblLook w:val="04A0" w:noVBand="1" w:noHBand="0" w:lastColumn="0" w:firstColumn="1" w:lastRow="0" w:firstRow="1"/>
      </w:tblPr>
      <w:tblGrid>
        <w:gridCol w:w="567"/>
        <w:gridCol w:w="2552"/>
        <w:gridCol w:w="2127"/>
        <w:gridCol w:w="1294"/>
        <w:gridCol w:w="1682"/>
        <w:gridCol w:w="1276"/>
        <w:gridCol w:w="1418"/>
      </w:tblGrid>
      <w:tr w:rsidTr="004F6E9C" w:rsidR="009949CB">
        <w:trPr>
          <w:trHeight w:val="402"/>
        </w:trPr>
        <w:tc>
          <w:tcPr>
            <w:tcW w:type="dxa" w:w="567"/>
            <w:tcBorders>
              <w:top w:space="0" w:sz="6" w:color="000000" w:val="double"/>
              <w:left w:space="0" w:sz="6" w:color="000000" w:val="double"/>
              <w:right w:val="nil"/>
            </w:tcBorders>
            <w:noWrap/>
            <w:vAlign w:val="bottom"/>
            <w:hideMark/>
          </w:tcPr>
          <w:p w:rsidRDefault="009949CB" w:rsidR="009949CB">
            <w:pPr>
              <w:snapToGrid w:val="false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Cs w:val="24"/>
                <w:lang w:eastAsia="hr-HR"/>
              </w:rPr>
              <w:t>R.</w:t>
            </w:r>
          </w:p>
        </w:tc>
        <w:tc>
          <w:tcPr>
            <w:tcW w:type="dxa" w:w="2552"/>
            <w:tcBorders>
              <w:top w:space="0" w:sz="6" w:color="000000" w:val="double"/>
              <w:left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9949CB" w:rsidR="009949CB">
            <w:pPr>
              <w:snapToGrid w:val="false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Cs w:val="24"/>
                <w:lang w:eastAsia="hr-HR"/>
              </w:rPr>
              <w:t>Naziv</w:t>
            </w:r>
          </w:p>
        </w:tc>
        <w:tc>
          <w:tcPr>
            <w:tcW w:type="dxa" w:w="2127"/>
            <w:tcBorders>
              <w:top w:space="0" w:sz="6" w:color="000000" w:val="double"/>
              <w:left w:val="nil"/>
              <w:right w:val="nil"/>
            </w:tcBorders>
            <w:noWrap/>
            <w:vAlign w:val="center"/>
            <w:hideMark/>
          </w:tcPr>
          <w:p w:rsidRDefault="009949CB" w:rsidR="009949CB">
            <w:pPr>
              <w:snapToGrid w:val="false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Cs w:val="24"/>
                <w:lang w:eastAsia="hr-HR"/>
              </w:rPr>
              <w:t>Adresa</w:t>
            </w:r>
          </w:p>
        </w:tc>
        <w:tc>
          <w:tcPr>
            <w:tcW w:type="dxa" w:w="1294"/>
            <w:tcBorders>
              <w:top w:space="0" w:sz="6" w:color="000000" w:val="double"/>
              <w:left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9949CB" w:rsidR="009949CB">
            <w:pPr>
              <w:snapToGrid w:val="false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Cs w:val="24"/>
                <w:lang w:eastAsia="hr-HR"/>
              </w:rPr>
              <w:t xml:space="preserve">Osnova </w:t>
            </w:r>
          </w:p>
        </w:tc>
        <w:tc>
          <w:tcPr>
            <w:tcW w:type="dxa" w:w="1682"/>
            <w:tcBorders>
              <w:top w:space="0" w:sz="6" w:color="000000" w:val="double"/>
              <w:left w:val="nil"/>
              <w:right w:val="nil"/>
            </w:tcBorders>
            <w:noWrap/>
            <w:vAlign w:val="bottom"/>
            <w:hideMark/>
          </w:tcPr>
          <w:p w:rsidRDefault="009949CB" w:rsidR="009949CB">
            <w:pPr>
              <w:snapToGrid w:val="false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Cs w:val="24"/>
                <w:lang w:eastAsia="hr-HR"/>
              </w:rPr>
              <w:t>Iznos prijavljene</w:t>
            </w:r>
          </w:p>
        </w:tc>
        <w:tc>
          <w:tcPr>
            <w:tcW w:type="dxa" w:w="1276"/>
            <w:tcBorders>
              <w:top w:space="0" w:sz="6" w:color="000000" w:val="double"/>
              <w:left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9949CB" w:rsidR="009949CB">
            <w:pPr>
              <w:snapToGrid w:val="false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Cs w:val="24"/>
                <w:lang w:eastAsia="hr-HR"/>
              </w:rPr>
              <w:t>Iznos osporene</w:t>
            </w:r>
          </w:p>
        </w:tc>
        <w:tc>
          <w:tcPr>
            <w:tcW w:type="dxa" w:w="1418"/>
            <w:tcBorders>
              <w:top w:space="0" w:sz="6" w:color="000000" w:val="double"/>
              <w:left w:val="nil"/>
              <w:right w:space="0" w:sz="6" w:color="000000" w:val="double"/>
            </w:tcBorders>
            <w:noWrap/>
            <w:vAlign w:val="bottom"/>
            <w:hideMark/>
          </w:tcPr>
          <w:p w:rsidRDefault="009949CB" w:rsidR="009949CB">
            <w:pPr>
              <w:snapToGrid w:val="false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Cs w:val="24"/>
                <w:lang w:eastAsia="hr-HR"/>
              </w:rPr>
              <w:t>Iznos priznate</w:t>
            </w:r>
          </w:p>
        </w:tc>
      </w:tr>
      <w:tr w:rsidTr="004F6E9C" w:rsidR="009949CB">
        <w:trPr>
          <w:trHeight w:val="285"/>
        </w:trPr>
        <w:tc>
          <w:tcPr>
            <w:tcW w:type="dxa" w:w="567"/>
            <w:tcBorders>
              <w:top w:val="nil"/>
              <w:left w:space="0" w:sz="6" w:color="000000" w:val="doub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949CB" w:rsidR="009949CB">
            <w:pPr>
              <w:snapToGrid w:val="false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Cs w:val="24"/>
                <w:lang w:eastAsia="hr-HR"/>
              </w:rPr>
              <w:t>br.</w:t>
            </w:r>
          </w:p>
        </w:tc>
        <w:tc>
          <w:tcPr>
            <w:tcW w:type="dxa" w:w="2552"/>
            <w:tcBorders>
              <w:top w:val="nil"/>
              <w:left w:space="0" w:sz="6" w:color="000000" w:val="double"/>
              <w:bottom w:space="0" w:sz="4" w:color="auto" w:val="single"/>
              <w:right w:space="0" w:sz="6" w:color="000000" w:val="double"/>
            </w:tcBorders>
            <w:noWrap/>
            <w:vAlign w:val="bottom"/>
            <w:hideMark/>
          </w:tcPr>
          <w:p w:rsidRDefault="009949CB" w:rsidR="009949CB">
            <w:pPr>
              <w:snapToGrid w:val="false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Cs w:val="24"/>
                <w:lang w:eastAsia="hr-HR"/>
              </w:rPr>
              <w:t>vjerovnika</w:t>
            </w:r>
          </w:p>
        </w:tc>
        <w:tc>
          <w:tcPr>
            <w:tcW w:type="dxa" w:w="2127"/>
            <w:tcBorders>
              <w:bottom w:space="0" w:sz="4" w:color="auto" w:val="single"/>
            </w:tcBorders>
            <w:noWrap/>
            <w:vAlign w:val="center"/>
            <w:hideMark/>
          </w:tcPr>
          <w:p w:rsidRDefault="009949CB" w:rsidR="009949CB">
            <w:pPr>
              <w:rPr>
                <w:rFonts w:hAnsi="Times New Roman" w:ascii="Times New Roman"/>
                <w:sz w:val="20"/>
                <w:lang w:eastAsia="hr-HR"/>
              </w:rPr>
            </w:pPr>
          </w:p>
        </w:tc>
        <w:tc>
          <w:tcPr>
            <w:tcW w:type="dxa" w:w="1294"/>
            <w:tcBorders>
              <w:top w:val="nil"/>
              <w:left w:space="0" w:sz="6" w:color="000000" w:val="double"/>
              <w:bottom w:space="0" w:sz="4" w:color="auto" w:val="single"/>
              <w:right w:space="0" w:sz="6" w:color="000000" w:val="double"/>
            </w:tcBorders>
            <w:noWrap/>
            <w:vAlign w:val="bottom"/>
            <w:hideMark/>
          </w:tcPr>
          <w:p w:rsidRDefault="009949CB" w:rsidR="009949CB">
            <w:pPr>
              <w:snapToGrid w:val="false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Cs w:val="24"/>
                <w:lang w:eastAsia="hr-HR"/>
              </w:rPr>
              <w:t>tražbine</w:t>
            </w:r>
          </w:p>
        </w:tc>
        <w:tc>
          <w:tcPr>
            <w:tcW w:type="dxa" w:w="1682"/>
            <w:tcBorders>
              <w:bottom w:space="0" w:sz="4" w:color="auto" w:val="single"/>
            </w:tcBorders>
            <w:noWrap/>
            <w:vAlign w:val="bottom"/>
            <w:hideMark/>
          </w:tcPr>
          <w:p w:rsidRDefault="009949CB" w:rsidR="009949CB">
            <w:pPr>
              <w:snapToGrid w:val="false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Cs w:val="24"/>
                <w:lang w:eastAsia="hr-HR"/>
              </w:rPr>
              <w:t xml:space="preserve"> tražbine</w:t>
            </w:r>
          </w:p>
        </w:tc>
        <w:tc>
          <w:tcPr>
            <w:tcW w:type="dxa" w:w="1276"/>
            <w:tcBorders>
              <w:top w:val="nil"/>
              <w:left w:space="0" w:sz="6" w:color="000000" w:val="double"/>
              <w:bottom w:space="0" w:sz="4" w:color="auto" w:val="single"/>
              <w:right w:space="0" w:sz="6" w:color="000000" w:val="double"/>
            </w:tcBorders>
            <w:noWrap/>
            <w:vAlign w:val="bottom"/>
            <w:hideMark/>
          </w:tcPr>
          <w:p w:rsidRDefault="009949CB" w:rsidR="009949CB">
            <w:pPr>
              <w:snapToGrid w:val="false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Cs w:val="24"/>
                <w:lang w:eastAsia="hr-HR"/>
              </w:rPr>
              <w:t>tražbine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6" w:color="000000" w:val="double"/>
            </w:tcBorders>
            <w:noWrap/>
            <w:vAlign w:val="bottom"/>
            <w:hideMark/>
          </w:tcPr>
          <w:p w:rsidRDefault="009949CB" w:rsidR="009949CB">
            <w:pPr>
              <w:snapToGrid w:val="false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Cs w:val="24"/>
                <w:lang w:eastAsia="hr-HR"/>
              </w:rPr>
              <w:t>tražbine</w:t>
            </w:r>
          </w:p>
        </w:tc>
      </w:tr>
      <w:tr w:rsidTr="004F6E9C" w:rsidR="009949CB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9949CB" w:rsidR="009949CB">
            <w:pPr>
              <w:snapToGrid w:val="false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Cs w:val="24"/>
                <w:lang w:eastAsia="hr-HR"/>
              </w:rPr>
              <w:t>1.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9949CB" w:rsidR="009949CB">
            <w:pPr>
              <w:snapToGrid w:val="false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Cs w:val="24"/>
                <w:lang w:eastAsia="hr-HR"/>
              </w:rPr>
              <w:t>Josip Teskera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9949CB" w:rsidR="009949CB">
            <w:pPr>
              <w:snapToGrid w:val="false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Cs w:val="24"/>
                <w:lang w:eastAsia="hr-HR"/>
              </w:rPr>
              <w:t>Višnjevac, E. Kvaternika 50</w:t>
            </w:r>
          </w:p>
        </w:tc>
        <w:tc>
          <w:tcPr>
            <w:tcW w:type="dxa" w:w="1294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9949CB" w:rsidR="009949CB">
            <w:pPr>
              <w:snapToGrid w:val="false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Cs w:val="24"/>
                <w:lang w:eastAsia="hr-HR"/>
              </w:rPr>
              <w:t xml:space="preserve">otpremnina </w:t>
            </w:r>
          </w:p>
        </w:tc>
        <w:tc>
          <w:tcPr>
            <w:tcW w:type="dxa" w:w="1682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9949CB" w:rsidR="009949CB">
            <w:pPr>
              <w:snapToGrid w:val="false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Cs w:val="24"/>
                <w:lang w:eastAsia="hr-HR"/>
              </w:rPr>
              <w:t>210.600,00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9949CB" w:rsidR="009949CB">
            <w:pPr>
              <w:snapToGrid w:val="false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Cs w:val="24"/>
                <w:lang w:eastAsia="hr-HR"/>
              </w:rPr>
              <w:t>210.600,00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9949CB" w:rsidR="009949CB">
            <w:pPr>
              <w:snapToGrid w:val="false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Cs w:val="24"/>
                <w:lang w:eastAsia="hr-HR"/>
              </w:rPr>
              <w:t>0,00</w:t>
            </w:r>
          </w:p>
        </w:tc>
      </w:tr>
    </w:tbl>
    <w:p w:rsidRDefault="00265B98" w:rsidP="002F61DE" w:rsidR="00265B9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6BBA" w:rsidP="00C10F64" w:rsidR="00ED6BBA" w:rsidRPr="00C10F6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2712F" w:rsidP="00C10F64" w:rsidR="009949C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010D7B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9949CB">
        <w:rPr>
          <w:rFonts w:eastAsia="Times New Roman" w:hAnsi="Times New Roman" w:ascii="Times New Roman"/>
          <w:sz w:val="24"/>
          <w:szCs w:val="24"/>
          <w:lang w:eastAsia="hr-HR"/>
        </w:rPr>
        <w:t>/  DRUGI VIŠI ISPLATNI RED</w:t>
      </w:r>
    </w:p>
    <w:p w:rsidRDefault="00356B54" w:rsidP="00C10F64" w:rsidR="00356B5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56B54" w:rsidP="00A26539" w:rsidR="00356B54" w:rsidRPr="00A2653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26539">
        <w:rPr>
          <w:rFonts w:eastAsia="Times New Roman" w:hAnsi="Times New Roman" w:ascii="Times New Roman"/>
          <w:sz w:val="24"/>
          <w:szCs w:val="24"/>
          <w:lang w:eastAsia="hr-HR"/>
        </w:rPr>
        <w:t>U CIJELOSTI I DJELOMIČNO PRIZNATE TRAŽBINE</w:t>
      </w:r>
    </w:p>
    <w:p w:rsidRDefault="009949CB" w:rsidP="00C10F64" w:rsidR="009949C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11057"/>
        <w:tblInd w:type="dxa" w:w="-743"/>
        <w:tblLayout w:type="fixed"/>
        <w:tblLook w:val="04A0" w:noVBand="1" w:noHBand="0" w:lastColumn="0" w:firstColumn="1" w:lastRow="0" w:firstRow="1"/>
      </w:tblPr>
      <w:tblGrid>
        <w:gridCol w:w="567"/>
        <w:gridCol w:w="2552"/>
        <w:gridCol w:w="2127"/>
        <w:gridCol w:w="1275"/>
        <w:gridCol w:w="1701"/>
        <w:gridCol w:w="1134"/>
        <w:gridCol w:w="1701"/>
      </w:tblGrid>
      <w:tr w:rsidTr="004F6E9C" w:rsidR="009949CB" w:rsidRPr="009949CB">
        <w:trPr>
          <w:trHeight w:val="402"/>
        </w:trPr>
        <w:tc>
          <w:tcPr>
            <w:tcW w:type="dxa" w:w="567"/>
            <w:tcBorders>
              <w:top w:space="0" w:sz="6" w:color="000000" w:val="double"/>
              <w:left w:space="0" w:sz="6" w:color="000000" w:val="doub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R.</w:t>
            </w:r>
          </w:p>
        </w:tc>
        <w:tc>
          <w:tcPr>
            <w:tcW w:type="dxa" w:w="2552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Naziv</w:t>
            </w:r>
          </w:p>
        </w:tc>
        <w:tc>
          <w:tcPr>
            <w:tcW w:type="dxa" w:w="2127"/>
            <w:tcBorders>
              <w:top w:space="0" w:sz="6" w:color="000000" w:val="doub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dxa" w:w="1275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Osnova 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prijavljene</w:t>
            </w:r>
          </w:p>
        </w:tc>
        <w:tc>
          <w:tcPr>
            <w:tcW w:type="dxa" w:w="1134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osporene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priznate</w:t>
            </w:r>
          </w:p>
        </w:tc>
      </w:tr>
      <w:tr w:rsidTr="004F6E9C" w:rsidR="009949CB" w:rsidRPr="009949CB">
        <w:trPr>
          <w:trHeight w:val="285"/>
        </w:trPr>
        <w:tc>
          <w:tcPr>
            <w:tcW w:type="dxa" w:w="567"/>
            <w:tcBorders>
              <w:top w:val="nil"/>
              <w:left w:space="0" w:sz="6" w:color="000000" w:val="doub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br.</w:t>
            </w:r>
          </w:p>
        </w:tc>
        <w:tc>
          <w:tcPr>
            <w:tcW w:type="dxa" w:w="2552"/>
            <w:tcBorders>
              <w:top w:val="nil"/>
              <w:left w:space="0" w:sz="6" w:color="000000" w:val="double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vjerovnika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6" w:color="000000" w:val="double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tražbine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</w:t>
            </w:r>
          </w:p>
        </w:tc>
        <w:tc>
          <w:tcPr>
            <w:tcW w:type="dxa" w:w="1134"/>
            <w:tcBorders>
              <w:top w:val="nil"/>
              <w:left w:space="0" w:sz="6" w:color="000000" w:val="double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tražbine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tražbine</w:t>
            </w:r>
          </w:p>
        </w:tc>
      </w:tr>
      <w:tr w:rsidTr="004F6E9C" w:rsidR="009949CB" w:rsidRPr="009949CB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6" w:color="000000" w:val="doub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552"/>
            <w:tcBorders>
              <w:top w:space="0" w:sz="4" w:color="auto" w:val="sing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PORSCHE LEASING d.o.o. zastupan po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V. Škorpika 21</w:t>
            </w:r>
          </w:p>
        </w:tc>
        <w:tc>
          <w:tcPr>
            <w:tcW w:type="dxa" w:w="1275"/>
            <w:tcBorders>
              <w:top w:space="0" w:sz="4" w:color="auto" w:val="sing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računi za odštetu po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126.792,93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126.792,93</w:t>
            </w:r>
          </w:p>
        </w:tc>
      </w:tr>
      <w:tr w:rsidTr="004F6E9C" w:rsidR="009949CB" w:rsidRPr="009949CB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55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odvjetniku Hrvoju Arku</w:t>
            </w:r>
          </w:p>
        </w:tc>
        <w:tc>
          <w:tcPr>
            <w:tcW w:type="dxa" w:w="2127"/>
            <w:tcBorders>
              <w:top w:val="nil"/>
              <w:left w:val="nil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Jurišićeva 7</w:t>
            </w:r>
          </w:p>
        </w:tc>
        <w:tc>
          <w:tcPr>
            <w:tcW w:type="dxa" w:w="1275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konačnom obračunu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4F6E9C" w:rsidR="009949CB" w:rsidRPr="009949CB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2.</w:t>
            </w:r>
          </w:p>
        </w:tc>
        <w:tc>
          <w:tcPr>
            <w:tcW w:type="dxa" w:w="2552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ŽIVA VODA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Vrtni put 3</w:t>
            </w:r>
          </w:p>
        </w:tc>
        <w:tc>
          <w:tcPr>
            <w:tcW w:type="dxa" w:w="127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računi za robu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44.007,78</w:t>
            </w:r>
          </w:p>
        </w:tc>
        <w:tc>
          <w:tcPr>
            <w:tcW w:type="dxa" w:w="1134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44.007,78</w:t>
            </w:r>
          </w:p>
        </w:tc>
      </w:tr>
      <w:tr w:rsidTr="004F6E9C" w:rsidR="009949CB" w:rsidRPr="009949CB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2552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ŠUMSKA BIOMASA d.o.o.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Lj.F.Vukotinovića 2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računi za robu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364.053,81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364.053,81</w:t>
            </w:r>
          </w:p>
        </w:tc>
      </w:tr>
      <w:tr w:rsidTr="004F6E9C" w:rsidR="009949CB" w:rsidRPr="009949CB">
        <w:trPr>
          <w:trHeight w:val="402"/>
        </w:trPr>
        <w:tc>
          <w:tcPr>
            <w:tcW w:type="dxa" w:w="567"/>
            <w:tcBorders>
              <w:top w:space="0" w:sz="6" w:color="000000" w:val="double"/>
              <w:left w:space="0" w:sz="6" w:color="000000" w:val="doub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2552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TERRA JASKA d.o.o., zastupano po  </w:t>
            </w:r>
          </w:p>
        </w:tc>
        <w:tc>
          <w:tcPr>
            <w:tcW w:type="dxa" w:w="2127"/>
            <w:tcBorders>
              <w:top w:space="0" w:sz="6" w:color="000000" w:val="doub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Strmec Samoborski, Kralja Tomislava 20</w:t>
            </w:r>
          </w:p>
        </w:tc>
        <w:tc>
          <w:tcPr>
            <w:tcW w:type="dxa" w:w="1275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računi za robu, kta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7.973,32</w:t>
            </w:r>
          </w:p>
        </w:tc>
        <w:tc>
          <w:tcPr>
            <w:tcW w:type="dxa" w:w="1134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6.835,82</w:t>
            </w:r>
          </w:p>
        </w:tc>
      </w:tr>
      <w:tr w:rsidTr="004F6E9C" w:rsidR="009949CB" w:rsidRPr="009949CB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552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odvj. Ljiljana Maravić-Pirš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Ul. kneza Branimira 5</w:t>
            </w:r>
          </w:p>
        </w:tc>
        <w:tc>
          <w:tcPr>
            <w:tcW w:type="dxa" w:w="1275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4F6E9C" w:rsidR="009949CB" w:rsidRPr="009949CB">
        <w:trPr>
          <w:trHeight w:val="402"/>
        </w:trPr>
        <w:tc>
          <w:tcPr>
            <w:tcW w:type="dxa" w:w="567"/>
            <w:tcBorders>
              <w:top w:space="0" w:sz="6" w:color="000000" w:val="double"/>
              <w:left w:space="0" w:sz="6" w:color="000000" w:val="doub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2552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GRANT THORNTON revizija d.o.o. zastupano po </w:t>
            </w:r>
          </w:p>
        </w:tc>
        <w:tc>
          <w:tcPr>
            <w:tcW w:type="dxa" w:w="2127"/>
            <w:tcBorders>
              <w:top w:space="0" w:sz="6" w:color="000000" w:val="doub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Koranska 16</w:t>
            </w:r>
          </w:p>
        </w:tc>
        <w:tc>
          <w:tcPr>
            <w:tcW w:type="dxa" w:w="1275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računi za uslugu, kta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66.680,14</w:t>
            </w:r>
          </w:p>
        </w:tc>
        <w:tc>
          <w:tcPr>
            <w:tcW w:type="dxa" w:w="1134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66.680,14</w:t>
            </w:r>
          </w:p>
        </w:tc>
      </w:tr>
      <w:tr w:rsidTr="004F6E9C" w:rsidR="009949CB" w:rsidRPr="009949CB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55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OD Kovač&amp;Miše Bobinac,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6" w:color="000000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I. Lučića 2a</w:t>
            </w:r>
          </w:p>
        </w:tc>
        <w:tc>
          <w:tcPr>
            <w:tcW w:type="dxa" w:w="1275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4F6E9C" w:rsidR="009949CB" w:rsidRPr="009949CB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FFFFFF" w:color="FFFFCC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2552"/>
            <w:tcBorders>
              <w:top w:val="nil"/>
              <w:left w:val="nil"/>
              <w:bottom w:val="nil"/>
              <w:right w:space="0" w:sz="6" w:color="000000" w:val="double"/>
            </w:tcBorders>
            <w:shd w:fill="FFFFFF" w:color="FFFFCC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REPROMATERIJAL d.o.o.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Slavonski Brod, A.Kanižlića 42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računi za robu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2.634,20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2.634,20</w:t>
            </w:r>
          </w:p>
        </w:tc>
      </w:tr>
      <w:tr w:rsidTr="004F6E9C" w:rsidR="009949CB" w:rsidRPr="009949CB">
        <w:trPr>
          <w:trHeight w:val="402"/>
        </w:trPr>
        <w:tc>
          <w:tcPr>
            <w:tcW w:type="dxa" w:w="567"/>
            <w:tcBorders>
              <w:top w:space="0" w:sz="6" w:color="000000" w:val="double"/>
              <w:left w:space="0" w:sz="6" w:color="000000" w:val="doub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2552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HRT, javna ustanova, zastupano po </w:t>
            </w:r>
          </w:p>
        </w:tc>
        <w:tc>
          <w:tcPr>
            <w:tcW w:type="dxa" w:w="2127"/>
            <w:tcBorders>
              <w:top w:space="0" w:sz="6" w:color="000000" w:val="doub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Prisavlje 3</w:t>
            </w:r>
          </w:p>
        </w:tc>
        <w:tc>
          <w:tcPr>
            <w:tcW w:type="dxa" w:w="1275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računi za rtv pristojbu, kta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2.476,57</w:t>
            </w:r>
          </w:p>
        </w:tc>
        <w:tc>
          <w:tcPr>
            <w:tcW w:type="dxa" w:w="1134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2.476,57</w:t>
            </w:r>
          </w:p>
        </w:tc>
      </w:tr>
      <w:tr w:rsidTr="004F6E9C" w:rsidR="009949CB" w:rsidRPr="009949CB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55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OD Madirazza &amp; partneri</w:t>
            </w:r>
          </w:p>
        </w:tc>
        <w:tc>
          <w:tcPr>
            <w:tcW w:type="dxa" w:w="2127"/>
            <w:tcBorders>
              <w:top w:val="nil"/>
              <w:left w:val="nil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Masarykova 21, Zagreb</w:t>
            </w:r>
          </w:p>
        </w:tc>
        <w:tc>
          <w:tcPr>
            <w:tcW w:type="dxa" w:w="1275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4F6E9C" w:rsidR="009949CB" w:rsidRPr="009949CB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2552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ELEKTROMETAL d.d.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Bjelovar, F. Rusana 2</w:t>
            </w:r>
          </w:p>
        </w:tc>
        <w:tc>
          <w:tcPr>
            <w:tcW w:type="dxa" w:w="127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račun za uslugu, kta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51.849,67</w:t>
            </w:r>
          </w:p>
        </w:tc>
        <w:tc>
          <w:tcPr>
            <w:tcW w:type="dxa" w:w="1134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51.849,67</w:t>
            </w:r>
          </w:p>
        </w:tc>
      </w:tr>
      <w:tr w:rsidTr="004F6E9C" w:rsidR="009949CB" w:rsidRPr="009949CB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2552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METRONET telekomunikacije d.d.</w:t>
            </w:r>
          </w:p>
        </w:tc>
        <w:tc>
          <w:tcPr>
            <w:tcW w:type="dxa" w:w="2127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Ul. grada Vukovara 269 d/I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rn. za telekomunik.uslugu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20.931,97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20.931,97</w:t>
            </w:r>
          </w:p>
        </w:tc>
      </w:tr>
      <w:tr w:rsidTr="004F6E9C" w:rsidR="009949CB" w:rsidRPr="009949CB">
        <w:trPr>
          <w:trHeight w:val="402"/>
        </w:trPr>
        <w:tc>
          <w:tcPr>
            <w:tcW w:type="dxa" w:w="567"/>
            <w:tcBorders>
              <w:top w:space="0" w:sz="6" w:color="000000" w:val="double"/>
              <w:left w:space="0" w:sz="6" w:color="000000" w:val="doub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2552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PASTOR-TVA d.d. zastupano po</w:t>
            </w:r>
          </w:p>
        </w:tc>
        <w:tc>
          <w:tcPr>
            <w:tcW w:type="dxa" w:w="2127"/>
            <w:tcBorders>
              <w:top w:space="0" w:sz="6" w:color="000000" w:val="doub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Rijeka, Novačka cesta 2</w:t>
            </w:r>
          </w:p>
        </w:tc>
        <w:tc>
          <w:tcPr>
            <w:tcW w:type="dxa" w:w="1275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račun za robu, kta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7.695,19</w:t>
            </w:r>
          </w:p>
        </w:tc>
        <w:tc>
          <w:tcPr>
            <w:tcW w:type="dxa" w:w="1134"/>
            <w:tcBorders>
              <w:top w:space="0" w:sz="6" w:color="000000" w:val="double"/>
              <w:left w:space="0" w:sz="6" w:color="000000" w:val="doub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7.695,19</w:t>
            </w:r>
          </w:p>
        </w:tc>
      </w:tr>
      <w:tr w:rsidTr="004F6E9C" w:rsidR="009949CB" w:rsidRPr="009949CB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55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odvjetnici Kseniji Čerin</w:t>
            </w:r>
          </w:p>
        </w:tc>
        <w:tc>
          <w:tcPr>
            <w:tcW w:type="dxa" w:w="2127"/>
            <w:tcBorders>
              <w:top w:val="nil"/>
              <w:left w:val="nil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Savska cesta 129/III</w:t>
            </w:r>
          </w:p>
        </w:tc>
        <w:tc>
          <w:tcPr>
            <w:tcW w:type="dxa" w:w="1275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6" w:color="000000" w:val="double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4F6E9C" w:rsidR="009949CB" w:rsidRPr="009949CB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dxa" w:w="2552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HRVATSKA, Ministarstvo financija, POREZNA UPRAVA, Područni ured Koprivnica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Koprivnica, Hrvatske državnosti 7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neplaćena pristojba 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5.000,00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5.000,00</w:t>
            </w:r>
          </w:p>
        </w:tc>
      </w:tr>
      <w:tr w:rsidTr="004F6E9C" w:rsidR="009949CB" w:rsidRPr="009949CB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zastupana po ŽDO Varaždin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Varaždin, Braće Radića 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 Povrv-548/12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4F6E9C" w:rsidR="009949CB" w:rsidRPr="009949CB">
        <w:trPr>
          <w:trHeight w:val="477"/>
        </w:trPr>
        <w:tc>
          <w:tcPr>
            <w:tcW w:type="dxa" w:w="567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NAŠICECEMENT d.d.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Našice, Tajnovac 1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preuzete i plaćene kreditne obveze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10.553.060,32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9949CB" w:rsidP="009949CB" w:rsidR="009949CB" w:rsidRPr="009949C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949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10.553.060,32</w:t>
            </w:r>
          </w:p>
        </w:tc>
      </w:tr>
    </w:tbl>
    <w:p w:rsidRDefault="009949CB" w:rsidP="00C10F64" w:rsidR="009949C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6E9C" w:rsidP="00C10F64" w:rsidR="004F6E9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F2886" w:rsidP="00C10F64" w:rsidR="007F2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49CB" w:rsidP="006E6D6B" w:rsidR="006E6D6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III/</w:t>
      </w:r>
      <w:r w:rsidR="00C10F64" w:rsidRPr="00C10F6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6E6D6B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vjerovnik ovog stečajnog dužnika </w:t>
      </w:r>
      <w:r w:rsidR="006E6D6B" w:rsidRPr="00265B98">
        <w:rPr>
          <w:rFonts w:hAnsi="Times New Roman" w:ascii="Times New Roman"/>
          <w:sz w:val="24"/>
          <w:szCs w:val="24"/>
        </w:rPr>
        <w:t>BILOKALNIK-DRVO d.o.o. u stečaju, Koprivnica, Pavelinska bb, OIB: 29854066284</w:t>
      </w:r>
      <w:r w:rsidR="006E6D6B">
        <w:rPr>
          <w:rFonts w:hAnsi="Times New Roman" w:ascii="Times New Roman"/>
          <w:sz w:val="24"/>
          <w:szCs w:val="24"/>
        </w:rPr>
        <w:t xml:space="preserve"> </w:t>
      </w:r>
      <w:r w:rsidR="006E6D6B">
        <w:rPr>
          <w:rFonts w:eastAsia="Times New Roman" w:hAnsi="Times New Roman" w:ascii="Times New Roman"/>
          <w:sz w:val="24"/>
          <w:szCs w:val="24"/>
          <w:lang w:eastAsia="hr-HR"/>
        </w:rPr>
        <w:t xml:space="preserve">i to: </w:t>
      </w:r>
    </w:p>
    <w:p w:rsidRDefault="006E6D6B" w:rsidP="006E6D6B" w:rsidR="006E6D6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-Josip Teskera, Višnjevac, E. Kvaternika 50, čija je tražbina u cijelosti osporena u iznosu od 210.600,00 kn, </w:t>
      </w:r>
      <w:r w:rsidRPr="00A373CA">
        <w:rPr>
          <w:rFonts w:eastAsia="Times New Roman" w:hAnsi="Times New Roman" w:ascii="Times New Roman"/>
          <w:sz w:val="24"/>
          <w:szCs w:val="24"/>
          <w:lang w:eastAsia="hr-HR"/>
        </w:rPr>
        <w:t>upućuje se na pokretanje parnice protiv stečajnog dužnika, radi utvrđi</w:t>
      </w:r>
      <w:r w:rsidR="0003243A">
        <w:rPr>
          <w:rFonts w:eastAsia="Times New Roman" w:hAnsi="Times New Roman" w:ascii="Times New Roman"/>
          <w:sz w:val="24"/>
          <w:szCs w:val="24"/>
          <w:lang w:eastAsia="hr-HR"/>
        </w:rPr>
        <w:t>vanja osporenog iznosa tražbine.</w:t>
      </w:r>
      <w:r w:rsidRPr="00A373C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D5991">
        <w:rPr>
          <w:rFonts w:eastAsia="Times New Roman" w:hAnsi="Times New Roman" w:ascii="Times New Roman"/>
          <w:sz w:val="24"/>
          <w:szCs w:val="24"/>
          <w:lang w:eastAsia="hr-HR"/>
        </w:rPr>
        <w:t xml:space="preserve"> Ovaj vjerovnik dužan je pokrenuti parnični postupak u roku od 8 dana od primitka ovog rješenja jer će se u protivnom smatrati da je odustao od prava na vođenje parnice.</w:t>
      </w:r>
    </w:p>
    <w:p w:rsidRDefault="007F2886" w:rsidP="006E6D6B" w:rsidR="007F2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F2886" w:rsidP="006E6D6B" w:rsidR="007F28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3243A">
        <w:rPr>
          <w:rFonts w:hAnsi="Times New Roman" w:ascii="Times New Roman"/>
          <w:sz w:val="24"/>
          <w:szCs w:val="24"/>
        </w:rPr>
        <w:t xml:space="preserve">Ako je u vrijeme otvaranja stečajnog postupka već pokrenut parnični postupak o </w:t>
      </w:r>
      <w:r>
        <w:rPr>
          <w:rFonts w:hAnsi="Times New Roman" w:ascii="Times New Roman"/>
          <w:sz w:val="24"/>
          <w:szCs w:val="24"/>
        </w:rPr>
        <w:t xml:space="preserve">osporenoj </w:t>
      </w:r>
      <w:r w:rsidRPr="0003243A">
        <w:rPr>
          <w:rFonts w:hAnsi="Times New Roman" w:ascii="Times New Roman"/>
          <w:sz w:val="24"/>
          <w:szCs w:val="24"/>
        </w:rPr>
        <w:t xml:space="preserve">tražbini, postupak radi utvrđivanja tražbine nastavit će se preuzimanjem te parnice. Prijedlog za nastavak parnice može </w:t>
      </w:r>
      <w:r>
        <w:rPr>
          <w:rFonts w:hAnsi="Times New Roman" w:ascii="Times New Roman"/>
          <w:sz w:val="24"/>
          <w:szCs w:val="24"/>
        </w:rPr>
        <w:t xml:space="preserve">ovaj </w:t>
      </w:r>
      <w:r w:rsidRPr="0003243A">
        <w:rPr>
          <w:rFonts w:hAnsi="Times New Roman" w:ascii="Times New Roman"/>
          <w:sz w:val="24"/>
          <w:szCs w:val="24"/>
        </w:rPr>
        <w:t>vjerovnik čija je tražbina osporena</w:t>
      </w:r>
      <w:r>
        <w:rPr>
          <w:rFonts w:hAnsi="Times New Roman" w:ascii="Times New Roman"/>
          <w:sz w:val="24"/>
          <w:szCs w:val="24"/>
        </w:rPr>
        <w:t xml:space="preserve"> podnijeti</w:t>
      </w:r>
      <w:r w:rsidRPr="0003243A">
        <w:rPr>
          <w:rFonts w:hAnsi="Times New Roman" w:ascii="Times New Roman"/>
          <w:sz w:val="24"/>
          <w:szCs w:val="24"/>
        </w:rPr>
        <w:t>, u roku od 8 dana od primitka rješenja o upućivanju u parnicu. Ako vjerovnik osporene tražbine koji je upućen na parnicu ne predloži nastavak parnice u tom roku, smatrat će se da je odustao od prava na vođenje parnice sukladno odredbi čl. 179. Stečajnog zakona (Narodne novine broj 44/96, 29/99, 129/00, 123/03, 82/06 i 116/10, dalje SZ).</w:t>
      </w:r>
    </w:p>
    <w:p w:rsidRDefault="001D5991" w:rsidP="006E6D6B" w:rsidR="001D59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D5991" w:rsidP="006E6D6B" w:rsidR="001D59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pravo na žalbu ima svaki vjerovnik u dijelu koji se tiče njegove prijavljene tražbine, odnosno tražbine koju je osporio i stečajni upravitelj. Ukoliko je ovaj vjerovnik već pokrenuo parnični postupak o tražbini pred državnim ili arbitražnim sudom, postupak radi utvrđivanja tražbine nastavit će se preuzimanjem te parnice.</w:t>
      </w:r>
    </w:p>
    <w:p w:rsidRDefault="007F2886" w:rsidP="002F61DE" w:rsidR="007F28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D5991" w:rsidP="002F61DE" w:rsidR="001D599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D5991" w:rsidP="002F61DE" w:rsidR="001D599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463DD" w:rsidP="005463DD" w:rsidR="005463D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bCs/>
          <w:sz w:val="24"/>
          <w:szCs w:val="24"/>
          <w:lang w:eastAsia="hr-HR"/>
        </w:rPr>
        <w:t>Obrazloženje</w:t>
      </w:r>
    </w:p>
    <w:p w:rsidRDefault="001D5991" w:rsidP="005463DD" w:rsidR="001D5991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5463DD" w:rsidP="005463DD" w:rsidR="005463DD" w:rsidRPr="005463D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63DD" w:rsidP="005463DD" w:rsidR="009949C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ab/>
        <w:t>U ovom stečajnom postupku</w:t>
      </w:r>
      <w:r w:rsidR="00186030">
        <w:rPr>
          <w:rFonts w:eastAsia="Times New Roman" w:hAnsi="Times New Roman" w:ascii="Times New Roman"/>
          <w:sz w:val="24"/>
          <w:szCs w:val="24"/>
          <w:lang w:eastAsia="hr-HR"/>
        </w:rPr>
        <w:t>, na</w:t>
      </w:r>
      <w:r w:rsidR="00010D7B">
        <w:rPr>
          <w:rFonts w:eastAsia="Times New Roman" w:hAnsi="Times New Roman" w:ascii="Times New Roman"/>
          <w:sz w:val="24"/>
          <w:szCs w:val="24"/>
          <w:lang w:eastAsia="hr-HR"/>
        </w:rPr>
        <w:t xml:space="preserve"> posebnom</w:t>
      </w:r>
      <w:r w:rsidR="00186030">
        <w:rPr>
          <w:rFonts w:eastAsia="Times New Roman" w:hAnsi="Times New Roman" w:ascii="Times New Roman"/>
          <w:sz w:val="24"/>
          <w:szCs w:val="24"/>
          <w:lang w:eastAsia="hr-HR"/>
        </w:rPr>
        <w:t xml:space="preserve"> ispitnom ročištu održanom </w:t>
      </w:r>
      <w:r w:rsidR="00265B98">
        <w:rPr>
          <w:rFonts w:eastAsia="Times New Roman" w:hAnsi="Times New Roman" w:ascii="Times New Roman"/>
          <w:sz w:val="24"/>
          <w:szCs w:val="24"/>
          <w:lang w:eastAsia="hr-HR"/>
        </w:rPr>
        <w:t>4. svibnja</w:t>
      </w:r>
      <w:r w:rsidR="00BB5A4A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stečajni upravitelj </w:t>
      </w:r>
      <w:r w:rsidR="00BB5A4A">
        <w:rPr>
          <w:rFonts w:eastAsia="Times New Roman" w:hAnsi="Times New Roman" w:ascii="Times New Roman"/>
          <w:sz w:val="24"/>
          <w:szCs w:val="24"/>
          <w:lang w:eastAsia="hr-HR"/>
        </w:rPr>
        <w:t>Želimir Uršulin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, ispi</w:t>
      </w:r>
      <w:r w:rsidR="009949CB">
        <w:rPr>
          <w:rFonts w:eastAsia="Times New Roman" w:hAnsi="Times New Roman" w:ascii="Times New Roman"/>
          <w:sz w:val="24"/>
          <w:szCs w:val="24"/>
          <w:lang w:eastAsia="hr-HR"/>
        </w:rPr>
        <w:t>tao je naknadno prijavljene tražbine prvog i drugog višeg isplatnog reda.</w:t>
      </w:r>
    </w:p>
    <w:p w:rsidRDefault="00DB05E9" w:rsidP="005463DD" w:rsidR="00DB05E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B05E9" w:rsidP="005463DD" w:rsidR="00DB05E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Stečajni upravitelj osporio je u cijelosti tražbinu prvog višeg isplatnog reda vjerovnika Josipa Teskere iz Višnjevca, E. Kvaternika 50, u iznosu od 210.600,00 kn iz razloga jer je ovaj vjerovnik obavljao poslove direktora</w:t>
      </w:r>
      <w:r w:rsidR="00A82FB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te </w:t>
      </w:r>
      <w:r w:rsidR="00A82FB3">
        <w:rPr>
          <w:rFonts w:eastAsia="Times New Roman" w:hAnsi="Times New Roman" w:ascii="Times New Roman"/>
          <w:sz w:val="24"/>
          <w:szCs w:val="24"/>
          <w:lang w:eastAsia="hr-HR"/>
        </w:rPr>
        <w:t>sukladno ugovoru o radu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direktora traži ugovorenu otpremninu u visini 6 mjesečnih bruto pla</w:t>
      </w:r>
      <w:r w:rsidR="00A82FB3">
        <w:rPr>
          <w:rFonts w:eastAsia="Times New Roman" w:hAnsi="Times New Roman" w:ascii="Times New Roman"/>
          <w:sz w:val="24"/>
          <w:szCs w:val="24"/>
          <w:lang w:eastAsia="hr-HR"/>
        </w:rPr>
        <w:t xml:space="preserve">ća na isto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nema pravo</w:t>
      </w:r>
      <w:r w:rsidR="00A82FB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jer se radi o menadžerskom ugovoru, na koji se ne mogu primijeniti odredbe o pravima direktora u slučaju otkaza zbog stečaja, te ovaj vjerovnik nije bio u radnom odnosu minimalno dvije godine da bi stekao pravo na redovnu otpremninu.</w:t>
      </w:r>
      <w:r w:rsidR="00A82FB3">
        <w:rPr>
          <w:rFonts w:eastAsia="Times New Roman" w:hAnsi="Times New Roman" w:ascii="Times New Roman"/>
          <w:sz w:val="24"/>
          <w:szCs w:val="24"/>
          <w:lang w:eastAsia="hr-HR"/>
        </w:rPr>
        <w:t xml:space="preserve"> Ovaj vjerovnik za osporenu tražbinu ne raspolaže ovršnom ispravom.</w:t>
      </w:r>
    </w:p>
    <w:p w:rsidRDefault="00DB05E9" w:rsidP="005463DD" w:rsidR="00DB05E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B05E9" w:rsidP="005463DD" w:rsidR="004749C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4749C9">
        <w:rPr>
          <w:rFonts w:eastAsia="Times New Roman" w:hAnsi="Times New Roman" w:ascii="Times New Roman"/>
          <w:sz w:val="24"/>
          <w:szCs w:val="24"/>
          <w:lang w:eastAsia="hr-HR"/>
        </w:rPr>
        <w:t xml:space="preserve">U pogledu dijela prijavljene tražbine vjerovnika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TERRA JASKA d.o.o. iz Strmca Samoborskog, Kralja Tomislava 20, </w:t>
      </w:r>
      <w:r w:rsidR="004749C9">
        <w:rPr>
          <w:rFonts w:eastAsia="Times New Roman" w:hAnsi="Times New Roman" w:ascii="Times New Roman"/>
          <w:sz w:val="24"/>
          <w:szCs w:val="24"/>
          <w:lang w:eastAsia="hr-HR"/>
        </w:rPr>
        <w:t xml:space="preserve">dio prijavljenog iznosa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1.137,50 kn </w:t>
      </w:r>
      <w:r w:rsidR="004749C9">
        <w:rPr>
          <w:rFonts w:eastAsia="Times New Roman" w:hAnsi="Times New Roman" w:ascii="Times New Roman"/>
          <w:sz w:val="24"/>
          <w:szCs w:val="24"/>
          <w:lang w:eastAsia="hr-HR"/>
        </w:rPr>
        <w:t>odnosi se na odvjetnički trošak za prijavu tražbine, što spada u tražbinu nižeg isplatnog reda, te ne može biti u ovoj fazi postupka predmet ispitivanja.</w:t>
      </w:r>
    </w:p>
    <w:p w:rsidRDefault="003B71E1" w:rsidP="005463DD" w:rsidR="003B71E1" w:rsidRPr="007E6BD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63DD" w:rsidP="0003243A" w:rsidR="005463DD" w:rsidRPr="005463D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 xml:space="preserve">Na temelju rezultata </w:t>
      </w:r>
      <w:r w:rsidR="00010D7B">
        <w:rPr>
          <w:rFonts w:eastAsia="Times New Roman" w:hAnsi="Times New Roman" w:ascii="Times New Roman"/>
          <w:sz w:val="24"/>
          <w:szCs w:val="24"/>
          <w:lang w:eastAsia="hr-HR"/>
        </w:rPr>
        <w:t xml:space="preserve">posebnog 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 xml:space="preserve">ispitnog ročišta, stečajni sudac je sastavio tablicu ispitanih tražbina u smislu čl. </w:t>
      </w:r>
      <w:r w:rsidR="0003243A">
        <w:rPr>
          <w:rFonts w:eastAsia="Times New Roman" w:hAnsi="Times New Roman" w:ascii="Times New Roman"/>
          <w:sz w:val="24"/>
          <w:szCs w:val="24"/>
          <w:lang w:eastAsia="hr-HR"/>
        </w:rPr>
        <w:t>178. st. 1. – 3. Stečajnog zakona</w:t>
      </w:r>
      <w:r w:rsidR="0003243A" w:rsidRPr="00016BE9">
        <w:rPr>
          <w:rFonts w:hAnsi="Times New Roman" w:ascii="Times New Roman"/>
          <w:sz w:val="24"/>
          <w:szCs w:val="24"/>
        </w:rPr>
        <w:t xml:space="preserve"> (Narodne novine broj 44/96, 29/99, 129/00, 123/03, 82/06, 116/10, 125/12 i 133/12, dalje SZ)</w:t>
      </w:r>
      <w:r w:rsidR="0003243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 xml:space="preserve">i ovim rješenjem odlučio u kojem su iznosu i u kojem isplatnom redu utvrđene </w:t>
      </w:r>
      <w:r w:rsidR="003B71E1">
        <w:rPr>
          <w:rFonts w:eastAsia="Times New Roman" w:hAnsi="Times New Roman" w:ascii="Times New Roman"/>
          <w:sz w:val="24"/>
          <w:szCs w:val="24"/>
          <w:lang w:eastAsia="hr-HR"/>
        </w:rPr>
        <w:t xml:space="preserve">odnosno </w:t>
      </w:r>
      <w:r w:rsidR="001664CA">
        <w:rPr>
          <w:rFonts w:eastAsia="Times New Roman" w:hAnsi="Times New Roman" w:ascii="Times New Roman"/>
          <w:sz w:val="24"/>
          <w:szCs w:val="24"/>
          <w:lang w:eastAsia="hr-HR"/>
        </w:rPr>
        <w:t xml:space="preserve">osporene 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tražbine.</w:t>
      </w:r>
    </w:p>
    <w:p w:rsidRDefault="005463DD" w:rsidP="005463DD" w:rsidR="005463D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D5991" w:rsidP="005463DD" w:rsidR="001D5991" w:rsidRPr="005463D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63DD" w:rsidP="005463DD" w:rsidR="005463DD" w:rsidRPr="005463D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Također je na temelju tako sastavljenih tablica stečajni sudac donio rješenje kojim odlučuje o tome u kojem su iznosu i u kojem isplatnom redu utvrđene pojedine tražbine.</w:t>
      </w:r>
    </w:p>
    <w:p w:rsidRDefault="00010D7B" w:rsidP="005463DD" w:rsidR="00010D7B" w:rsidRPr="005463D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63DD" w:rsidP="00DB05E9" w:rsidR="00DB05E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Varaždinu, </w:t>
      </w:r>
      <w:r w:rsidR="00A82FB3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265B98">
        <w:rPr>
          <w:rFonts w:eastAsia="Times New Roman" w:hAnsi="Times New Roman" w:ascii="Times New Roman"/>
          <w:sz w:val="24"/>
          <w:szCs w:val="24"/>
          <w:lang w:eastAsia="hr-HR"/>
        </w:rPr>
        <w:t>. svibnja</w:t>
      </w:r>
      <w:r w:rsidR="00BB5A4A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749C9" w:rsidP="00DB05E9" w:rsidR="004749C9" w:rsidRPr="00DB05E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45D5C" w:rsidP="00B45D5C" w:rsidR="00B45D5C" w:rsidRPr="00B45D5C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B45D5C">
        <w:rPr>
          <w:rFonts w:hAnsi="Times New Roman" w:ascii="Times New Roman"/>
          <w:sz w:val="24"/>
          <w:szCs w:val="24"/>
        </w:rPr>
        <w:t>Sudac:</w:t>
      </w:r>
    </w:p>
    <w:p w:rsidRDefault="00B45D5C" w:rsidP="00B45D5C" w:rsidR="00B45D5C" w:rsidRPr="00B45D5C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45D5C" w:rsidP="00B45D5C" w:rsidR="00B45D5C" w:rsidRPr="00B45D5C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B45D5C">
        <w:rPr>
          <w:rFonts w:hAnsi="Times New Roman" w:ascii="Times New Roman"/>
          <w:sz w:val="24"/>
          <w:szCs w:val="24"/>
        </w:rPr>
        <w:t>Ksenija Flack-Makitan, v. r.</w:t>
      </w:r>
    </w:p>
    <w:p w:rsidRDefault="00B45D5C" w:rsidP="00B45D5C" w:rsidR="00B45D5C" w:rsidRPr="00B45D5C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45D5C" w:rsidP="00B45D5C" w:rsidR="00B45D5C" w:rsidRPr="00B45D5C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45D5C" w:rsidP="00B45D5C" w:rsidR="00B45D5C" w:rsidRPr="00B45D5C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B45D5C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B45D5C" w:rsidP="002F61DE" w:rsidR="00B45D5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749C9" w:rsidP="002F61DE" w:rsidR="004749C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6BBA" w:rsidP="002F61DE" w:rsidR="00ED6BB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463DD" w:rsidP="005463DD" w:rsidR="005463DD" w:rsidRPr="005463D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POUKA  O  PRAVNOM  LIJEKU:</w:t>
      </w:r>
    </w:p>
    <w:p w:rsidRDefault="005463DD" w:rsidP="007F2886" w:rsidR="007F2886" w:rsidRPr="007F2886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7F2886" w:rsidRPr="007F2886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="007F2886" w:rsidRPr="007F2886">
          <w:rPr>
            <w:rFonts w:hAnsi="Times New Roman" w:ascii="Times New Roman"/>
            <w:sz w:val="24"/>
            <w:szCs w:val="24"/>
          </w:rPr>
          <w:t>177. st</w:t>
        </w:r>
      </w:smartTag>
      <w:r w:rsidR="007F2886" w:rsidRPr="007F2886">
        <w:rPr>
          <w:rFonts w:hAnsi="Times New Roman" w:ascii="Times New Roman"/>
          <w:sz w:val="24"/>
          <w:szCs w:val="24"/>
        </w:rPr>
        <w:t>. 4. i 5. Stečajnog Zakona).</w:t>
      </w:r>
    </w:p>
    <w:p w:rsidRDefault="007F2886" w:rsidP="007F2886" w:rsidR="007F2886" w:rsidRPr="007F2886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F2886">
        <w:rPr>
          <w:rFonts w:hAnsi="Times New Roman" w:ascii="Times New Roman"/>
          <w:sz w:val="24"/>
          <w:szCs w:val="24"/>
        </w:rPr>
        <w:t>Rok za žalbu iznosi 8 dana od dana dostave pisanog otpravka, odnosno izvatka iz rješenja (čl. 11. Stečajnog zakona). Žalba se podnosi preporučeno poštom, ili se predaje neposredno ovome sudu u dva primjerka, a o žalbi odlučuje Visoki trgovački sud Republike Hrvatske u Zagrebu.</w:t>
      </w:r>
    </w:p>
    <w:p w:rsidRDefault="005463DD" w:rsidP="005463DD" w:rsidR="005463DD" w:rsidRPr="007F2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10569" w:rsidP="005463DD" w:rsidR="00210569" w:rsidRPr="007F2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63DD" w:rsidP="005463DD" w:rsidR="005463DD" w:rsidRPr="005463D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7F2886" w:rsidP="005463DD" w:rsidR="007F2886">
      <w:pPr>
        <w:numPr>
          <w:ilvl w:val="0"/>
          <w:numId w:val="3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Josip Teskera, Višnjevac, E. Kvaternika 50,</w:t>
      </w:r>
    </w:p>
    <w:p w:rsidRDefault="007F2886" w:rsidP="007F2886" w:rsidR="007F2886" w:rsidRPr="007F2886">
      <w:pPr>
        <w:numPr>
          <w:ilvl w:val="0"/>
          <w:numId w:val="3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Želimir Uršulin, Ivanec, Trg hrvatskih ivanovaca 9</w:t>
      </w:r>
    </w:p>
    <w:p w:rsidRDefault="005463DD" w:rsidP="005463DD" w:rsidR="005463DD" w:rsidRPr="005463DD">
      <w:pPr>
        <w:numPr>
          <w:ilvl w:val="0"/>
          <w:numId w:val="3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5463DD" w:rsidP="005463DD" w:rsidR="005463DD">
      <w:pPr>
        <w:numPr>
          <w:ilvl w:val="0"/>
          <w:numId w:val="3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63DD">
        <w:rPr>
          <w:rFonts w:eastAsia="Times New Roman" w:hAnsi="Times New Roman" w:ascii="Times New Roman"/>
          <w:sz w:val="24"/>
          <w:szCs w:val="24"/>
          <w:lang w:eastAsia="hr-HR"/>
        </w:rPr>
        <w:t>Ostali zainteresirani vjerovnici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5463DD" w:rsidR="0056514C">
      <w:headerReference w:type="default" r:id="rId11"/>
      <w:pgSz w:code="9" w:h="16838" w:w="11906"/>
      <w:pgMar w:gutter="0" w:footer="709" w:header="1134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903" w:rsidP="00501147" w:rsidR="003A0903">
      <w:pPr>
        <w:spacing w:lineRule="auto" w:line="240" w:after="0"/>
      </w:pPr>
      <w:r>
        <w:separator/>
      </w:r>
    </w:p>
  </w:endnote>
  <w:endnote w:id="0" w:type="continuationSeparator">
    <w:p w:rsidRDefault="003A0903" w:rsidP="00501147" w:rsidR="003A09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903" w:rsidP="00501147" w:rsidR="003A0903">
      <w:pPr>
        <w:spacing w:lineRule="auto" w:line="240" w:after="0"/>
      </w:pPr>
      <w:r>
        <w:separator/>
      </w:r>
    </w:p>
  </w:footnote>
  <w:footnote w:id="0" w:type="continuationSeparator">
    <w:p w:rsidRDefault="003A0903" w:rsidP="00501147" w:rsidR="003A09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00CAC">
      <w:rPr>
        <w:rFonts w:hAnsi="Times New Roman" w:ascii="Times New Roman"/>
        <w:noProof/>
        <w:sz w:val="24"/>
        <w:szCs w:val="24"/>
      </w:rPr>
      <w:t>Poslovni broj: 5 St-127/12-175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00CAC">
      <w:rPr>
        <w:rFonts w:hAnsi="Times New Roman" w:ascii="Times New Roman"/>
        <w:noProof/>
        <w:sz w:val="24"/>
        <w:szCs w:val="24"/>
      </w:rPr>
      <w:t>4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7A664AD"/>
    <w:multiLevelType w:val="hybridMultilevel"/>
    <w:tmpl w:val="3176E54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E00B2C"/>
    <w:multiLevelType w:val="hybridMultilevel"/>
    <w:tmpl w:val="1A5EF7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10D7B"/>
    <w:rsid w:val="0003243A"/>
    <w:rsid w:val="00034FA3"/>
    <w:rsid w:val="0004207D"/>
    <w:rsid w:val="0006567D"/>
    <w:rsid w:val="00087C43"/>
    <w:rsid w:val="000A5ACB"/>
    <w:rsid w:val="000B20C6"/>
    <w:rsid w:val="000D7926"/>
    <w:rsid w:val="00102896"/>
    <w:rsid w:val="0016217E"/>
    <w:rsid w:val="001664CA"/>
    <w:rsid w:val="00186030"/>
    <w:rsid w:val="00194888"/>
    <w:rsid w:val="001A68CF"/>
    <w:rsid w:val="001D5991"/>
    <w:rsid w:val="001E3C62"/>
    <w:rsid w:val="001E6AAB"/>
    <w:rsid w:val="001F6DF0"/>
    <w:rsid w:val="00200CAC"/>
    <w:rsid w:val="00210569"/>
    <w:rsid w:val="00237FCE"/>
    <w:rsid w:val="00265B98"/>
    <w:rsid w:val="002971D6"/>
    <w:rsid w:val="002A61C1"/>
    <w:rsid w:val="002D2FC4"/>
    <w:rsid w:val="002D7CE5"/>
    <w:rsid w:val="002E3DDB"/>
    <w:rsid w:val="002F61DE"/>
    <w:rsid w:val="00340399"/>
    <w:rsid w:val="00341823"/>
    <w:rsid w:val="00342CFC"/>
    <w:rsid w:val="00345212"/>
    <w:rsid w:val="0034714B"/>
    <w:rsid w:val="00356B54"/>
    <w:rsid w:val="00367E59"/>
    <w:rsid w:val="00385BF0"/>
    <w:rsid w:val="00394A8C"/>
    <w:rsid w:val="003A0903"/>
    <w:rsid w:val="003A4477"/>
    <w:rsid w:val="003B71E1"/>
    <w:rsid w:val="003D38CE"/>
    <w:rsid w:val="00450291"/>
    <w:rsid w:val="004749C9"/>
    <w:rsid w:val="0049749B"/>
    <w:rsid w:val="004A0BD1"/>
    <w:rsid w:val="004B422C"/>
    <w:rsid w:val="004E1C60"/>
    <w:rsid w:val="004F6E9C"/>
    <w:rsid w:val="00501147"/>
    <w:rsid w:val="005463DD"/>
    <w:rsid w:val="0056514C"/>
    <w:rsid w:val="005B47B2"/>
    <w:rsid w:val="005C3D6B"/>
    <w:rsid w:val="005E1D89"/>
    <w:rsid w:val="005F633B"/>
    <w:rsid w:val="00612A6B"/>
    <w:rsid w:val="00685195"/>
    <w:rsid w:val="006E6D6B"/>
    <w:rsid w:val="00741600"/>
    <w:rsid w:val="00757A30"/>
    <w:rsid w:val="007802E2"/>
    <w:rsid w:val="0078776D"/>
    <w:rsid w:val="00791B7F"/>
    <w:rsid w:val="007A409A"/>
    <w:rsid w:val="007B0EA4"/>
    <w:rsid w:val="007E6BD9"/>
    <w:rsid w:val="007F1485"/>
    <w:rsid w:val="007F2886"/>
    <w:rsid w:val="00836880"/>
    <w:rsid w:val="008659E3"/>
    <w:rsid w:val="008A6557"/>
    <w:rsid w:val="008C4EFB"/>
    <w:rsid w:val="008D05FD"/>
    <w:rsid w:val="00915076"/>
    <w:rsid w:val="0092437B"/>
    <w:rsid w:val="00957093"/>
    <w:rsid w:val="0096157B"/>
    <w:rsid w:val="0096563D"/>
    <w:rsid w:val="00975368"/>
    <w:rsid w:val="00990A72"/>
    <w:rsid w:val="009949CB"/>
    <w:rsid w:val="009B5E3C"/>
    <w:rsid w:val="00A26539"/>
    <w:rsid w:val="00A2712F"/>
    <w:rsid w:val="00A31425"/>
    <w:rsid w:val="00A31587"/>
    <w:rsid w:val="00A373CA"/>
    <w:rsid w:val="00A47295"/>
    <w:rsid w:val="00A65E60"/>
    <w:rsid w:val="00A82FB3"/>
    <w:rsid w:val="00A9082D"/>
    <w:rsid w:val="00AA1295"/>
    <w:rsid w:val="00AD5F9C"/>
    <w:rsid w:val="00AF28D9"/>
    <w:rsid w:val="00AF74A4"/>
    <w:rsid w:val="00B00B9A"/>
    <w:rsid w:val="00B079E2"/>
    <w:rsid w:val="00B43087"/>
    <w:rsid w:val="00B43741"/>
    <w:rsid w:val="00B45D5C"/>
    <w:rsid w:val="00B60B14"/>
    <w:rsid w:val="00B749AA"/>
    <w:rsid w:val="00B8401A"/>
    <w:rsid w:val="00B92B86"/>
    <w:rsid w:val="00BB5A4A"/>
    <w:rsid w:val="00BC5568"/>
    <w:rsid w:val="00BE2A3D"/>
    <w:rsid w:val="00BE76E7"/>
    <w:rsid w:val="00C10F64"/>
    <w:rsid w:val="00C23011"/>
    <w:rsid w:val="00C470B6"/>
    <w:rsid w:val="00C50709"/>
    <w:rsid w:val="00C50A45"/>
    <w:rsid w:val="00C63B8D"/>
    <w:rsid w:val="00C97EA2"/>
    <w:rsid w:val="00CB0DAC"/>
    <w:rsid w:val="00CE3864"/>
    <w:rsid w:val="00D167D2"/>
    <w:rsid w:val="00D228AD"/>
    <w:rsid w:val="00D30FD2"/>
    <w:rsid w:val="00D43FE4"/>
    <w:rsid w:val="00D50D29"/>
    <w:rsid w:val="00D710AC"/>
    <w:rsid w:val="00DA4AB1"/>
    <w:rsid w:val="00DB05E9"/>
    <w:rsid w:val="00DB5D1B"/>
    <w:rsid w:val="00DC0D10"/>
    <w:rsid w:val="00DC66A8"/>
    <w:rsid w:val="00DC70E5"/>
    <w:rsid w:val="00E349A5"/>
    <w:rsid w:val="00E550E4"/>
    <w:rsid w:val="00E6609C"/>
    <w:rsid w:val="00E74EBA"/>
    <w:rsid w:val="00EC15A5"/>
    <w:rsid w:val="00ED6BBA"/>
    <w:rsid w:val="00EE4A97"/>
    <w:rsid w:val="00F02284"/>
    <w:rsid w:val="00F11DF2"/>
    <w:rsid w:val="00F12359"/>
    <w:rsid w:val="00F46F57"/>
    <w:rsid w:val="00F80916"/>
    <w:rsid w:val="00F85E94"/>
    <w:rsid w:val="00FE0FF5"/>
    <w:rsid w:val="00FF326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8603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C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CA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C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C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8603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0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C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CA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C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C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61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508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98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97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44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6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70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48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946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St-127/2012-175</izvorni_sadrzaj>
    <derivirana_varijabla naziv="DomainObject.Oznaka_1">St-127/2012-175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St-127/2012-175</izvorni_sadrzaj>
    <derivirana_varijabla naziv="DomainObject.PoslovniBrojDokumenta_1">St-127/2012-175</derivirana_varijabla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2E8AAB-0D27-48C4-A190-3F4F20B5BA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1011</properties:Words>
  <properties:Characters>5672</properties:Characters>
  <properties:Lines>339</properties:Lines>
  <properties:Paragraphs>165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2018-05-17T12:00:00Z</cp:lastPrinted>
  <dcterms:modified xmlns:xsi="http://www.w3.org/2001/XMLSchema-instance" xsi:type="dcterms:W3CDTF">2018-05-17T12:28:00Z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St-127/2012-175 / Odluka - Rješenje - utvrđene i osporene tražbine (ST-127-12-175 Obrazac 3. - cl.62.st.5. SP - RJEŠENJE O ISPITANIM,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