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9a7c" w14:paraId="b059a7c"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7929E0" w:rsidP="007929E0" w:rsidR="007929E0" w:rsidRPr="007929E0">
      <w:pPr>
        <w:contextualSpacing/>
        <w:jc w:val="center"/>
        <w:rPr>
          <w:rFonts w:cs="Times New Roman" w:eastAsia="Times New Roman"/>
          <w:lang w:eastAsia="hr-HR"/>
        </w:rPr>
      </w:pPr>
      <w:r w:rsidRPr="007929E0">
        <w:rPr>
          <w:rFonts w:cs="Times New Roman" w:eastAsia="Times New Roman"/>
          <w:lang w:eastAsia="hr-HR"/>
        </w:rPr>
        <w:t>U   I M E   R E P U B L I K E   H R V A T S K E</w:t>
      </w:r>
    </w:p>
    <w:p w:rsidRDefault="007929E0" w:rsidP="007929E0" w:rsidR="007929E0" w:rsidRPr="007929E0">
      <w:pPr>
        <w:contextualSpacing/>
        <w:jc w:val="center"/>
        <w:rPr>
          <w:rFonts w:cs="Times New Roman" w:eastAsia="Times New Roman"/>
          <w:lang w:eastAsia="hr-HR"/>
        </w:rPr>
      </w:pPr>
    </w:p>
    <w:p w:rsidRDefault="007929E0" w:rsidP="007929E0" w:rsidR="007929E0" w:rsidRPr="007929E0">
      <w:pPr>
        <w:contextualSpacing/>
        <w:jc w:val="center"/>
        <w:rPr>
          <w:rFonts w:cs="Times New Roman" w:eastAsia="Times New Roman"/>
          <w:lang w:eastAsia="hr-HR"/>
        </w:rPr>
      </w:pPr>
      <w:r w:rsidRPr="007929E0">
        <w:rPr>
          <w:rFonts w:cs="Times New Roman" w:eastAsia="Times New Roman"/>
          <w:lang w:eastAsia="hr-HR"/>
        </w:rPr>
        <w:t>R J E Š E NJ E</w:t>
      </w:r>
    </w:p>
    <w:p w:rsidRDefault="007929E0" w:rsidP="007929E0" w:rsidR="007929E0">
      <w:pPr>
        <w:contextualSpacing/>
        <w:rPr>
          <w:rFonts w:cs="Times New Roman" w:eastAsia="Times New Roman"/>
          <w:lang w:eastAsia="hr-HR"/>
        </w:rPr>
      </w:pPr>
    </w:p>
    <w:p w:rsidRDefault="000951BB" w:rsidP="007929E0" w:rsidR="000951BB" w:rsidRPr="007929E0">
      <w:pPr>
        <w:contextualSpacing/>
        <w:rPr>
          <w:rFonts w:cs="Times New Roman" w:eastAsia="Times New Roman"/>
          <w:lang w:eastAsia="hr-HR"/>
        </w:rPr>
      </w:pPr>
    </w:p>
    <w:p w:rsidRDefault="007929E0" w:rsidP="007929E0" w:rsidR="007929E0" w:rsidRPr="007929E0">
      <w:pPr>
        <w:contextualSpacing/>
        <w:jc w:val="both"/>
        <w:rPr>
          <w:rFonts w:cs="Times New Roman" w:eastAsia="Times New Roman"/>
          <w:lang w:eastAsia="hr-HR"/>
        </w:rPr>
      </w:pPr>
      <w:r w:rsidRPr="007929E0">
        <w:rPr>
          <w:rFonts w:cs="Times New Roman" w:eastAsia="Times New Roman"/>
          <w:lang w:eastAsia="hr-HR"/>
        </w:rPr>
        <w:tab/>
        <w:t>Visoki trgovački sud Republike Hrvatske, u vijeću sastavljenom od su</w:t>
      </w:r>
      <w:r>
        <w:rPr>
          <w:rFonts w:cs="Times New Roman" w:eastAsia="Times New Roman"/>
          <w:lang w:eastAsia="hr-HR"/>
        </w:rPr>
        <w:t>daca</w:t>
      </w:r>
      <w:r w:rsidRPr="007929E0">
        <w:rPr>
          <w:rFonts w:cs="Times New Roman" w:eastAsia="Times New Roman"/>
          <w:lang w:eastAsia="hr-HR"/>
        </w:rPr>
        <w:t xml:space="preserve"> Jagode Crnokrak, predsjednice vijeća, dr. sc. Jelene Čuveljak, sutkinje izvjestiteljice, i Božene Zajec, članice vijeća, u stečajnom postupku nad dužnikom Stečajna masa iza D.</w:t>
      </w:r>
      <w:r w:rsidR="000951BB">
        <w:rPr>
          <w:rFonts w:cs="Times New Roman" w:eastAsia="Times New Roman"/>
          <w:lang w:eastAsia="hr-HR"/>
        </w:rPr>
        <w:t xml:space="preserve"> </w:t>
      </w:r>
      <w:r w:rsidRPr="007929E0">
        <w:rPr>
          <w:rFonts w:cs="Times New Roman" w:eastAsia="Times New Roman"/>
          <w:lang w:eastAsia="hr-HR"/>
        </w:rPr>
        <w:t xml:space="preserve">A. AGENT d.o.o. u stečaju, Split, Matice Hrvatske 10, OIB 98501610436, </w:t>
      </w:r>
      <w:r w:rsidRPr="007929E0">
        <w:rPr>
          <w:rFonts w:cs="Times New Roman" w:eastAsia="MS Mincho"/>
          <w:lang w:eastAsia="hr-HR"/>
        </w:rPr>
        <w:t xml:space="preserve">odlučujući o žalbi podnositelja DOMAGOJA ALJINOVIĆA iz Splita, Slavonska 5, OIB 21253256152, </w:t>
      </w:r>
      <w:r w:rsidRPr="007929E0">
        <w:rPr>
          <w:rFonts w:cs="Times New Roman" w:eastAsia="Times New Roman"/>
          <w:lang w:eastAsia="hr-HR"/>
        </w:rPr>
        <w:t xml:space="preserve">protiv rješenja Trgovačkog suda u Splitu poslovni broj St-225/2017 od 20. lipnja 2018., u sjednici vijeća održanoj 11. srpnja 2018. </w:t>
      </w:r>
    </w:p>
    <w:p w:rsidRDefault="007929E0" w:rsidP="007929E0" w:rsidR="007929E0" w:rsidRPr="007929E0">
      <w:pPr>
        <w:contextualSpacing/>
        <w:rPr>
          <w:rFonts w:cs="Times New Roman" w:eastAsia="Times New Roman"/>
          <w:lang w:eastAsia="hr-HR"/>
        </w:rPr>
      </w:pPr>
    </w:p>
    <w:p w:rsidRDefault="007929E0" w:rsidP="007929E0" w:rsidR="007929E0" w:rsidRPr="007929E0">
      <w:pPr>
        <w:contextualSpacing/>
        <w:jc w:val="center"/>
        <w:rPr>
          <w:rFonts w:cs="Times New Roman" w:eastAsia="Times New Roman"/>
          <w:lang w:eastAsia="hr-HR"/>
        </w:rPr>
      </w:pPr>
      <w:r w:rsidRPr="007929E0">
        <w:rPr>
          <w:rFonts w:cs="Times New Roman" w:eastAsia="Times New Roman"/>
          <w:lang w:eastAsia="hr-HR"/>
        </w:rPr>
        <w:t>r i j e š i o   j e</w:t>
      </w:r>
    </w:p>
    <w:p w:rsidRDefault="007929E0" w:rsidP="007929E0" w:rsidR="007929E0" w:rsidRPr="007929E0">
      <w:pPr>
        <w:contextualSpacing/>
        <w:rPr>
          <w:rFonts w:cs="Times New Roman" w:eastAsia="Times New Roman"/>
          <w:lang w:eastAsia="hr-HR"/>
        </w:rPr>
      </w:pPr>
    </w:p>
    <w:p w:rsidRDefault="007929E0" w:rsidP="007929E0" w:rsidR="007929E0" w:rsidRPr="007929E0">
      <w:pPr>
        <w:contextualSpacing/>
        <w:jc w:val="both"/>
        <w:rPr>
          <w:rFonts w:cs="Times New Roman" w:eastAsia="MS Mincho"/>
          <w:lang w:eastAsia="hr-HR"/>
        </w:rPr>
      </w:pPr>
      <w:r w:rsidRPr="007929E0">
        <w:rPr>
          <w:rFonts w:cs="Times New Roman" w:eastAsia="Times New Roman"/>
          <w:lang w:eastAsia="hr-HR"/>
        </w:rPr>
        <w:tab/>
        <w:t xml:space="preserve">Odbacuje se kao nedopuštena žalba </w:t>
      </w:r>
      <w:r w:rsidRPr="007929E0">
        <w:rPr>
          <w:rFonts w:cs="Times New Roman" w:eastAsia="MS Mincho"/>
          <w:lang w:eastAsia="hr-HR"/>
        </w:rPr>
        <w:t xml:space="preserve">podnositelja Domagoja Aljinovića iz Splita, Slavonska 5, </w:t>
      </w:r>
      <w:r w:rsidRPr="007929E0">
        <w:rPr>
          <w:rFonts w:cs="Times New Roman" w:eastAsia="Times New Roman"/>
          <w:lang w:eastAsia="hr-HR"/>
        </w:rPr>
        <w:t>izjavljena protiv rješenja Trgovačkog suda u Splitu poslovni broj St-225/2017 od 20. lipnja 2018.</w:t>
      </w:r>
    </w:p>
    <w:p w:rsidRDefault="007929E0" w:rsidP="007929E0" w:rsidR="007929E0" w:rsidRPr="007929E0">
      <w:pPr>
        <w:contextualSpacing/>
        <w:rPr>
          <w:rFonts w:cs="Times New Roman" w:eastAsia="Times New Roman"/>
          <w:lang w:eastAsia="hr-HR"/>
        </w:rPr>
      </w:pPr>
    </w:p>
    <w:p w:rsidRDefault="007929E0" w:rsidP="007929E0" w:rsidR="007929E0" w:rsidRPr="007929E0">
      <w:pPr>
        <w:contextualSpacing/>
        <w:jc w:val="center"/>
        <w:rPr>
          <w:rFonts w:cs="Times New Roman" w:eastAsia="Times New Roman"/>
          <w:lang w:eastAsia="hr-HR"/>
        </w:rPr>
      </w:pPr>
      <w:r w:rsidRPr="007929E0">
        <w:rPr>
          <w:rFonts w:cs="Times New Roman" w:eastAsia="Times New Roman"/>
          <w:lang w:eastAsia="hr-HR"/>
        </w:rPr>
        <w:t>Obrazloženje</w:t>
      </w:r>
    </w:p>
    <w:p w:rsidRDefault="007929E0" w:rsidP="007929E0" w:rsidR="007929E0" w:rsidRPr="007929E0">
      <w:pPr>
        <w:contextualSpacing/>
        <w:rPr>
          <w:rFonts w:cs="Times New Roman" w:eastAsia="Times New Roman"/>
          <w:lang w:eastAsia="hr-HR"/>
        </w:rPr>
      </w:pPr>
    </w:p>
    <w:p w:rsidRDefault="007929E0" w:rsidP="007929E0" w:rsidR="007929E0" w:rsidRPr="007929E0">
      <w:pPr>
        <w:contextualSpacing/>
        <w:jc w:val="both"/>
        <w:rPr>
          <w:rFonts w:cs="Times New Roman" w:eastAsia="Times New Roman"/>
          <w:lang w:eastAsia="hr-HR"/>
        </w:rPr>
      </w:pPr>
      <w:r w:rsidRPr="007929E0">
        <w:rPr>
          <w:rFonts w:cs="Times New Roman" w:eastAsia="Times New Roman"/>
          <w:lang w:eastAsia="hr-HR"/>
        </w:rPr>
        <w:tab/>
        <w:t>Pobijanim rješenjem određena je nagrada stečajnoj upraviteljici Adi Rajković iz Splita, za obavljene poslove u ovom stečajnom postupku u bruto iznosu od 3.871,90 kn (točka I. izreke) uz davanje ovlasti stečajnoj upraviteljici na isplatu određene nagrade u neto iznosu uz plaćanje pripadajućih poreza, prireza i do</w:t>
      </w:r>
      <w:r w:rsidR="000951BB">
        <w:rPr>
          <w:rFonts w:cs="Times New Roman" w:eastAsia="Times New Roman"/>
          <w:lang w:eastAsia="hr-HR"/>
        </w:rPr>
        <w:t>prinosa nakon pravomoćnosti tog</w:t>
      </w:r>
      <w:r w:rsidRPr="007929E0">
        <w:rPr>
          <w:rFonts w:cs="Times New Roman" w:eastAsia="Times New Roman"/>
          <w:lang w:eastAsia="hr-HR"/>
        </w:rPr>
        <w:t xml:space="preserve"> rješenja (točka II. izreke). </w:t>
      </w:r>
    </w:p>
    <w:p w:rsidRDefault="007929E0" w:rsidP="007929E0" w:rsidR="007929E0" w:rsidRPr="007929E0">
      <w:pPr>
        <w:contextualSpacing/>
        <w:jc w:val="both"/>
        <w:rPr>
          <w:rFonts w:cs="Times New Roman" w:eastAsia="Times New Roman"/>
          <w:lang w:eastAsia="hr-HR"/>
        </w:rPr>
      </w:pPr>
    </w:p>
    <w:p w:rsidRDefault="007929E0" w:rsidP="007929E0" w:rsidR="007929E0" w:rsidRPr="007929E0">
      <w:pPr>
        <w:contextualSpacing/>
        <w:jc w:val="both"/>
        <w:rPr>
          <w:rFonts w:cs="Times New Roman" w:eastAsia="Times New Roman"/>
          <w:lang w:eastAsia="hr-HR"/>
        </w:rPr>
      </w:pPr>
      <w:r w:rsidRPr="007929E0">
        <w:rPr>
          <w:rFonts w:cs="Times New Roman" w:eastAsia="Times New Roman"/>
          <w:lang w:eastAsia="hr-HR"/>
        </w:rPr>
        <w:tab/>
        <w:t>Protiv navedenog rješenja žalbu je podnio Domagoj Aljinović iz Splita u bitnome navodeći da je prvostupanjski sud pri određivanju nagrade stečajnoj upraviteljici nepravilno primijenio odredbu čl. 7. Uredbe o kriterijima i načinu obračuna i plaćanja nagrade stečajnim upraviteljima, a trebao je primijeni</w:t>
      </w:r>
      <w:r>
        <w:rPr>
          <w:rFonts w:cs="Times New Roman" w:eastAsia="Times New Roman"/>
          <w:lang w:eastAsia="hr-HR"/>
        </w:rPr>
        <w:t xml:space="preserve">ti odredbe čl. 13. st. 1. i </w:t>
      </w:r>
      <w:r w:rsidRPr="007929E0">
        <w:rPr>
          <w:rFonts w:cs="Times New Roman" w:eastAsia="Times New Roman"/>
          <w:lang w:eastAsia="hr-HR"/>
        </w:rPr>
        <w:t xml:space="preserve">3. te Uredbe. </w:t>
      </w:r>
      <w:r w:rsidRPr="007929E0">
        <w:rPr>
          <w:rFonts w:cs="Times New Roman" w:eastAsia="MS Mincho"/>
          <w:lang w:eastAsia="hr-HR"/>
        </w:rPr>
        <w:t xml:space="preserve">Predlaže pobijano rješenje ukinuti i predmet vratiti prvostupanjskom sudu na ponovan postupak, a podredno ga preinačiti sukladno žalbenim navodima. </w:t>
      </w:r>
    </w:p>
    <w:p w:rsidRDefault="007929E0" w:rsidP="007929E0" w:rsidR="007929E0" w:rsidRPr="007929E0">
      <w:pPr>
        <w:contextualSpacing/>
        <w:rPr>
          <w:rFonts w:cs="Times New Roman" w:eastAsia="Times New Roman"/>
          <w:lang w:eastAsia="hr-HR"/>
        </w:rPr>
      </w:pPr>
    </w:p>
    <w:p w:rsidRDefault="007929E0" w:rsidP="007929E0" w:rsidR="007929E0" w:rsidRPr="007929E0">
      <w:pPr>
        <w:contextualSpacing/>
        <w:rPr>
          <w:rFonts w:cs="Times New Roman" w:eastAsia="Times New Roman"/>
          <w:lang w:eastAsia="hr-HR"/>
        </w:rPr>
      </w:pPr>
      <w:r w:rsidRPr="007929E0">
        <w:rPr>
          <w:rFonts w:cs="Times New Roman" w:eastAsia="Times New Roman"/>
          <w:lang w:eastAsia="hr-HR"/>
        </w:rPr>
        <w:tab/>
        <w:t>Žalba nije dopuštena.</w:t>
      </w:r>
    </w:p>
    <w:p w:rsidRDefault="007929E0" w:rsidP="007929E0" w:rsidR="007929E0" w:rsidRPr="007929E0">
      <w:pPr>
        <w:contextualSpacing/>
        <w:rPr>
          <w:rFonts w:cs="Times New Roman" w:eastAsia="Times New Roman"/>
          <w:lang w:eastAsia="hr-HR"/>
        </w:rPr>
      </w:pPr>
    </w:p>
    <w:p w:rsidRDefault="007929E0" w:rsidP="007929E0" w:rsidR="007929E0" w:rsidRPr="007929E0">
      <w:pPr>
        <w:contextualSpacing/>
        <w:jc w:val="both"/>
        <w:rPr>
          <w:rFonts w:cs="Times New Roman" w:eastAsia="Times New Roman"/>
          <w:lang w:eastAsia="hr-HR"/>
        </w:rPr>
      </w:pPr>
      <w:r w:rsidRPr="007929E0">
        <w:rPr>
          <w:rFonts w:cs="Times New Roman" w:eastAsia="Times New Roman"/>
          <w:lang w:eastAsia="hr-HR"/>
        </w:rPr>
        <w:tab/>
        <w:t>Prema odredbi čl.</w:t>
      </w:r>
      <w:r>
        <w:rPr>
          <w:rFonts w:cs="Times New Roman" w:eastAsia="Times New Roman"/>
          <w:lang w:eastAsia="hr-HR"/>
        </w:rPr>
        <w:t xml:space="preserve"> 19. st. 1. Stečajnog zakona („</w:t>
      </w:r>
      <w:r w:rsidRPr="007929E0">
        <w:rPr>
          <w:rFonts w:cs="Times New Roman" w:eastAsia="Times New Roman"/>
          <w:lang w:eastAsia="hr-HR"/>
        </w:rPr>
        <w:t>Narodne novine</w:t>
      </w:r>
      <w:r>
        <w:rPr>
          <w:rFonts w:cs="Times New Roman" w:eastAsia="Times New Roman"/>
          <w:lang w:eastAsia="hr-HR"/>
        </w:rPr>
        <w:t>“ broj 71/15 i</w:t>
      </w:r>
      <w:r w:rsidRPr="007929E0">
        <w:rPr>
          <w:rFonts w:cs="Times New Roman" w:eastAsia="Times New Roman"/>
          <w:lang w:eastAsia="hr-HR"/>
        </w:rPr>
        <w:t xml:space="preserve"> 104/17; dalje</w:t>
      </w:r>
      <w:r>
        <w:rPr>
          <w:rFonts w:cs="Times New Roman" w:eastAsia="Times New Roman"/>
          <w:lang w:eastAsia="hr-HR"/>
        </w:rPr>
        <w:t>: SZ) protiv rješenja donesenog</w:t>
      </w:r>
      <w:r w:rsidRPr="007929E0">
        <w:rPr>
          <w:rFonts w:cs="Times New Roman" w:eastAsia="Times New Roman"/>
          <w:lang w:eastAsia="hr-HR"/>
        </w:rPr>
        <w:t xml:space="preserve"> u prvom stupnju može se izjaviti žalba, ako tim Zakonom nije drukčije određeno, dok odredba čl</w:t>
      </w:r>
      <w:r>
        <w:rPr>
          <w:rFonts w:cs="Times New Roman" w:eastAsia="Times New Roman"/>
          <w:lang w:eastAsia="hr-HR"/>
        </w:rPr>
        <w:t>.</w:t>
      </w:r>
      <w:r w:rsidRPr="007929E0">
        <w:rPr>
          <w:rFonts w:cs="Times New Roman" w:eastAsia="Times New Roman"/>
          <w:lang w:eastAsia="hr-HR"/>
        </w:rPr>
        <w:t xml:space="preserve"> 10. SZ-a upućuje na podrednu primjenu odredaba </w:t>
      </w:r>
      <w:r w:rsidRPr="007929E0">
        <w:rPr>
          <w:rFonts w:cs="Times New Roman" w:eastAsia="Calibri"/>
          <w:szCs w:val="22"/>
        </w:rPr>
        <w:t>Zakona o parničnom postup</w:t>
      </w:r>
      <w:r>
        <w:rPr>
          <w:rFonts w:cs="Times New Roman" w:eastAsia="Calibri"/>
          <w:szCs w:val="22"/>
        </w:rPr>
        <w:t>ku („Narodne novine“ broj: 53/91, 91/92, 112/99, 129/00, 88/01, 117/03, 88/05, 2/07, 96/08, 84/</w:t>
      </w:r>
      <w:r w:rsidRPr="007929E0">
        <w:rPr>
          <w:rFonts w:cs="Times New Roman" w:eastAsia="Calibri"/>
          <w:szCs w:val="22"/>
        </w:rPr>
        <w:t>08,</w:t>
      </w:r>
      <w:r>
        <w:rPr>
          <w:rFonts w:cs="Times New Roman" w:eastAsia="Calibri"/>
          <w:szCs w:val="22"/>
        </w:rPr>
        <w:t xml:space="preserve"> 123/08, 57/11, 25/13 i 89/14;</w:t>
      </w:r>
      <w:r w:rsidRPr="007929E0">
        <w:rPr>
          <w:rFonts w:cs="Times New Roman" w:eastAsia="Calibri"/>
          <w:szCs w:val="22"/>
        </w:rPr>
        <w:t xml:space="preserve"> dalje: ZPP)</w:t>
      </w:r>
      <w:r w:rsidRPr="007929E0">
        <w:rPr>
          <w:rFonts w:cs="Times New Roman" w:eastAsia="Times New Roman"/>
          <w:lang w:eastAsia="hr-HR"/>
        </w:rPr>
        <w:t xml:space="preserve">. </w:t>
      </w:r>
    </w:p>
    <w:p w:rsidRDefault="007929E0" w:rsidP="007929E0" w:rsidR="007929E0" w:rsidRPr="007929E0">
      <w:pPr>
        <w:spacing w:after="0"/>
        <w:jc w:val="both"/>
        <w:rPr>
          <w:rFonts w:cs="Times New Roman" w:eastAsia="Calibri"/>
          <w:szCs w:val="22"/>
        </w:rPr>
      </w:pPr>
      <w:r w:rsidRPr="007929E0">
        <w:rPr>
          <w:rFonts w:cs="Times New Roman" w:eastAsia="Calibri"/>
          <w:szCs w:val="22"/>
        </w:rPr>
        <w:lastRenderedPageBreak/>
        <w:tab/>
        <w:t>Prema odredbi čl. 358. st. 3. ZPP-a u vezi s čl. 10. SZ-a, žalba je nedopuštena ako je žalbu podnijela osoba koja nije ovlaštena za podnošenje žalbe, ili osoba koja se odrekla prava na žalbu, ili ako osoba koja je podnijela žalbu nema pravnog interesa za podnošenje žalbe.</w:t>
      </w:r>
    </w:p>
    <w:p w:rsidRDefault="007929E0" w:rsidP="007929E0" w:rsidR="007929E0" w:rsidRPr="007929E0">
      <w:pPr>
        <w:spacing w:after="0"/>
        <w:jc w:val="both"/>
        <w:rPr>
          <w:rFonts w:cs="Times New Roman" w:eastAsia="Calibri"/>
          <w:szCs w:val="22"/>
        </w:rPr>
      </w:pPr>
    </w:p>
    <w:p w:rsidRDefault="007929E0" w:rsidP="007929E0" w:rsidR="007929E0" w:rsidRPr="007929E0">
      <w:pPr>
        <w:contextualSpacing/>
        <w:jc w:val="both"/>
        <w:rPr>
          <w:rFonts w:cs="Times New Roman" w:eastAsia="Times New Roman"/>
          <w:lang w:eastAsia="hr-HR"/>
        </w:rPr>
      </w:pPr>
      <w:r w:rsidRPr="007929E0">
        <w:rPr>
          <w:rFonts w:cs="Times New Roman" w:eastAsia="Times New Roman"/>
          <w:lang w:eastAsia="hr-HR"/>
        </w:rPr>
        <w:tab/>
        <w:t>Odredbom čl. 94. st. 5. SZ-a propisano je da protiv rješenja o određivanju nagrade za rad i naknade stečajnom upravitelju pravo na žalbu imaju stečajni upravitelj, dužnik pojedinac i svaki stečajni vjerovnik.</w:t>
      </w:r>
    </w:p>
    <w:p w:rsidRDefault="007929E0" w:rsidP="007929E0" w:rsidR="007929E0" w:rsidRPr="007929E0">
      <w:pPr>
        <w:contextualSpacing/>
        <w:jc w:val="both"/>
        <w:rPr>
          <w:rFonts w:cs="Times New Roman" w:eastAsia="Times New Roman"/>
          <w:lang w:eastAsia="hr-HR"/>
        </w:rPr>
      </w:pPr>
    </w:p>
    <w:p w:rsidRDefault="007929E0" w:rsidP="007929E0" w:rsidR="007929E0" w:rsidRPr="007929E0">
      <w:pPr>
        <w:ind w:firstLine="708"/>
        <w:contextualSpacing/>
        <w:jc w:val="both"/>
        <w:rPr>
          <w:rFonts w:cs="Times New Roman" w:eastAsia="Times New Roman"/>
          <w:lang w:eastAsia="hr-HR"/>
        </w:rPr>
      </w:pPr>
      <w:r w:rsidRPr="007929E0">
        <w:rPr>
          <w:rFonts w:cs="Times New Roman" w:eastAsia="Times New Roman"/>
          <w:lang w:eastAsia="hr-HR"/>
        </w:rPr>
        <w:t>U konkretnom slučaju žalitelj, koji je bio dužnikov osnivač i osoba ovlaštena za zastupanje dužnika po zakonu do dana nastupanja pravnih</w:t>
      </w:r>
      <w:r>
        <w:rPr>
          <w:rFonts w:cs="Times New Roman" w:eastAsia="Times New Roman"/>
          <w:lang w:eastAsia="hr-HR"/>
        </w:rPr>
        <w:t xml:space="preserve"> posljedica otvaranja stečajnog</w:t>
      </w:r>
      <w:r w:rsidRPr="007929E0">
        <w:rPr>
          <w:rFonts w:cs="Times New Roman" w:eastAsia="Times New Roman"/>
          <w:lang w:eastAsia="hr-HR"/>
        </w:rPr>
        <w:t xml:space="preserve"> postupka, ne spada u krug osoba koje prema citiranoj odredbi čl. 94. st. 5. SZ-a imaju pravo na žalbu protiv rješenja o određivanju nagrade za rad stečajnoj upraviteljici</w:t>
      </w:r>
      <w:r>
        <w:rPr>
          <w:rFonts w:cs="Times New Roman" w:eastAsia="Times New Roman"/>
          <w:lang w:eastAsia="hr-HR"/>
        </w:rPr>
        <w:t>,</w:t>
      </w:r>
      <w:r w:rsidRPr="007929E0">
        <w:rPr>
          <w:rFonts w:cs="Times New Roman" w:eastAsia="Times New Roman"/>
          <w:lang w:eastAsia="hr-HR"/>
        </w:rPr>
        <w:t xml:space="preserve"> pa žalbu nije </w:t>
      </w:r>
      <w:r w:rsidRPr="007929E0">
        <w:rPr>
          <w:rFonts w:cs="Times New Roman" w:eastAsia="Times New Roman"/>
          <w:szCs w:val="22"/>
          <w:lang w:eastAsia="hr-HR"/>
        </w:rPr>
        <w:t>podnijela osoba ovlaštena za podnošenje žalbe</w:t>
      </w:r>
      <w:r w:rsidRPr="007929E0">
        <w:rPr>
          <w:rFonts w:cs="Times New Roman" w:eastAsia="Times New Roman"/>
          <w:lang w:eastAsia="hr-HR"/>
        </w:rPr>
        <w:t xml:space="preserve">. </w:t>
      </w:r>
    </w:p>
    <w:p w:rsidRDefault="007929E0" w:rsidP="007929E0" w:rsidR="007929E0" w:rsidRPr="007929E0">
      <w:pPr>
        <w:contextualSpacing/>
        <w:jc w:val="both"/>
        <w:rPr>
          <w:rFonts w:cs="Times New Roman" w:eastAsia="Times New Roman"/>
          <w:lang w:eastAsia="hr-HR"/>
        </w:rPr>
      </w:pPr>
    </w:p>
    <w:p w:rsidRDefault="007929E0" w:rsidP="007929E0" w:rsidR="007929E0" w:rsidRPr="007929E0">
      <w:pPr>
        <w:contextualSpacing/>
        <w:jc w:val="both"/>
        <w:rPr>
          <w:rFonts w:cs="Times New Roman" w:eastAsia="Times New Roman"/>
          <w:szCs w:val="22"/>
          <w:lang w:eastAsia="hr-HR"/>
        </w:rPr>
      </w:pPr>
      <w:r w:rsidRPr="007929E0">
        <w:rPr>
          <w:rFonts w:cs="Times New Roman" w:eastAsia="Times New Roman"/>
          <w:lang w:eastAsia="hr-HR"/>
        </w:rPr>
        <w:tab/>
        <w:t xml:space="preserve">Slijedom navedenog, </w:t>
      </w:r>
      <w:r w:rsidRPr="007929E0">
        <w:rPr>
          <w:rFonts w:cs="Times New Roman" w:eastAsia="Times New Roman"/>
          <w:szCs w:val="22"/>
          <w:lang w:eastAsia="hr-HR"/>
        </w:rPr>
        <w:t>primjenom odred</w:t>
      </w:r>
      <w:r>
        <w:rPr>
          <w:rFonts w:cs="Times New Roman" w:eastAsia="Times New Roman"/>
          <w:szCs w:val="22"/>
          <w:lang w:eastAsia="hr-HR"/>
        </w:rPr>
        <w:t>a</w:t>
      </w:r>
      <w:r w:rsidRPr="007929E0">
        <w:rPr>
          <w:rFonts w:cs="Times New Roman" w:eastAsia="Times New Roman"/>
          <w:szCs w:val="22"/>
          <w:lang w:eastAsia="hr-HR"/>
        </w:rPr>
        <w:t>b</w:t>
      </w:r>
      <w:r>
        <w:rPr>
          <w:rFonts w:cs="Times New Roman" w:eastAsia="Times New Roman"/>
          <w:szCs w:val="22"/>
          <w:lang w:eastAsia="hr-HR"/>
        </w:rPr>
        <w:t>a</w:t>
      </w:r>
      <w:r w:rsidRPr="007929E0">
        <w:rPr>
          <w:rFonts w:cs="Times New Roman" w:eastAsia="Times New Roman"/>
          <w:szCs w:val="22"/>
          <w:lang w:eastAsia="hr-HR"/>
        </w:rPr>
        <w:t xml:space="preserve"> čl. 380. t. 1. i </w:t>
      </w:r>
      <w:r>
        <w:rPr>
          <w:rFonts w:cs="Times New Roman" w:eastAsia="Times New Roman"/>
          <w:szCs w:val="22"/>
          <w:lang w:eastAsia="hr-HR"/>
        </w:rPr>
        <w:t xml:space="preserve">čl. </w:t>
      </w:r>
      <w:r w:rsidRPr="007929E0">
        <w:rPr>
          <w:rFonts w:cs="Times New Roman" w:eastAsia="Times New Roman"/>
          <w:szCs w:val="22"/>
          <w:lang w:eastAsia="hr-HR"/>
        </w:rPr>
        <w:t>367. st. 1. ZPP-a u vezi s čl. 10. SZ-a</w:t>
      </w:r>
      <w:r>
        <w:rPr>
          <w:rFonts w:cs="Times New Roman" w:eastAsia="Times New Roman"/>
          <w:szCs w:val="22"/>
          <w:lang w:eastAsia="hr-HR"/>
        </w:rPr>
        <w:t>,</w:t>
      </w:r>
      <w:r w:rsidRPr="007929E0">
        <w:rPr>
          <w:rFonts w:cs="Times New Roman" w:eastAsia="Times New Roman"/>
          <w:szCs w:val="22"/>
          <w:lang w:eastAsia="hr-HR"/>
        </w:rPr>
        <w:t xml:space="preserve"> odlučeno je kao u izreci ovog rješenja.</w:t>
      </w:r>
    </w:p>
    <w:p w:rsidRDefault="007929E0" w:rsidP="007929E0" w:rsidR="007929E0" w:rsidRPr="007929E0">
      <w:pPr>
        <w:contextualSpacing/>
        <w:rPr>
          <w:rFonts w:cs="Times New Roman" w:eastAsia="Times New Roman"/>
          <w:lang w:eastAsia="hr-HR"/>
        </w:rPr>
      </w:pPr>
    </w:p>
    <w:p w:rsidRDefault="007929E0" w:rsidP="007929E0" w:rsidR="007929E0" w:rsidRPr="007929E0">
      <w:pPr>
        <w:contextualSpacing/>
        <w:jc w:val="center"/>
        <w:rPr>
          <w:rFonts w:cs="Arial" w:eastAsia="Times New Roman"/>
          <w:b/>
          <w:lang w:eastAsia="hr-HR"/>
        </w:rPr>
      </w:pPr>
      <w:r w:rsidRPr="007929E0">
        <w:rPr>
          <w:rFonts w:cs="Times New Roman" w:eastAsia="Times New Roman"/>
          <w:lang w:eastAsia="hr-HR"/>
        </w:rPr>
        <w:t>Zagreb, 11. srpnja 2018.</w:t>
      </w:r>
    </w:p>
    <w:p w:rsidRDefault="00B230A5" w:rsidP="007929E0" w:rsidR="00B230A5">
      <w:pPr>
        <w:spacing w:after="0"/>
        <w:ind w:firstLine="708" w:left="4956"/>
        <w:jc w:val="both"/>
        <w:rPr>
          <w:rFonts w:cs="Times New Roman" w:eastAsia="Times New Roman"/>
          <w:lang w:eastAsia="hr-HR"/>
        </w:rPr>
      </w:pPr>
    </w:p>
    <w:p w:rsidRDefault="000951BB" w:rsidP="008F43EC" w:rsidR="000951BB">
      <w:pPr>
        <w:pStyle w:val="Bezproreda"/>
        <w:ind w:left="4536"/>
        <w:jc w:val="center"/>
      </w:pPr>
      <w:r>
        <w:t>Predsjednica vijeća</w:t>
      </w:r>
    </w:p>
    <w:p w:rsidRDefault="000951BB" w:rsidP="008F43EC" w:rsidR="000951BB">
      <w:pPr>
        <w:pStyle w:val="Bezproreda"/>
        <w:ind w:left="4536"/>
        <w:jc w:val="center"/>
      </w:pPr>
      <w:r>
        <w:t>Jagoda Crnokrak, v. r.</w:t>
      </w:r>
    </w:p>
    <w:p w:rsidRDefault="000951BB" w:rsidP="008F43EC" w:rsidR="000951BB">
      <w:pPr>
        <w:pStyle w:val="Bezproreda"/>
        <w:ind w:left="4536"/>
        <w:jc w:val="center"/>
      </w:pPr>
    </w:p>
    <w:p w:rsidRDefault="000951BB" w:rsidP="008F43EC" w:rsidR="000951BB">
      <w:pPr>
        <w:pStyle w:val="Bezproreda"/>
        <w:ind w:left="4536"/>
        <w:jc w:val="center"/>
      </w:pPr>
      <w:r>
        <w:t>Za točnost otpravka – ovlašteni službenik</w:t>
      </w:r>
    </w:p>
    <w:p w:rsidRDefault="000951BB" w:rsidP="008F43EC" w:rsidR="000951BB">
      <w:pPr>
        <w:pStyle w:val="Bezproreda"/>
        <w:ind w:left="4536"/>
        <w:jc w:val="center"/>
      </w:pPr>
      <w:r>
        <w:t>Brankica Curman</w:t>
      </w:r>
    </w:p>
    <w:p w:rsidRDefault="000951BB" w:rsidP="007929E0" w:rsidR="000951BB" w:rsidRPr="007929E0">
      <w:pPr>
        <w:spacing w:after="0"/>
        <w:ind w:firstLine="708" w:left="4956"/>
        <w:jc w:val="both"/>
        <w:rPr>
          <w:sz w:val="20"/>
        </w:rPr>
      </w:pPr>
    </w:p>
    <w:sectPr w:rsidSect="000951BB" w:rsidR="000951BB" w:rsidRPr="007929E0">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BFA" w:rsidP="00537B78" w:rsidR="00984BFA">
      <w:r>
        <w:separator/>
      </w:r>
    </w:p>
  </w:endnote>
  <w:endnote w:id="0" w:type="continuationSeparator">
    <w:p w:rsidRDefault="00984BFA" w:rsidP="00537B78" w:rsidR="00984B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7976EC">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BFA" w:rsidP="00537B78" w:rsidR="00984BFA">
      <w:r>
        <w:separator/>
      </w:r>
    </w:p>
  </w:footnote>
  <w:footnote w:id="0" w:type="continuationSeparator">
    <w:p w:rsidRDefault="00984BFA" w:rsidP="00537B78" w:rsidR="00984B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929E0" w:rsidRPr="007976EC">
          <w:rPr>
            <w:rStyle w:val="eSPISCCParagraphDefaultFont"/>
          </w:rPr>
          <w:t>30</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7929E0" w:rsidRPr="007976EC">
          <w:rPr>
            <w:rStyle w:val="eSPISCCParagraphDefaultFont"/>
            <w:rFonts w:eastAsia="Calibri"/>
          </w:rPr>
          <w:t>Pž-4250/2018-2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51BB"/>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271D"/>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29E0"/>
    <w:rsid w:val="00794277"/>
    <w:rsid w:val="00795B0D"/>
    <w:rsid w:val="007963D8"/>
    <w:rsid w:val="0079672D"/>
    <w:rsid w:val="00796E34"/>
    <w:rsid w:val="007976EC"/>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4BFA"/>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7879491">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021973901">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S Mincho">
    <w:altName w:val="ＭＳ 明朝"/>
    <w:panose1 w:val="02020609040205080304"/>
    <w:charset w:val="80"/>
    <w:family w:val="modern"/>
    <w:pitch w:val="fixed"/>
    <w:sig w:csb1="00000000" w:csb0="0002009F" w:usb3="00000000" w:usb2="00000012" w:usb1="6AC7FDFB"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759A4"/>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Pž-4250/2018-2</izvorni_sadrzaj>
    <derivirana_varijabla naziv="DomainObject.Oznaka_1">Pž-4250/2018-2</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4250</izvorni_sadrzaj>
    <derivirana_varijabla naziv="DomainObject.Predmet.Broj_1">4250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srpnja 2018.</izvorni_sadrzaj>
    <derivirana_varijabla naziv="DomainObject.Predmet.DatumRjesavanja_1">16.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Pž-4250/2018</izvorni_sadrzaj>
    <derivirana_varijabla naziv="DomainObject.Predmet.OznakaBroj_1">Pž-4250/2018</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Vogrin</izvorni_sadrzaj>
    <derivirana_varijabla naziv="DomainObject.Predmet.PredmetRijesio.Prezime_1">Rotar Vogrin</derivirana_varijabla>
  </DomainObject.Predmet.PredmetRijesio.Prezime>
  <DomainObject.Predmet.PrimjedbaSuca>
    <izvorni_sadrzaj>preslika spisa I. stupnja; nagrada st. upraviteljici</izvorni_sadrzaj>
    <derivirana_varijabla naziv="DomainObject.Predmet.PrimjedbaSuca_1">preslika spisa I. stupnja; nagrada st. upraviteljici</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D.A. AGENT društvo s ograničenom odgovornošću za usluge putničke agencije i usluge u nautičkom turizmu </izvorni_sadrzaj>
    <derivirana_varijabla naziv="DomainObject.Predmet.ProtustrankaFormated_1">  Stečajna masa iza D.A. AGENT društvo s ograničenom odgovornošću za usluge putničke agencije i usluge u nautičkom turizmu </derivirana_varijabla>
  </DomainObject.Predmet.ProtustrankaFormated>
  <DomainObject.Predmet.ProtustrankaFormatedOIB>
    <izvorni_sadrzaj>  Stečajna masa iza D.A. AGENT društvo s ograničenom odgovornošću za usluge putničke agencije i usluge u nautičkom turizmu , OIB 98501610436</izvorni_sadrzaj>
    <derivirana_varijabla naziv="DomainObject.Predmet.ProtustrankaFormatedOIB_1">  Stečajna masa iza D.A. AGENT društvo s ograničenom odgovornošću za usluge putničke agencije i usluge u nautičkom turizmu , OIB 98501610436</derivirana_varijabla>
  </DomainObject.Predmet.ProtustrankaFormatedOIB>
  <DomainObject.Predmet.ProtustrankaFormatedWithAdress>
    <izvorni_sadrzaj> Stečajna masa iza D.A. AGENT društvo s ograničenom odgovornošću za usluge putničke agencije i usluge u nautičkom turizmu , Matice hrvatske 10, 21000 Split</izvorni_sadrzaj>
    <derivirana_varijabla naziv="DomainObject.Predmet.ProtustrankaFormatedWithAdress_1"> Stečajna masa iza D.A. AGENT društvo s ograničenom odgovornošću za usluge putničke agencije i usluge u nautičkom turizmu , Matice hrvatske 10, 21000 Split</derivirana_varijabla>
  </DomainObject.Predmet.ProtustrankaFormatedWithAdress>
  <DomainObject.Predmet.ProtustrankaFormatedWithAdressOIB>
    <izvorni_sadrzaj> Stečajna masa iza D.A. AGENT društvo s ograničenom odgovornošću za usluge putničke agencije i usluge u nautičkom turizmu , OIB 98501610436, Matice hrvatske 10, 21000 Split</izvorni_sadrzaj>
    <derivirana_varijabla naziv="DomainObject.Predmet.ProtustrankaFormatedWithAdressOIB_1"> Stečajna masa iza D.A. AGENT društvo s ograničenom odgovornošću za usluge putničke agencije i usluge u nautičkom turizmu , OIB 98501610436, Matice hrvatske 10, 21000 Split</derivirana_varijabla>
  </DomainObject.Predmet.ProtustrankaFormatedWithAdressOIB>
  <DomainObject.Predmet.ProtustrankaWithAdress>
    <izvorni_sadrzaj>Stečajna masa iza D.A. AGENT društvo s ograničenom odgovornošću za usluge putničke agencije i usluge u nautičkom turizmu  Matice hrvatske 10, 21000 Split</izvorni_sadrzaj>
    <derivirana_varijabla naziv="DomainObject.Predmet.ProtustrankaWithAdress_1">Stečajna masa iza D.A. AGENT društvo s ograničenom odgovornošću za usluge putničke agencije i usluge u nautičkom turizmu  Matice hrvatske 10, 21000 Split</derivirana_varijabla>
  </DomainObject.Predmet.ProtustrankaWithAdress>
  <DomainObject.Predmet.ProtustrankaWithAdressOIB>
    <izvorni_sadrzaj>Stečajna masa iza D.A. AGENT društvo s ograničenom odgovornošću za usluge putničke agencije i usluge u nautičkom turizmu , OIB 98501610436, Matice hrvatske 10, 21000 Split</izvorni_sadrzaj>
    <derivirana_varijabla naziv="DomainObject.Predmet.ProtustrankaWithAdressOIB_1">Stečajna masa iza D.A. AGENT društvo s ograničenom odgovornošću za usluge putničke agencije i usluge u nautičkom turizmu , OIB 98501610436, Matice hrvatske 10, 21000 Split</derivirana_varijabla>
  </DomainObject.Predmet.ProtustrankaWithAdressOIB>
  <DomainObject.Predmet.ProtustrankaNazivFormated>
    <izvorni_sadrzaj>Stečajna masa iza D.A. AGENT društvo s ograničenom odgovornošću za usluge putničke agencije i usluge u nautičkom turizmu </izvorni_sadrzaj>
    <derivirana_varijabla naziv="DomainObject.Predmet.ProtustrankaNazivFormated_1">Stečajna masa iza D.A. AGENT društvo s ograničenom odgovornošću za usluge putničke agencije i usluge u nautičkom turizmu </derivirana_varijabla>
    <derivirana_varijabla naziv="Padez">Stečajna masa iza D.A. AGENT društvo s ograničenom odgovornošću za usluge putničke agencije i usluge u nautičkom turizmu </derivirana_varijabla>
  </DomainObject.Predmet.ProtustrankaNazivFormated>
  <DomainObject.Predmet.ProtustrankaNazivFormatedOIB>
    <izvorni_sadrzaj>Stečajna masa iza D.A. AGENT društvo s ograničenom odgovornošću za usluge putničke agencije i usluge u nautičkom turizmu , OIB 98501610436</izvorni_sadrzaj>
    <derivirana_varijabla naziv="DomainObject.Predmet.ProtustrankaNazivFormatedOIB_1">Stečajna masa iza D.A. AGENT društvo s ograničenom odgovornošću za usluge putničke agencije i usluge u nautičkom turizmu , OIB 98501610436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30</izvorni_sadrzaj>
    <derivirana_varijabla naziv="DomainObject.Predmet.Referada.Oznaka_1">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Vogrin</izvorni_sadrzaj>
    <derivirana_varijabla naziv="DomainObject.Predmet.Referada.Sudac_1">Sandra Rotar Vogrin</derivirana_varijabla>
    <derivirana_varijabla naziv="Dativ">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Nikolina Blagec</izvorni_sadrzaj>
    <derivirana_varijabla naziv="DomainObject.Predmet.Zapisnicar_1">Nikolina Blagec</derivirana_varijabla>
    <derivirana_varijabla naziv="Padez">Nikolina Blagec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D.A. AGENT društvo s ograničenom odgovornošću za usluge putničke agencije i usluge u nautičkom turizmu </item>
    </izvorni_sadrzaj>
    <derivirana_varijabla naziv="DomainObject.Predmet.ProtuStrankaListFormated_1">
      <item>Stečajna masa iza D.A. AGENT društvo s ograničenom odgovornošću za usluge putničke agencije i usluge u nautičkom turizmu </item>
    </derivirana_varijabla>
  </DomainObject.Predmet.ProtuStrankaListFormated>
  <DomainObject.Predmet.ProtuStrankaListFormatedOIB>
    <izvorni_sadrzaj>
      <item>Stečajna masa iza D.A. AGENT društvo s ograničenom odgovornošću za usluge putničke agencije i usluge u nautičkom turizmu , OIB 98501610436</item>
    </izvorni_sadrzaj>
    <derivirana_varijabla naziv="DomainObject.Predmet.ProtuStrankaListFormatedOIB_1">
      <item>Stečajna masa iza D.A. AGENT društvo s ograničenom odgovornošću za usluge putničke agencije i usluge u nautičkom turizmu , OIB 98501610436</item>
    </derivirana_varijabla>
  </DomainObject.Predmet.ProtuStrankaListFormatedOIB>
  <DomainObject.Predmet.ProtuStrankaListFormatedWithAdress>
    <izvorni_sadrzaj>
      <item>Stečajna masa iza D.A. AGENT društvo s ograničenom odgovornošću za usluge putničke agencije i usluge u nautičkom turizmu , Matice hrvatske 10, 21000 Split</item>
    </izvorni_sadrzaj>
    <derivirana_varijabla naziv="DomainObject.Predmet.ProtuStrankaListFormatedWithAdress_1">
      <item>Stečajna masa iza D.A. AGENT društvo s ograničenom odgovornošću za usluge putničke agencije i usluge u nautičkom turizmu , Matice hrvatske 10, 21000 Split</item>
    </derivirana_varijabla>
  </DomainObject.Predmet.ProtuStrankaListFormatedWithAdress>
  <DomainObject.Predmet.ProtuStrankaListFormatedWithAdressOIB>
    <izvorni_sadrzaj>
      <item>Stečajna masa iza D.A. AGENT društvo s ograničenom odgovornošću za usluge putničke agencije i usluge u nautičkom turizmu , OIB 98501610436, Matice hrvatske 10, 21000 Split</item>
    </izvorni_sadrzaj>
    <derivirana_varijabla naziv="DomainObject.Predmet.ProtuStrankaListFormatedWithAdressOIB_1">
      <item>Stečajna masa iza D.A. AGENT društvo s ograničenom odgovornošću za usluge putničke agencije i usluge u nautičkom turizmu , OIB 98501610436, Matice hrvatske 10, 21000 Split</item>
    </derivirana_varijabla>
  </DomainObject.Predmet.ProtuStrankaListFormatedWithAdressOIB>
  <DomainObject.Predmet.ProtuStrankaListNazivFormated>
    <izvorni_sadrzaj>
      <item>Stečajna masa iza D.A. AGENT društvo s ograničenom odgovornošću za usluge putničke agencije i usluge u nautičkom turizmu </item>
    </izvorni_sadrzaj>
    <derivirana_varijabla naziv="DomainObject.Predmet.ProtuStrankaListNazivFormated_1">
      <item>Stečajna masa iza D.A. AGENT društvo s ograničenom odgovornošću za usluge putničke agencije i usluge u nautičkom turizmu </item>
    </derivirana_varijabla>
  </DomainObject.Predmet.ProtuStrankaListNazivFormated>
  <DomainObject.Predmet.ProtuStrankaListNazivFormatedOIB>
    <izvorni_sadrzaj>
      <item>Stečajna masa iza D.A. AGENT društvo s ograničenom odgovornošću za usluge putničke agencije i usluge u nautičkom turizmu , OIB 98501610436</item>
    </izvorni_sadrzaj>
    <derivirana_varijabla naziv="DomainObject.Predmet.ProtuStrankaListNazivFormatedOIB_1">
      <item>Stečajna masa iza D.A. AGENT društvo s ograničenom odgovornošću za usluge putničke agencije i usluge u nautičkom turizmu , OIB 98501610436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Pž-4250/2018-2</izvorni_sadrzaj>
    <derivirana_varijabla naziv="DomainObject.PoslovniBrojDokumenta_1">Pž-4250/2018-2</derivirana_varijabla>
  </DomainObject.PoslovniBrojDokumenta>
  <DomainObject.Predmet.StrankaIDrugi>
    <izvorni_sadrzaj/>
    <derivirana_varijabla naziv="DomainObject.Predmet.StrankaIDrugi_1"/>
  </DomainObject.Predmet.StrankaIDrugi>
  <DomainObject.Predmet.ProtustrankaIDrugi>
    <izvorni_sadrzaj>Stečajna masa iza D.A. AGENT društvo s ograničenom odgovornošću za usluge putničke agencije i usluge u nautičkom turizmu </izvorni_sadrzaj>
    <derivirana_varijabla naziv="DomainObject.Predmet.ProtustrankaIDrugi_1">Stečajna masa iza D.A. AGENT društvo s ograničenom odgovornošću za usluge putničke agencije i usluge u nautičkom turizmu </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D.A. AGENT društvo s ograničenom odgovornošću za usluge putničke agencije i usluge u nautičkom turizmu , OIB 98501610436, Matice hrvatske 10, 21000 Split</izvorni_sadrzaj>
    <derivirana_varijabla naziv="DomainObject.Predmet.ProtustrankaIDrugiAdressOIB_1">Stečajna masa iza D.A. AGENT društvo s ograničenom odgovornošću za usluge putničke agencije i usluge u nautičkom turizmu , OIB 98501610436,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srpnja 2018.</izvorni_sadrzaj>
    <derivirana_varijabla naziv="DomainObject.Predmet.OdlukaRjesenje.DatumDonosenjaOdluke_1">11.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Pž-4250/2018-2</izvorni_sadrzaj>
    <derivirana_varijabla naziv="DomainObject.Predmet.OdlukaRjesenje.Oznaka_1">Pž-4250/2018-2</derivirana_varijabla>
  </DomainObject.Predmet.OdlukaRjesenje.Oznaka>
  <DomainObject.Predmet.SudioniciListNaziv>
    <izvorni_sadrzaj>
      <item>Stečajna masa iza D.A. AGENT društvo s ograničenom odgovornošću za usluge putničke agencije i usluge u nautičkom turizmu </item>
    </izvorni_sadrzaj>
    <derivirana_varijabla naziv="DomainObject.Predmet.SudioniciListNaziv_1">
      <item>Stečajna masa iza D.A. AGENT društvo s ograničenom odgovornošću za usluge putničke agencije i usluge u nautičkom turizmu </item>
    </derivirana_varijabla>
    <derivirana_varijabla naziv="OstaliSudionici">
      <item>Stečajna masa iza D.A. AGENT društvo s ograničenom odgovornošću za usluge putničke agencije i usluge u nautičkom turizmu </item>
    </derivirana_varijabla>
  </DomainObject.Predmet.SudioniciListNaziv>
  <DomainObject.Predmet.SudioniciListAdressOIB>
    <izvorni_sadrzaj>
      <item>Stečajna masa iza D.A. AGENT društvo s ograničenom odgovornošću za usluge putničke agencije i usluge u nautičkom turizmu , OIB 98501610436, Matice hrvatske 10,21000 Split</item>
    </izvorni_sadrzaj>
    <derivirana_varijabla naziv="DomainObject.Predmet.SudioniciListAdressOIB_1">
      <item>Stečajna masa iza D.A. AGENT društvo s ograničenom odgovornošću za usluge putničke agencije i usluge u nautičkom turizmu , OIB 98501610436,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98501610436</item>
    </izvorni_sadrzaj>
    <derivirana_varijabla naziv="DomainObject.Predmet.SudioniciListNazivOIB_1">
      <item>, OIB 98501610436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CFE08D-334B-4FF9-87F6-EBA154E03E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518</properties:Words>
  <properties:Characters>2774</properties:Characters>
  <properties:Lines>72</properties:Lines>
  <properties:Paragraphs>19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2018-07-27T05:45:00Z</dcterms:created>
  <dc:creator>wsadmin</dc:creator>
  <dc:description>Ovaj predložak služi kao osnova za kreiranje novih eSPIS predložaka te za upravljanje eSPIS funkcijama tijekom obrade sudskih dokumenata.</dc:description>
  <cp:lastModifiedBy>Paško Bačić</cp:lastModifiedBy>
  <cp:lastPrinted>2018-07-17T12:54:00Z</cp:lastPrinted>
  <dcterms:modified xmlns:xsi="http://www.w3.org/2001/XMLSchema-instance" xsi:type="dcterms:W3CDTF">2018-07-27T05:46:00Z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Podnesak - Rješenje - odbačena žalba kao nedopuštena (St-225-2017.docx)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