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2332d" w14:paraId="962332d" w:rsidRDefault="001F6982" w:rsidP="001F6982" w:rsidR="001F6982">
      <w:pPr>
        <w:pStyle w:val="Bezproreda"/>
        <w15:collapsed w:val="false"/>
      </w:pPr>
      <w:bookmarkStart w:name="OLE_LINK8" w:id="0"/>
      <w:bookmarkStart w:name="OLE_LINK9" w:id="1"/>
      <w:bookmarkStart w:name="_GoBack" w:id="2"/>
      <w:bookmarkEnd w:id="2"/>
      <w:r>
        <w:t>CARNIS d.o.o. u stečaju, OIB 53023659425</w:t>
      </w:r>
    </w:p>
    <w:p w:rsidRDefault="001F6982" w:rsidP="001F6982" w:rsidR="001F6982">
      <w:pPr>
        <w:pStyle w:val="Bezproreda"/>
      </w:pPr>
      <w:r>
        <w:t xml:space="preserve">Zagreb, </w:t>
      </w:r>
      <w:proofErr w:type="spellStart"/>
      <w:r>
        <w:t>Požarinje</w:t>
      </w:r>
      <w:proofErr w:type="spellEnd"/>
      <w:r>
        <w:t xml:space="preserve"> 3</w:t>
      </w:r>
    </w:p>
    <w:bookmarkEnd w:id="0"/>
    <w:bookmarkEnd w:id="1"/>
    <w:p w:rsidRDefault="001F6982" w:rsidP="001F6982" w:rsidR="001F6982">
      <w:pPr>
        <w:pStyle w:val="Bezproreda"/>
      </w:pPr>
      <w:r>
        <w:t xml:space="preserve">                                                                                                                         St-6580/2016                                                                                              </w:t>
      </w:r>
    </w:p>
    <w:p w:rsidRDefault="001F6982" w:rsidP="001F6982" w:rsidR="001F6982">
      <w:pPr>
        <w:pStyle w:val="Bezproreda"/>
      </w:pPr>
    </w:p>
    <w:p w:rsidRDefault="001F6982" w:rsidP="001F6982" w:rsidR="001F6982">
      <w:pPr>
        <w:pStyle w:val="Bezproreda"/>
      </w:pPr>
      <w:r>
        <w:t>Zagreb, 29.10.2018.g.</w:t>
      </w:r>
    </w:p>
    <w:p w:rsidRDefault="001F6982" w:rsidP="001F6982" w:rsidR="001F6982">
      <w:pPr>
        <w:pStyle w:val="Bezproreda"/>
      </w:pPr>
      <w:r>
        <w:t xml:space="preserve">                                                                                                        Trgovački sud u Zagreb</w:t>
      </w:r>
    </w:p>
    <w:p w:rsidRDefault="001F6982" w:rsidP="001F6982" w:rsidR="001F6982">
      <w:pPr>
        <w:pStyle w:val="Bezproreda"/>
      </w:pPr>
      <w:r>
        <w:t xml:space="preserve">                                                                                                         N/p stečajnog suca</w:t>
      </w:r>
    </w:p>
    <w:p w:rsidRDefault="001F6982" w:rsidP="001F6982" w:rsidR="001F6982">
      <w:pPr>
        <w:pStyle w:val="Bezproreda"/>
      </w:pPr>
    </w:p>
    <w:p w:rsidRDefault="001F6982" w:rsidP="001F6982" w:rsidR="001F6982">
      <w:pPr>
        <w:pStyle w:val="Bezproreda"/>
        <w:rPr>
          <w:b/>
        </w:rPr>
      </w:pPr>
      <w:r>
        <w:t xml:space="preserve">                        </w:t>
      </w:r>
      <w:r>
        <w:rPr>
          <w:b/>
        </w:rPr>
        <w:t>IZVJEŠĆE STEČAJNOG UPRAVITELJA O GOSPODARSKOM POLOŽAJU</w:t>
      </w:r>
    </w:p>
    <w:p w:rsidRDefault="001F6982" w:rsidP="001F6982" w:rsidR="001F6982">
      <w:pPr>
        <w:pStyle w:val="Bezproreda"/>
        <w:rPr>
          <w:b/>
        </w:rPr>
      </w:pPr>
      <w:r>
        <w:rPr>
          <w:b/>
        </w:rPr>
        <w:t xml:space="preserve">                                                   DUŽNIKA I NJEGOVIM UZROCIMA</w:t>
      </w:r>
    </w:p>
    <w:p w:rsidRDefault="001F6982" w:rsidP="001F6982" w:rsidR="001F6982">
      <w:pPr>
        <w:pStyle w:val="Bezproreda"/>
      </w:pPr>
      <w:r>
        <w:rPr>
          <w:b/>
        </w:rPr>
        <w:t xml:space="preserve">          </w:t>
      </w:r>
    </w:p>
    <w:p w:rsidRDefault="001F6982" w:rsidP="001F6982" w:rsidR="001F6982">
      <w:pPr>
        <w:pStyle w:val="Bezproreda"/>
      </w:pPr>
      <w:r>
        <w:t xml:space="preserve">               </w:t>
      </w:r>
    </w:p>
    <w:p w:rsidRDefault="001F6982" w:rsidP="001F6982" w:rsidR="001F6982">
      <w:pPr>
        <w:pStyle w:val="Bezproreda"/>
      </w:pPr>
      <w:r>
        <w:t>I   OPĆI PODACI O DRUŠTVU</w:t>
      </w:r>
    </w:p>
    <w:p w:rsidRDefault="001F6982" w:rsidP="001F6982" w:rsidR="001F6982">
      <w:pPr>
        <w:pStyle w:val="Bezproreda"/>
      </w:pPr>
    </w:p>
    <w:p w:rsidRDefault="001F6982" w:rsidP="001F6982" w:rsidR="001F6982">
      <w:pPr>
        <w:pStyle w:val="Bezproreda"/>
      </w:pPr>
      <w:r>
        <w:t xml:space="preserve">Prema stanju upisa u sudski registar kod Trgovačkog suda u Zagrebu CARNIS d.o.o., Zagreb, </w:t>
      </w:r>
      <w:proofErr w:type="spellStart"/>
      <w:r>
        <w:t>Požarinje</w:t>
      </w:r>
      <w:proofErr w:type="spellEnd"/>
      <w:r>
        <w:t xml:space="preserve"> 3,  registrirana je pod brojem MBS 080419408, OIB  53023659425 sa temeljnim kapitalom u  iznosu od 20.000,00  kuna. Evidentirani osnivač društva je Ivan </w:t>
      </w:r>
      <w:proofErr w:type="spellStart"/>
      <w:r>
        <w:t>Hađija</w:t>
      </w:r>
      <w:proofErr w:type="spellEnd"/>
      <w:r>
        <w:t xml:space="preserve">, a upisane osobe za zastupanje prije stečaja su bili Željko </w:t>
      </w:r>
      <w:proofErr w:type="spellStart"/>
      <w:r>
        <w:t>Hađija</w:t>
      </w:r>
      <w:proofErr w:type="spellEnd"/>
      <w:r>
        <w:t xml:space="preserve"> ( prokurist) i Ivan </w:t>
      </w:r>
      <w:proofErr w:type="spellStart"/>
      <w:r>
        <w:t>Hađija</w:t>
      </w:r>
      <w:proofErr w:type="spellEnd"/>
      <w:r>
        <w:t xml:space="preserve"> (direktor)</w:t>
      </w:r>
    </w:p>
    <w:p w:rsidRDefault="001F6982" w:rsidP="001F6982" w:rsidR="001F6982">
      <w:pPr>
        <w:pStyle w:val="Bezproreda"/>
      </w:pPr>
    </w:p>
    <w:p w:rsidRDefault="001F6982" w:rsidP="001F6982" w:rsidR="001F6982">
      <w:pPr>
        <w:pStyle w:val="Bezproreda"/>
      </w:pPr>
      <w:r>
        <w:t xml:space="preserve">Predmet poslovanja: </w:t>
      </w:r>
    </w:p>
    <w:p w:rsidRDefault="001F6982" w:rsidP="001F6982" w:rsidR="001F6982">
      <w:pPr>
        <w:pStyle w:val="Bezproreda"/>
      </w:pPr>
    </w:p>
    <w:p w:rsidRDefault="001F6982" w:rsidP="001F6982" w:rsidR="001F6982">
      <w:pPr>
        <w:pStyle w:val="Bezproreda"/>
      </w:pPr>
      <w:r>
        <w:t>- Kupnja i prodaja robe</w:t>
      </w:r>
    </w:p>
    <w:p w:rsidRDefault="001F6982" w:rsidP="001F6982" w:rsidR="001F6982">
      <w:pPr>
        <w:pStyle w:val="Bezproreda"/>
      </w:pPr>
      <w:r>
        <w:t>- obavljanje trgovačkog posredovanja na domaćem i stranom tržištu</w:t>
      </w:r>
    </w:p>
    <w:p w:rsidRDefault="001F6982" w:rsidP="001F6982" w:rsidR="001F6982">
      <w:pPr>
        <w:pStyle w:val="Bezproreda"/>
      </w:pPr>
      <w:r>
        <w:t>- prijevoz putnika i tereta u unutarnjem i međunarodnom cestovnom prometu</w:t>
      </w:r>
    </w:p>
    <w:p w:rsidRDefault="001F6982" w:rsidP="001F6982" w:rsidR="001F6982">
      <w:pPr>
        <w:pStyle w:val="Bezproreda"/>
      </w:pPr>
      <w:r>
        <w:t>- zastupanje inozemnih tvrtki</w:t>
      </w:r>
    </w:p>
    <w:p w:rsidRDefault="001F6982" w:rsidP="001F6982" w:rsidR="001F6982">
      <w:pPr>
        <w:pStyle w:val="Bezproreda"/>
      </w:pPr>
      <w:r>
        <w:t>- pripremanje i usluživanje pića i napitaka, pripremanje i usluživanje pića i napitaka i pružanje usluga smještaja</w:t>
      </w:r>
    </w:p>
    <w:p w:rsidRDefault="001F6982" w:rsidP="001F6982" w:rsidR="001F6982">
      <w:pPr>
        <w:pStyle w:val="Bezproreda"/>
      </w:pPr>
      <w:r>
        <w:t>- pripremanje hrane za potrošnju na drugom mjestu ( u prijevoznim sredstvima, na priredbama i sl.) i opskrba tom hranom (</w:t>
      </w:r>
      <w:proofErr w:type="spellStart"/>
      <w:r>
        <w:t>catering</w:t>
      </w:r>
      <w:proofErr w:type="spellEnd"/>
      <w:r>
        <w:t>)</w:t>
      </w:r>
    </w:p>
    <w:p w:rsidRDefault="001F6982" w:rsidP="001F6982" w:rsidR="001F6982">
      <w:pPr>
        <w:pStyle w:val="Bezproreda"/>
      </w:pPr>
    </w:p>
    <w:p w:rsidRDefault="001F6982" w:rsidP="001F6982" w:rsidR="001F6982">
      <w:pPr>
        <w:pStyle w:val="Bezproreda"/>
      </w:pPr>
    </w:p>
    <w:p w:rsidRDefault="001F6982" w:rsidP="001F6982" w:rsidR="001F6982">
      <w:pPr>
        <w:pStyle w:val="Bezproreda"/>
      </w:pPr>
      <w:r>
        <w:t>II  POSLOVNE AKTIVNOSTI I GOSPODARSKI POLOŽAJ</w:t>
      </w:r>
    </w:p>
    <w:p w:rsidRDefault="001F6982" w:rsidP="001F6982" w:rsidR="001F6982">
      <w:pPr>
        <w:pStyle w:val="Bezproreda"/>
      </w:pPr>
    </w:p>
    <w:p w:rsidRDefault="001F6982" w:rsidP="001F6982" w:rsidR="001F6982">
      <w:pPr>
        <w:pStyle w:val="Bezproreda"/>
      </w:pPr>
      <w:r>
        <w:t>Prema dostupnim podacima, te nastavno na prikupljene informacije od bivših zakonskih zastupnika, osnovna djelatnost društva bila je trgovina na veliko mesom.</w:t>
      </w:r>
    </w:p>
    <w:p w:rsidRDefault="001F6982" w:rsidP="001F6982" w:rsidR="001F6982">
      <w:pPr>
        <w:pStyle w:val="Bezproreda"/>
      </w:pPr>
    </w:p>
    <w:p w:rsidRDefault="001F6982" w:rsidP="001F6982" w:rsidR="001F6982">
      <w:pPr>
        <w:pStyle w:val="Bezproreda"/>
      </w:pPr>
      <w:r>
        <w:t>Prema navodima bivših zakonskih zastupnika poslovni problemi pojavili su se tijekom 2010.g., te je u osnovi društvo tijekom 2010.g. znatno smanjilo obim poslovanja, dok su se prema dostupnim podacima i dokumentaciji sporadični poslovni događaji još dešavali tijekom 2011.g.</w:t>
      </w:r>
    </w:p>
    <w:p w:rsidRDefault="001F6982" w:rsidP="001F6982" w:rsidR="001F6982">
      <w:pPr>
        <w:pStyle w:val="Bezproreda"/>
      </w:pPr>
    </w:p>
    <w:p w:rsidRDefault="001F6982" w:rsidP="001F6982" w:rsidR="001F6982">
      <w:pPr>
        <w:pStyle w:val="Bezproreda"/>
      </w:pPr>
      <w:r>
        <w:t>Prema stanju javnih objava, te dokumentaciji dužnika, posljednja financijska izvješća podnesena su za 2010.g., te nadalje trgovačko društvo nije vodilo knjigovodstvo niti predavalo financijska izvješća. Nastavno na navedeno, a uz daljnju činjenicu nedostupnosti analitičkih evidencija iz poslovnih knjiga niti na 31.12.2010.g., nije moguće stanje poslovnih knjiga uzeti kao nesporan podatak o imovini i obavezama društva.</w:t>
      </w:r>
    </w:p>
    <w:p w:rsidRDefault="001F6982" w:rsidP="001F6982" w:rsidR="001F6982">
      <w:pPr>
        <w:pStyle w:val="Bezproreda"/>
      </w:pPr>
    </w:p>
    <w:p w:rsidRDefault="001F6982" w:rsidP="001F6982" w:rsidR="001F6982">
      <w:pPr>
        <w:pStyle w:val="Bezproreda"/>
      </w:pPr>
      <w:r>
        <w:t>Povijesno, prema podacima iz financijskih izvješća za 2010.g. ( Računa dobiti i gubitka), proizlazi da je društvo u 2009.g. ostvarilo prihode od prodaje 16,3 mil. kuna, a u 2010.g. prihode od prodaje u iznosu od 5,6 mil. kn. Ostvareni rezultat poslovanja za 2009.g. iskazan je sa ostvarenom dobiti od 95.061,00 kn, dok je u 2010.g. ostvaren gubitak u poslovanju u iznosu od 1.536.387,00 kn.</w:t>
      </w:r>
    </w:p>
    <w:p w:rsidRDefault="001F6982" w:rsidP="001F6982" w:rsidR="001F6982">
      <w:pPr>
        <w:pStyle w:val="Bezproreda"/>
      </w:pPr>
    </w:p>
    <w:p w:rsidRDefault="001F6982" w:rsidP="001F6982" w:rsidR="001F6982">
      <w:pPr>
        <w:pStyle w:val="Bezproreda"/>
      </w:pPr>
      <w:r>
        <w:lastRenderedPageBreak/>
        <w:t>Prema dostupnim podacima protiv odgovornih osoba stečajnog dužnika, podnesena je kaznena prijava koja je kod Općinskog državnog odvjetništva evidentirana pod poslovnim brojem K-DO-2084/11. Prema dostupnim podacima stanja spisa  i nadalje je u tijeku postupanje u predmetnom postupku.</w:t>
      </w:r>
    </w:p>
    <w:p w:rsidRDefault="001F6982" w:rsidP="001F6982" w:rsidR="001F6982">
      <w:pPr>
        <w:pStyle w:val="Bezproreda"/>
      </w:pPr>
    </w:p>
    <w:p w:rsidRDefault="001F6982" w:rsidP="001F6982" w:rsidR="001F6982">
      <w:pPr>
        <w:pStyle w:val="Bezproreda"/>
      </w:pPr>
      <w:r>
        <w:t>Nakon otvaranja stečajnog postupka izvršene su slijedeće bitne radnje stečajnog postupka:</w:t>
      </w:r>
    </w:p>
    <w:p w:rsidRDefault="001F6982" w:rsidP="001F6982" w:rsidR="001F6982">
      <w:pPr>
        <w:pStyle w:val="Bezproreda"/>
      </w:pPr>
    </w:p>
    <w:p w:rsidRDefault="001F6982" w:rsidP="001F6982" w:rsidR="001F6982">
      <w:pPr>
        <w:pStyle w:val="Bezproreda"/>
      </w:pPr>
      <w:r>
        <w:t xml:space="preserve">- otvoren je novi račun stečajnog dužnika kod Privredne banke Zagreb </w:t>
      </w:r>
      <w:proofErr w:type="spellStart"/>
      <w:r>
        <w:t>dd</w:t>
      </w:r>
      <w:proofErr w:type="spellEnd"/>
    </w:p>
    <w:p w:rsidRDefault="001F6982" w:rsidP="001F6982" w:rsidR="001F6982">
      <w:pPr>
        <w:pStyle w:val="Bezproreda"/>
      </w:pPr>
      <w:r>
        <w:t>- izvršen je popis imovine</w:t>
      </w:r>
    </w:p>
    <w:p w:rsidRDefault="001F6982" w:rsidP="001F6982" w:rsidR="001F6982">
      <w:pPr>
        <w:pStyle w:val="Bezproreda"/>
      </w:pPr>
      <w:r>
        <w:t>- izvršen je uvid u stanje nekretnina u vlasništvu dužnika i radnje na preuzimanju u posjed</w:t>
      </w:r>
    </w:p>
    <w:p w:rsidRDefault="001F6982" w:rsidP="001F6982" w:rsidR="001F6982">
      <w:pPr>
        <w:pStyle w:val="Bezproreda"/>
      </w:pPr>
      <w:r>
        <w:t xml:space="preserve">- u narednom periodu nakon utvrđivanja obaveza u stečajnom postupku, te u skladu sa zatečenim stanjem imovine planiraju se poduzeti   radnje radi  angažiranja knjigovodstvenog servisa radi uređenja poslovnih knjiga i za daljnje vođenje poslovnih knjiga </w:t>
      </w:r>
    </w:p>
    <w:p w:rsidRDefault="001F6982" w:rsidP="001F6982" w:rsidR="001F6982">
      <w:pPr>
        <w:pStyle w:val="Bezproreda"/>
      </w:pPr>
      <w:r>
        <w:t>- ispitane su tražbine vjerovnika</w:t>
      </w:r>
    </w:p>
    <w:p w:rsidRDefault="001F6982" w:rsidP="001F6982" w:rsidR="001F6982">
      <w:pPr>
        <w:pStyle w:val="Bezproreda"/>
      </w:pPr>
    </w:p>
    <w:p w:rsidRDefault="001F6982" w:rsidP="001F6982" w:rsidR="001F6982">
      <w:pPr>
        <w:pStyle w:val="Bezproreda"/>
      </w:pPr>
      <w:r>
        <w:t>III    IMOVINA STEČAJNOG DUŽNIKA</w:t>
      </w:r>
    </w:p>
    <w:p w:rsidRDefault="001F6982" w:rsidP="001F6982" w:rsidR="001F6982">
      <w:pPr>
        <w:pStyle w:val="Bezproreda"/>
      </w:pPr>
    </w:p>
    <w:p w:rsidRDefault="001F6982" w:rsidP="001F6982" w:rsidR="001F6982">
      <w:pPr>
        <w:pStyle w:val="Bezproreda"/>
      </w:pPr>
      <w:r>
        <w:t xml:space="preserve">Analiza imovine stečajnog dužnika bazira se na zatečenom stanju poslovnih knjiga na dan 31.12.2010.g. iskazanih u bilješkama uz financijska izvješća i stvarnom stanju zatečene imovine dužnika. Nastavno na navedeno procjenjuje se slijedeće stanje očekivane visine stečajne mase: </w:t>
      </w:r>
    </w:p>
    <w:p w:rsidRDefault="001F6982" w:rsidP="001F6982" w:rsidR="001F6982">
      <w:pPr>
        <w:pStyle w:val="Bezproreda"/>
      </w:pPr>
    </w:p>
    <w:tbl>
      <w:tblPr>
        <w:tblW w:type="dxa" w:w="9210"/>
        <w:tblInd w:type="dxa" w:w="14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180"/>
        <w:gridCol w:w="2580"/>
        <w:gridCol w:w="2450"/>
      </w:tblGrid>
      <w:tr w:rsidTr="001F6982" w:rsidR="001F6982">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Vrsta imovine</w:t>
            </w:r>
          </w:p>
        </w:tc>
        <w:tc>
          <w:tcPr>
            <w:tcW w:type="dxa" w:w="258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 xml:space="preserve">Knjigovodstvena vrijednost (kn) </w:t>
            </w:r>
            <w:r>
              <w:rPr>
                <w:sz w:val="18"/>
                <w:szCs w:val="18"/>
              </w:rPr>
              <w:t>31.12.2010.g.</w:t>
            </w:r>
          </w:p>
        </w:tc>
        <w:tc>
          <w:tcPr>
            <w:tcW w:type="dxa" w:w="245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Procijenjena potencijalna visina stečajne mase</w:t>
            </w:r>
          </w:p>
        </w:tc>
      </w:tr>
      <w:tr w:rsidTr="001F6982" w:rsidR="001F6982">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Građevinski objekti</w:t>
            </w:r>
          </w:p>
        </w:tc>
        <w:tc>
          <w:tcPr>
            <w:tcW w:type="dxa" w:w="258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 xml:space="preserve">               775.866</w:t>
            </w:r>
          </w:p>
        </w:tc>
        <w:tc>
          <w:tcPr>
            <w:tcW w:type="dxa" w:w="245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 xml:space="preserve">              823.787,80</w:t>
            </w:r>
          </w:p>
        </w:tc>
      </w:tr>
      <w:tr w:rsidTr="001F6982" w:rsidR="001F6982">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Postrojenja, oprema, alati, pogonski Inventar, transportna sredstva</w:t>
            </w:r>
          </w:p>
        </w:tc>
        <w:tc>
          <w:tcPr>
            <w:tcW w:type="dxa" w:w="258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 xml:space="preserve">               202.869 </w:t>
            </w:r>
          </w:p>
        </w:tc>
        <w:tc>
          <w:tcPr>
            <w:tcW w:type="dxa" w:w="245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 xml:space="preserve">                          0</w:t>
            </w:r>
          </w:p>
        </w:tc>
      </w:tr>
      <w:tr w:rsidTr="001F6982" w:rsidR="001F6982">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Potraživanja</w:t>
            </w:r>
          </w:p>
        </w:tc>
        <w:tc>
          <w:tcPr>
            <w:tcW w:type="dxa" w:w="258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 xml:space="preserve">            1.967.134</w:t>
            </w:r>
          </w:p>
        </w:tc>
        <w:tc>
          <w:tcPr>
            <w:tcW w:type="dxa" w:w="245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 xml:space="preserve">                          0</w:t>
            </w:r>
          </w:p>
        </w:tc>
      </w:tr>
      <w:tr w:rsidTr="001F6982" w:rsidR="001F6982">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Zaliha trgovačke robe i predujam za zalihe</w:t>
            </w:r>
          </w:p>
        </w:tc>
        <w:tc>
          <w:tcPr>
            <w:tcW w:type="dxa" w:w="258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 xml:space="preserve">            2.253.092</w:t>
            </w:r>
          </w:p>
        </w:tc>
        <w:tc>
          <w:tcPr>
            <w:tcW w:type="dxa" w:w="245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 xml:space="preserve">                          0</w:t>
            </w:r>
          </w:p>
        </w:tc>
      </w:tr>
      <w:tr w:rsidTr="001F6982" w:rsidR="001F6982">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Ostala imovina za prodaju - nekretnina</w:t>
            </w:r>
          </w:p>
        </w:tc>
        <w:tc>
          <w:tcPr>
            <w:tcW w:type="dxa" w:w="258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 xml:space="preserve">           7.905.675</w:t>
            </w:r>
          </w:p>
        </w:tc>
        <w:tc>
          <w:tcPr>
            <w:tcW w:type="dxa" w:w="245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 xml:space="preserve">         1.814.000,00</w:t>
            </w:r>
          </w:p>
        </w:tc>
      </w:tr>
      <w:tr w:rsidTr="001F6982" w:rsidR="001F6982">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Sveukupno imovina</w:t>
            </w:r>
          </w:p>
        </w:tc>
        <w:tc>
          <w:tcPr>
            <w:tcW w:type="dxa" w:w="258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 xml:space="preserve">         11.137.502        </w:t>
            </w:r>
          </w:p>
        </w:tc>
        <w:tc>
          <w:tcPr>
            <w:tcW w:type="dxa" w:w="2450"/>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pPr>
            <w:r>
              <w:t xml:space="preserve">         2.637.787,80</w:t>
            </w:r>
          </w:p>
        </w:tc>
      </w:tr>
    </w:tbl>
    <w:p w:rsidRDefault="001F6982" w:rsidP="001F6982" w:rsidR="001F6982">
      <w:pPr>
        <w:pStyle w:val="Bezproreda"/>
      </w:pPr>
    </w:p>
    <w:p w:rsidRDefault="001F6982" w:rsidP="001F6982" w:rsidR="001F6982">
      <w:pPr>
        <w:pStyle w:val="Bezproreda"/>
      </w:pPr>
      <w:r>
        <w:t xml:space="preserve">Kako je već navedeno, društvo je prestalo sa vođenjem poslovnih knjiga nakon 31.12.2010.g., te također nisu u dokumentaciji pronađene analitičke evidencije iz kojih bi se nesporno mogla utvrditi struktura imovine u naravi i to posebno u dijelu pokretnina, te potraživanja i obaveza društva. </w:t>
      </w:r>
    </w:p>
    <w:p w:rsidRDefault="001F6982" w:rsidP="001F6982" w:rsidR="001F6982">
      <w:pPr>
        <w:pStyle w:val="Bezproreda"/>
      </w:pPr>
    </w:p>
    <w:p w:rsidRDefault="001F6982" w:rsidP="001F6982" w:rsidR="001F6982">
      <w:pPr>
        <w:pStyle w:val="Bezproreda"/>
      </w:pPr>
      <w:r>
        <w:t xml:space="preserve">Građevinski objekt iskazan u dugotrajnoj imovini u visini amortizirane vrijednosti od 775.866 kn čini u naravi stan  na lokaciji Zagreb, </w:t>
      </w:r>
      <w:proofErr w:type="spellStart"/>
      <w:r>
        <w:t>Požarinje</w:t>
      </w:r>
      <w:proofErr w:type="spellEnd"/>
      <w:r>
        <w:t xml:space="preserve"> 3 u kojem se nalazilo sjedište društva. Predmetna nekretnina upisana je kod Općinskog građanskog suda u Zagrebu, u </w:t>
      </w:r>
      <w:proofErr w:type="spellStart"/>
      <w:r>
        <w:t>zk</w:t>
      </w:r>
      <w:proofErr w:type="spellEnd"/>
      <w:r>
        <w:t xml:space="preserve">. ul. 1771, k.o. Remete, suvlasnički udio redni broj 12 i to kao stan oznake 3 na II katu korisne površine </w:t>
      </w:r>
      <w:proofErr w:type="spellStart"/>
      <w:r>
        <w:t>65</w:t>
      </w:r>
      <w:proofErr w:type="spellEnd"/>
      <w:r>
        <w:t>,</w:t>
      </w:r>
      <w:proofErr w:type="spellStart"/>
      <w:r>
        <w:t>99</w:t>
      </w:r>
      <w:proofErr w:type="spellEnd"/>
      <w:r>
        <w:t xml:space="preserve"> </w:t>
      </w:r>
      <w:proofErr w:type="spellStart"/>
      <w:r>
        <w:t>čm</w:t>
      </w:r>
      <w:proofErr w:type="spellEnd"/>
      <w:r>
        <w:t xml:space="preserve">, terasa korisne površine </w:t>
      </w:r>
      <w:proofErr w:type="spellStart"/>
      <w:r>
        <w:t>26</w:t>
      </w:r>
      <w:proofErr w:type="spellEnd"/>
      <w:r>
        <w:t>,</w:t>
      </w:r>
      <w:proofErr w:type="spellStart"/>
      <w:r>
        <w:t>50</w:t>
      </w:r>
      <w:proofErr w:type="spellEnd"/>
      <w:r>
        <w:t xml:space="preserve"> </w:t>
      </w:r>
      <w:proofErr w:type="spellStart"/>
      <w:r>
        <w:t>čm</w:t>
      </w:r>
      <w:proofErr w:type="spellEnd"/>
      <w:r>
        <w:t xml:space="preserve"> u sklopu stana , te spremište oznake 3 korisne površine 2,</w:t>
      </w:r>
      <w:proofErr w:type="spellStart"/>
      <w:r>
        <w:t>32</w:t>
      </w:r>
      <w:proofErr w:type="spellEnd"/>
      <w:r>
        <w:t xml:space="preserve"> </w:t>
      </w:r>
      <w:proofErr w:type="spellStart"/>
      <w:r>
        <w:t>čm</w:t>
      </w:r>
      <w:proofErr w:type="spellEnd"/>
      <w:r>
        <w:t xml:space="preserve">. Na predmetnoj nekretnini upisano je založno pravo pod brojem  Z-63823/06 i Z-31740/07 u korist APS DELTA S.A. OIB 45421012929, Luksemburg radi osiguranja iznos od 1.000.000,00 kn i 1.200.000,00 kn. Nadalje je pod brojem Zabilježbe Z-42161/11 upisana predbilježba založnog prava ( uvidom utvrđeno da je opravdana) temeljem Rješenja o osiguranju Trgovačkog suda u Zagrebu pod </w:t>
      </w:r>
      <w:proofErr w:type="spellStart"/>
      <w:r>
        <w:t>posl</w:t>
      </w:r>
      <w:proofErr w:type="spellEnd"/>
      <w:r>
        <w:t xml:space="preserve">. brojem P-1717/11 radi osiguranja novčane tražbine u iznosu od 50.319,66 EUR-a u korist EXCALIBUR LEBENSMITTELHANDELSGES. MBH, Austrija. Također je pod brojem Z-17431/2018 izvršena zabilježba pokretanja postupka prijedloga osiguranja u korist upravitelja zgrade K-indeks d.o.o. uz istovremeno </w:t>
      </w:r>
      <w:r>
        <w:lastRenderedPageBreak/>
        <w:t xml:space="preserve">izvršenu zabilježbu Z-20332/18 odbijenog prijedloga za osiguranje  u istovjetnom postupku pod poslovnim brojem </w:t>
      </w:r>
      <w:proofErr w:type="spellStart"/>
      <w:r>
        <w:t>Ovr</w:t>
      </w:r>
      <w:proofErr w:type="spellEnd"/>
      <w:r>
        <w:t>-</w:t>
      </w:r>
      <w:proofErr w:type="spellStart"/>
      <w:r>
        <w:t>2731</w:t>
      </w:r>
      <w:proofErr w:type="spellEnd"/>
      <w:r>
        <w:t>/</w:t>
      </w:r>
      <w:proofErr w:type="spellStart"/>
      <w:r>
        <w:t>18</w:t>
      </w:r>
      <w:proofErr w:type="spellEnd"/>
      <w:r>
        <w:t xml:space="preserve"> na Općinskom građanskom sudu u Zagrebu. Prema stanju upisa u zemljišnim knjigama na predmetnoj nekretnini, izvršena je zabilježba pokrenutih ovršnih postupaka pod brojem Z-</w:t>
      </w:r>
      <w:proofErr w:type="spellStart"/>
      <w:r>
        <w:t>58872</w:t>
      </w:r>
      <w:proofErr w:type="spellEnd"/>
      <w:r>
        <w:t>/</w:t>
      </w:r>
      <w:proofErr w:type="spellStart"/>
      <w:r>
        <w:t>13</w:t>
      </w:r>
      <w:proofErr w:type="spellEnd"/>
      <w:r>
        <w:t xml:space="preserve">, </w:t>
      </w:r>
      <w:proofErr w:type="spellStart"/>
      <w:r>
        <w:t>Ovr</w:t>
      </w:r>
      <w:proofErr w:type="spellEnd"/>
      <w:r>
        <w:t>-</w:t>
      </w:r>
      <w:proofErr w:type="spellStart"/>
      <w:r>
        <w:t>876</w:t>
      </w:r>
      <w:proofErr w:type="spellEnd"/>
      <w:r>
        <w:t>/</w:t>
      </w:r>
      <w:proofErr w:type="spellStart"/>
      <w:r>
        <w:t>13</w:t>
      </w:r>
      <w:proofErr w:type="spellEnd"/>
      <w:r>
        <w:t xml:space="preserve"> koji se vodi na Trgovačkom sudu u Zagrebu koji se odnosi na ovrhovoditelja Intereuropa d.o.o. radi naplate iznosa od 531.344,98 kn ( prema obavijesti sa troškovima i kamatama 1.031.842,90 kn), pod Z-30672/14 zabilježena je ovrha  </w:t>
      </w:r>
      <w:proofErr w:type="spellStart"/>
      <w:r>
        <w:t>Ovr</w:t>
      </w:r>
      <w:proofErr w:type="spellEnd"/>
      <w:r>
        <w:t>-</w:t>
      </w:r>
      <w:proofErr w:type="spellStart"/>
      <w:r>
        <w:t>1989</w:t>
      </w:r>
      <w:proofErr w:type="spellEnd"/>
      <w:r>
        <w:t>/</w:t>
      </w:r>
      <w:proofErr w:type="spellStart"/>
      <w:r>
        <w:t>14</w:t>
      </w:r>
      <w:proofErr w:type="spellEnd"/>
      <w:r w:rsidR="007168EF">
        <w:t xml:space="preserve"> (</w:t>
      </w:r>
      <w:proofErr w:type="spellStart"/>
      <w:r w:rsidR="007168EF">
        <w:t>vps</w:t>
      </w:r>
      <w:proofErr w:type="spellEnd"/>
      <w:r w:rsidR="007168EF">
        <w:t xml:space="preserve"> </w:t>
      </w:r>
      <w:proofErr w:type="spellStart"/>
      <w:r w:rsidR="007168EF">
        <w:t>531.344</w:t>
      </w:r>
      <w:proofErr w:type="spellEnd"/>
      <w:r w:rsidR="007168EF">
        <w:t>,</w:t>
      </w:r>
      <w:proofErr w:type="spellStart"/>
      <w:r w:rsidR="007168EF">
        <w:t>98</w:t>
      </w:r>
      <w:proofErr w:type="spellEnd"/>
      <w:r w:rsidR="007168EF">
        <w:t xml:space="preserve"> kn)</w:t>
      </w:r>
      <w:r>
        <w:t xml:space="preserve"> po ovrhovoditelju </w:t>
      </w:r>
      <w:proofErr w:type="spellStart"/>
      <w:r>
        <w:t>Raiffeisenbank</w:t>
      </w:r>
      <w:proofErr w:type="spellEnd"/>
      <w:r>
        <w:t xml:space="preserve"> </w:t>
      </w:r>
      <w:proofErr w:type="spellStart"/>
      <w:r>
        <w:t>Austria</w:t>
      </w:r>
      <w:proofErr w:type="spellEnd"/>
      <w:r>
        <w:t xml:space="preserve"> d.d. ( Pravni prednik B2 kapital d.o.o.) i pod brojem Z-15245/15 postupak ovrhe pod poslovnim brojem </w:t>
      </w:r>
      <w:proofErr w:type="spellStart"/>
      <w:r>
        <w:t>Ovr</w:t>
      </w:r>
      <w:proofErr w:type="spellEnd"/>
      <w:r>
        <w:t>-</w:t>
      </w:r>
      <w:proofErr w:type="spellStart"/>
      <w:r>
        <w:t>552</w:t>
      </w:r>
      <w:proofErr w:type="spellEnd"/>
      <w:r>
        <w:t>/</w:t>
      </w:r>
      <w:proofErr w:type="spellStart"/>
      <w:r>
        <w:t>2015</w:t>
      </w:r>
      <w:proofErr w:type="spellEnd"/>
      <w:r>
        <w:t xml:space="preserve"> ( </w:t>
      </w:r>
      <w:proofErr w:type="spellStart"/>
      <w:r>
        <w:t>vps</w:t>
      </w:r>
      <w:proofErr w:type="spellEnd"/>
      <w:r>
        <w:t xml:space="preserve"> 1.578.551,</w:t>
      </w:r>
      <w:proofErr w:type="spellStart"/>
      <w:r>
        <w:t>55</w:t>
      </w:r>
      <w:proofErr w:type="spellEnd"/>
      <w:r>
        <w:t xml:space="preserve"> kn) po ovrhovoditelju  Zagrebačka banka d.d. ( pravni prednik APS DELTA S.A.) . Sukladno rješenju Suda, sada se predmetni ovršni postupci vode pod  jedinstvenim poslovnim brojem </w:t>
      </w:r>
      <w:proofErr w:type="spellStart"/>
      <w:r>
        <w:t>Ovr</w:t>
      </w:r>
      <w:proofErr w:type="spellEnd"/>
      <w:r>
        <w:t>-</w:t>
      </w:r>
      <w:proofErr w:type="spellStart"/>
      <w:r>
        <w:t>1202</w:t>
      </w:r>
      <w:proofErr w:type="spellEnd"/>
      <w:r>
        <w:t>/</w:t>
      </w:r>
      <w:proofErr w:type="spellStart"/>
      <w:r>
        <w:t>15</w:t>
      </w:r>
      <w:proofErr w:type="spellEnd"/>
      <w:r>
        <w:t xml:space="preserve"> na Općinskom sudu u Novom Zagrebu. U predmetnom ovršnom postupku prikupljeno je mišljenje Ministarstva financija, Porezna uprava na okolnost tržišne vrijednosti nekretnine, te je prema dopisu Porezne uprave ista određena u iznosu od 9.855,10 kn/ m2 ili za 83,59 m2 u sveukupnom iznosu od 823.787,80 kn kako je iskazana očekivana vrijednost stečajne mase.</w:t>
      </w:r>
    </w:p>
    <w:p w:rsidRDefault="001F6982" w:rsidP="001F6982" w:rsidR="001F6982">
      <w:pPr>
        <w:pStyle w:val="Bezproreda"/>
      </w:pPr>
    </w:p>
    <w:p w:rsidRDefault="001F6982" w:rsidP="001F6982" w:rsidR="001F6982">
      <w:pPr>
        <w:pStyle w:val="Bezproreda"/>
      </w:pPr>
      <w:r>
        <w:t xml:space="preserve">U odnosu na pokretnine (  Postrojenja, oprema, alati, pogonski Inventar, transportna sredstva) iskazane u poslovnim knjigama, a nastavno na prikupljene informacije od zakonskih zastupnika dužnika, društvo je tijekom poslovanja koristilo vozila u </w:t>
      </w:r>
      <w:proofErr w:type="spellStart"/>
      <w:r>
        <w:t>leasingu</w:t>
      </w:r>
      <w:proofErr w:type="spellEnd"/>
      <w:r>
        <w:t xml:space="preserve">, no prema navodu prokuriste i direktora društva, sva vozila koja su bila u </w:t>
      </w:r>
      <w:proofErr w:type="spellStart"/>
      <w:r>
        <w:t>leasingu</w:t>
      </w:r>
      <w:proofErr w:type="spellEnd"/>
      <w:r>
        <w:t xml:space="preserve"> su vraćena. U odnosu na ostale pokretnine ( uredski namještaj i oprema), prema navodu istih, zbog prestanka poslovanja i amortiziranosti, su rashodovane, te u trenutku otvaranja stečaja nisu zatečene pokretnine. Slijedom navedenog kako pokretnine nisu zatečene, odnosno ne postoje prema dostupnim informacijama,  proizlazi da knjigovodstveno stanje ne iskazuje realno stanje imovine stečajnog dužnika, odnosno da se s osnova predmetne pozicije se ne može očekivati stečajna masa. </w:t>
      </w:r>
    </w:p>
    <w:p w:rsidRDefault="001F6982" w:rsidP="001F6982" w:rsidR="001F6982">
      <w:pPr>
        <w:pStyle w:val="Bezproreda"/>
      </w:pPr>
    </w:p>
    <w:p w:rsidRDefault="001F6982" w:rsidP="001F6982" w:rsidR="001F6982">
      <w:pPr>
        <w:pStyle w:val="Bezproreda"/>
      </w:pPr>
      <w:r>
        <w:t xml:space="preserve">Ukupna potraživanja iskazana u dostupnoj bilanci ukupno na dan 31.12.2010.g. iznose 1.967.134 kn. Za iskazan potraživanja, a kako je već opisano zatečeno stanje poslovnih knjiga, nisu dostupne analitičke knjigovodstvene evidencije, te nije poznato od koga i po kojem  osnovu i u kojem iznosu postoji potraživanje dužnika. No, kako se radi o podacima na dan 31.12.2010.g.,  a prema navodima bivšeg direktora i prokurista društvo ne vodi sporove radi naplate potraživanja, osim koliko se sjeća spor iz 2007.g. za koji mu nije poznat broj spis niti ga posjeduje, protiv tuženika Ante Jurković d.o.o. Zagreb radi naplate iznosa od </w:t>
      </w:r>
      <w:proofErr w:type="spellStart"/>
      <w:r>
        <w:t>cca</w:t>
      </w:r>
      <w:proofErr w:type="spellEnd"/>
      <w:r>
        <w:t xml:space="preserve"> </w:t>
      </w:r>
      <w:proofErr w:type="spellStart"/>
      <w:r>
        <w:t>450.000</w:t>
      </w:r>
      <w:proofErr w:type="spellEnd"/>
      <w:r>
        <w:t>,</w:t>
      </w:r>
      <w:proofErr w:type="spellStart"/>
      <w:r>
        <w:t>00</w:t>
      </w:r>
      <w:proofErr w:type="spellEnd"/>
      <w:r>
        <w:t xml:space="preserve"> kn. Provjerom stanja upisa u sudskom registru, utvrđeno je da je trgovačko društvo Ante Jurković do.o.o. Zagreb, OIB 46928909972, brisano.  Slijedom navedenog, nema očekivane stečajne mase od naplate potraživanja. </w:t>
      </w:r>
    </w:p>
    <w:p w:rsidRDefault="001F6982" w:rsidP="001F6982" w:rsidR="001F6982">
      <w:pPr>
        <w:pStyle w:val="Bezproreda"/>
      </w:pPr>
    </w:p>
    <w:p w:rsidRDefault="001F6982" w:rsidP="001F6982" w:rsidR="001F6982">
      <w:pPr>
        <w:pStyle w:val="Bezproreda"/>
      </w:pPr>
      <w:r>
        <w:t xml:space="preserve">Zalihe trgovačke robe također nisu zatečene ( društvo se bavilo prodajom svježeg mesa), te s navedene pozicije iskazane imovine u posljednjoj dostupnoj bilanci nema očekivane ostvarive stečajne mase. Prema dostupnoj skraćenoj bilanci uz Prijavu poreza na dobit za 2010.g., na poziciju zalihe trgovačke robe odnosio se iznos od 2.033.738 kn, a na predujmove za zalihu iznos od 219.354 kn. Društvo je poslovalo i u 2011.g., a prema dostupnim PDV mjesečnim obrascima za period 1.1.do 30.11.2011.g. proizlazi da su ukupno iskazane isporuke u neto iznosu od 1.83 mil. kuna ( nedostaje cjelokupna dokumentacija izlaznih računa), a prema dostupnim ulaznim računima za nabavljenu robu proizlazi daljnji ulaz robe u iznosu od 178 tis. kuna. Također su u dokumentaciji za 2011.g. uočena odobrenja po računima za robu koja se odnose na ulazne račune iz 2010.g. u sveukupnom iznosu od 112 tis. kuna, a što ukazuje da je istima smanjeno iskazano zaduženje. Dakle, ako se simulira prema navedenim pokazateljima kretanje zalihe robe proizlazi da je zaliha umanjena za naknadna odobrenja iznosila 1,9 </w:t>
      </w:r>
      <w:proofErr w:type="spellStart"/>
      <w:r>
        <w:t>mil</w:t>
      </w:r>
      <w:proofErr w:type="spellEnd"/>
      <w:r>
        <w:t xml:space="preserve"> kuna, uvećano za zaduženja prema dostupnim podacima za 178 tis. kuna i umanjena za ostvarenu realizaciju od 1,83 mil. kuna, prema procjeni krajem studenog 2011.g. mogla iznositi oko 268 tis. kuna. Kako nedostaju analitičke evidencije robnog i financijskog knjigovodstva, nije moguće sa sigurnošću utvrditi s kojeg je osnova nastala iskazana  razlika. No, kako zaliha fizički ne postoji, to s navedenog osnova kako je navedeno nema očekivane stečajne mase.    </w:t>
      </w:r>
    </w:p>
    <w:p w:rsidRDefault="001F6982" w:rsidP="001F6982" w:rsidR="001F6982">
      <w:pPr>
        <w:pStyle w:val="Bezproreda"/>
      </w:pPr>
    </w:p>
    <w:p w:rsidRDefault="001F6982" w:rsidP="001F6982" w:rsidR="001F6982">
      <w:pPr>
        <w:pStyle w:val="Bezproreda"/>
      </w:pPr>
      <w:r>
        <w:lastRenderedPageBreak/>
        <w:t xml:space="preserve">Uvidom u promet računa  za 2011.g., proizlazi da je društvo uglavnom poslovalo preko računa otvorenog kod Zagrebačke banke d.d. Prema prometu računa za 2011.g., uočene su tijekom godine isplate sa računa u korist direktora i osnivača, Ivana </w:t>
      </w:r>
      <w:proofErr w:type="spellStart"/>
      <w:r>
        <w:t>Hađije</w:t>
      </w:r>
      <w:proofErr w:type="spellEnd"/>
      <w:r>
        <w:t xml:space="preserve"> s osnova isplate dobiti u visini od 22.700,00 kn, te isplate povrata pozajmice u iznosu od 73.000,00 kn. Prema navodu bivšeg direktora društva isplata povrata pozajmica odnosi se na pozajmicu koju je navodno prema sjećanju uplatio u korist trgovačkog društva kao polog gotovine krajem 2010. ili početkom 2011.g. Prema prometu računa u 2011.g. nije utvrđena slična uplata, te je izvršen uvid u promet računa kod Zagrebačke banke </w:t>
      </w:r>
      <w:proofErr w:type="spellStart"/>
      <w:r>
        <w:t>dd</w:t>
      </w:r>
      <w:proofErr w:type="spellEnd"/>
      <w:r>
        <w:t xml:space="preserve">  tijekom  </w:t>
      </w:r>
      <w:proofErr w:type="spellStart"/>
      <w:r>
        <w:t>2010.g</w:t>
      </w:r>
      <w:proofErr w:type="spellEnd"/>
      <w:r>
        <w:t xml:space="preserve">., pri čemu proizlazi da su u prometu računa vidljivi gotovinski </w:t>
      </w:r>
      <w:proofErr w:type="spellStart"/>
      <w:r>
        <w:t>polozi</w:t>
      </w:r>
      <w:proofErr w:type="spellEnd"/>
      <w:r>
        <w:t xml:space="preserve"> koji su dijelom vezani uz poziv na određeni račun, no i </w:t>
      </w:r>
      <w:proofErr w:type="spellStart"/>
      <w:r>
        <w:t>polozi</w:t>
      </w:r>
      <w:proofErr w:type="spellEnd"/>
      <w:r>
        <w:t xml:space="preserve"> gotovine uz koje nije naznačen račun po kojem se vrši polog gotovine. Uslijed nedostatka analitičkih knjigovodstvenih evidencija, nije moguće nesporno izvršiti povezivanje stavaka niti sa sigurnošću konstatirati da li su predmetne isplate povrata pozajmica vezane uz položenu pozajmicu kako navodi bivši direktor.  </w:t>
      </w:r>
    </w:p>
    <w:p w:rsidRDefault="001F6982" w:rsidP="001F6982" w:rsidR="001F6982">
      <w:pPr>
        <w:pStyle w:val="Bezproreda"/>
      </w:pPr>
    </w:p>
    <w:p w:rsidRDefault="001F6982" w:rsidP="001F6982" w:rsidR="001F6982">
      <w:pPr>
        <w:pStyle w:val="Bezproreda"/>
      </w:pPr>
      <w:r>
        <w:t>Uvidom u promet računa kod ZABA d.d. u 2010.g. , tijekom godine proizlazi da su vršene znatne isplate dobiti. Prema stanju bilance, proizlazi da je društvo sa 31.12.2009.g. imalo iskazanu zadržanu dobit iz prethodnih godina i iz 2009.g. u sveukupnom iznosu od 1.543.576 kn, a sa 31.12.2010.g. saldo zadržane dobiti iz prethodnih godina iznosi 619.075,00 kn.</w:t>
      </w:r>
    </w:p>
    <w:p w:rsidRDefault="001F6982" w:rsidP="001F6982" w:rsidR="001F6982">
      <w:pPr>
        <w:pStyle w:val="Bezproreda"/>
      </w:pPr>
    </w:p>
    <w:p w:rsidRDefault="001F6982" w:rsidP="001F6982" w:rsidR="001F6982">
      <w:pPr>
        <w:pStyle w:val="Bezproreda"/>
      </w:pPr>
      <w:r>
        <w:t xml:space="preserve">Poziciji ostale imovine za prodaju, prema dostupnim podacima čini nekretnina koja se nalazi u Opatiji ( Volosko), </w:t>
      </w:r>
      <w:proofErr w:type="spellStart"/>
      <w:r>
        <w:t>Brajdica</w:t>
      </w:r>
      <w:proofErr w:type="spellEnd"/>
      <w:r>
        <w:t xml:space="preserve"> 7, koju u naravi čini kuća za odmor, prema unutrašnjem izgledu tri apartmana ( tri etaže po jedan apartman). Nekretnina je upisana u zemljišnim knjigama kod zemljišno knjižnog odjela Opatija, </w:t>
      </w:r>
      <w:proofErr w:type="spellStart"/>
      <w:r>
        <w:t>zk.ul</w:t>
      </w:r>
      <w:proofErr w:type="spellEnd"/>
      <w:r>
        <w:t xml:space="preserve">. </w:t>
      </w:r>
      <w:proofErr w:type="spellStart"/>
      <w:r>
        <w:t>266</w:t>
      </w:r>
      <w:proofErr w:type="spellEnd"/>
      <w:r>
        <w:t xml:space="preserve">, </w:t>
      </w:r>
      <w:proofErr w:type="spellStart"/>
      <w:r>
        <w:t>k.č</w:t>
      </w:r>
      <w:proofErr w:type="spellEnd"/>
      <w:r>
        <w:t xml:space="preserve">. 110/1, „Stambena zgrada“, 52 m2. Na nekretnini je upisano založno pravo u korist APS DELTA S.A. SOCIETE ANONYME, OIB 45421012929, Luksemburg, radi osiguranja iznosa od 500.000,00 EUR-a. Također je izvršena zabilježba Z-12528/2018 pokretanja postupka prijedloga zabilježbe spora – pokretanje postupka po Suvlasnicima zgrade iz Zagreba, </w:t>
      </w:r>
      <w:proofErr w:type="spellStart"/>
      <w:r>
        <w:t>Požarinje</w:t>
      </w:r>
      <w:proofErr w:type="spellEnd"/>
      <w:r>
        <w:t xml:space="preserve"> 3 pod brojem </w:t>
      </w:r>
      <w:proofErr w:type="spellStart"/>
      <w:r>
        <w:t>Ovr</w:t>
      </w:r>
      <w:proofErr w:type="spellEnd"/>
      <w:r>
        <w:t>-</w:t>
      </w:r>
      <w:proofErr w:type="spellStart"/>
      <w:r>
        <w:t>2731</w:t>
      </w:r>
      <w:proofErr w:type="spellEnd"/>
      <w:r>
        <w:t>/</w:t>
      </w:r>
      <w:proofErr w:type="spellStart"/>
      <w:r>
        <w:t>2018</w:t>
      </w:r>
      <w:proofErr w:type="spellEnd"/>
      <w:r>
        <w:t>. U zemljišnim knjigama zabilježeni su pokrenuti ovršni postupci pod Z-</w:t>
      </w:r>
      <w:proofErr w:type="spellStart"/>
      <w:r>
        <w:t>3635</w:t>
      </w:r>
      <w:proofErr w:type="spellEnd"/>
      <w:r>
        <w:t>/</w:t>
      </w:r>
      <w:proofErr w:type="spellStart"/>
      <w:r>
        <w:t>14</w:t>
      </w:r>
      <w:proofErr w:type="spellEnd"/>
      <w:r>
        <w:t xml:space="preserve">, </w:t>
      </w:r>
      <w:proofErr w:type="spellStart"/>
      <w:r>
        <w:t>Ovr</w:t>
      </w:r>
      <w:proofErr w:type="spellEnd"/>
      <w:r>
        <w:t>-</w:t>
      </w:r>
      <w:proofErr w:type="spellStart"/>
      <w:r>
        <w:t>457</w:t>
      </w:r>
      <w:proofErr w:type="spellEnd"/>
      <w:r>
        <w:t>/</w:t>
      </w:r>
      <w:proofErr w:type="spellStart"/>
      <w:r>
        <w:t>14</w:t>
      </w:r>
      <w:proofErr w:type="spellEnd"/>
      <w:r>
        <w:t xml:space="preserve"> ( ovrhovoditelj Raiffeisen </w:t>
      </w:r>
      <w:proofErr w:type="spellStart"/>
      <w:r>
        <w:t>bank</w:t>
      </w:r>
      <w:proofErr w:type="spellEnd"/>
      <w:r>
        <w:t xml:space="preserve"> </w:t>
      </w:r>
      <w:proofErr w:type="spellStart"/>
      <w:r>
        <w:t>Austria</w:t>
      </w:r>
      <w:proofErr w:type="spellEnd"/>
      <w:r>
        <w:t xml:space="preserve"> d.d. Zagreb</w:t>
      </w:r>
      <w:r w:rsidR="00D00E54">
        <w:t xml:space="preserve">, </w:t>
      </w:r>
      <w:proofErr w:type="spellStart"/>
      <w:r w:rsidR="00D00E54">
        <w:t>vps</w:t>
      </w:r>
      <w:proofErr w:type="spellEnd"/>
      <w:r w:rsidR="00D00E54">
        <w:t xml:space="preserve"> 1.417.475,</w:t>
      </w:r>
      <w:proofErr w:type="spellStart"/>
      <w:r w:rsidR="00D00E54">
        <w:t>43</w:t>
      </w:r>
      <w:proofErr w:type="spellEnd"/>
      <w:r w:rsidR="00D00E54">
        <w:t xml:space="preserve"> kn</w:t>
      </w:r>
      <w:r>
        <w:t>) i pod zabilježbom Z-</w:t>
      </w:r>
      <w:proofErr w:type="spellStart"/>
      <w:r>
        <w:t>1420</w:t>
      </w:r>
      <w:proofErr w:type="spellEnd"/>
      <w:r>
        <w:t>/</w:t>
      </w:r>
      <w:proofErr w:type="spellStart"/>
      <w:r>
        <w:t>15</w:t>
      </w:r>
      <w:proofErr w:type="spellEnd"/>
      <w:r>
        <w:t xml:space="preserve"> ovršni postupak </w:t>
      </w:r>
      <w:proofErr w:type="spellStart"/>
      <w:r>
        <w:t>Ovr</w:t>
      </w:r>
      <w:proofErr w:type="spellEnd"/>
      <w:r>
        <w:t>-</w:t>
      </w:r>
      <w:proofErr w:type="spellStart"/>
      <w:r>
        <w:t>3328</w:t>
      </w:r>
      <w:proofErr w:type="spellEnd"/>
      <w:r>
        <w:t>/</w:t>
      </w:r>
      <w:proofErr w:type="spellStart"/>
      <w:r>
        <w:t>15</w:t>
      </w:r>
      <w:proofErr w:type="spellEnd"/>
      <w:r w:rsidR="007168EF">
        <w:t xml:space="preserve"> (</w:t>
      </w:r>
      <w:proofErr w:type="spellStart"/>
      <w:r w:rsidR="007168EF">
        <w:t>vps</w:t>
      </w:r>
      <w:proofErr w:type="spellEnd"/>
      <w:r w:rsidR="007168EF">
        <w:t xml:space="preserve"> 3.813.566,</w:t>
      </w:r>
      <w:proofErr w:type="spellStart"/>
      <w:r w:rsidR="007168EF">
        <w:t>50</w:t>
      </w:r>
      <w:proofErr w:type="spellEnd"/>
      <w:r w:rsidR="007168EF">
        <w:t xml:space="preserve"> kn)</w:t>
      </w:r>
      <w:r>
        <w:t xml:space="preserve"> po ovrhovoditelju Zagrebačkoj banci d.d. Zagreb. Sada se predmetni ovršni postupci vode kod Općinskog suda u Rijeci pod poslovnim brojem </w:t>
      </w:r>
      <w:proofErr w:type="spellStart"/>
      <w:r>
        <w:t>Ovr</w:t>
      </w:r>
      <w:proofErr w:type="spellEnd"/>
      <w:r>
        <w:t>-</w:t>
      </w:r>
      <w:proofErr w:type="spellStart"/>
      <w:r>
        <w:t>3156</w:t>
      </w:r>
      <w:proofErr w:type="spellEnd"/>
      <w:r>
        <w:t>/</w:t>
      </w:r>
      <w:proofErr w:type="spellStart"/>
      <w:r>
        <w:t>15</w:t>
      </w:r>
      <w:proofErr w:type="spellEnd"/>
      <w:r>
        <w:t xml:space="preserve">. Prema stanju spisa u predmetnom ovršnom postupku nekretnina je procijenjena po vještaku na iznos od 2.721.000,00 kn, dana 5.9.2016.g. održana je prva bezuspješna dražba na kojoj nije postignuta cijena od 1.814.000,00 kn, te je kao predvidiva očekivana stečajna masa istaknut iznos od 1.814.000,00 kn kao najnižoj dražbenoj vrijednosti koja nije postignuta na održanoj dražbi.  </w:t>
      </w:r>
    </w:p>
    <w:p w:rsidRDefault="001F6982" w:rsidP="001F6982" w:rsidR="001F6982">
      <w:pPr>
        <w:pStyle w:val="Bezproreda"/>
      </w:pPr>
    </w:p>
    <w:p w:rsidRDefault="001F6982" w:rsidP="001F6982" w:rsidR="001F6982">
      <w:pPr>
        <w:pStyle w:val="Bezproreda"/>
      </w:pPr>
      <w:r>
        <w:t xml:space="preserve">Predmetnu nekretninu je pravni prednik stečajnog dužnika stekao temeljem </w:t>
      </w:r>
      <w:proofErr w:type="spellStart"/>
      <w:r>
        <w:t>kupopodajnog</w:t>
      </w:r>
      <w:proofErr w:type="spellEnd"/>
      <w:r>
        <w:t xml:space="preserve"> ugovora sa prodavateljima Željkom i Jelicom </w:t>
      </w:r>
      <w:proofErr w:type="spellStart"/>
      <w:r>
        <w:t>Hađija</w:t>
      </w:r>
      <w:proofErr w:type="spellEnd"/>
      <w:r>
        <w:t xml:space="preserve"> za iznos </w:t>
      </w:r>
      <w:proofErr w:type="spellStart"/>
      <w:r>
        <w:t>kupovnine</w:t>
      </w:r>
      <w:proofErr w:type="spellEnd"/>
      <w:r>
        <w:t xml:space="preserve"> od 7.100.000,00 kn, na koji je iznos obračunat i porez na promet nekretnina i to radi zatvaranja obaveza Željka </w:t>
      </w:r>
      <w:proofErr w:type="spellStart"/>
      <w:r>
        <w:t>Hađije</w:t>
      </w:r>
      <w:proofErr w:type="spellEnd"/>
      <w:r>
        <w:t xml:space="preserve"> prema dužniku s osnova pozajmica u iznosu </w:t>
      </w:r>
      <w:proofErr w:type="spellStart"/>
      <w:r>
        <w:t>kupovnine</w:t>
      </w:r>
      <w:proofErr w:type="spellEnd"/>
      <w:r>
        <w:t xml:space="preserve">, pri čemu je u trenutku sklapanja ugovora o kupoprodaji na predmetnim nekretninama bilo upisano založno pravo radi osiguranja kredita odobrenog dužniku u visini od 500.000,00 EUR-a. Navedena činjenica povezana je sa izvršnim poreznim nadzorom kojim je utvrđena obaveza dužnik s osnova poreza na skrivenu isplatu dobiti u iznosu od 1.420.000,00 kn uvećano za zatezne kamate. Po žalbi na predmetno porezno rješenje, drugostupanjsko tijelo je isto potvrdilo, a pravni prednik dužnika je ustao tužbom na Upravnom sudu ( </w:t>
      </w:r>
      <w:proofErr w:type="spellStart"/>
      <w:r>
        <w:t>posl</w:t>
      </w:r>
      <w:proofErr w:type="spellEnd"/>
      <w:r>
        <w:t xml:space="preserve">. broj </w:t>
      </w:r>
      <w:proofErr w:type="spellStart"/>
      <w:r>
        <w:t>Usl</w:t>
      </w:r>
      <w:proofErr w:type="spellEnd"/>
      <w:r>
        <w:t>-</w:t>
      </w:r>
      <w:proofErr w:type="spellStart"/>
      <w:r>
        <w:t>4112</w:t>
      </w:r>
      <w:proofErr w:type="spellEnd"/>
      <w:r>
        <w:t>/</w:t>
      </w:r>
      <w:proofErr w:type="spellStart"/>
      <w:r>
        <w:t>15</w:t>
      </w:r>
      <w:proofErr w:type="spellEnd"/>
      <w:r>
        <w:t xml:space="preserve">) radi poništenja rješenja porezne uprave. Prema stanju predmeta, no i obrazloženja donesenih poreznih rješenja, proizlazi da su tijekom postupka u odnosu na procjenu vrijednosti predmetnih nekretnina korišteni podaci o navodima procjene </w:t>
      </w:r>
      <w:proofErr w:type="spellStart"/>
      <w:r>
        <w:t>Arting</w:t>
      </w:r>
      <w:proofErr w:type="spellEnd"/>
      <w:r>
        <w:t xml:space="preserve"> d.o.o. ( procjena na koju se poziva ZABA d.d. kod sklapanja ugovora o kreditu) i podataka prikupljenim od Burze nekretnina d.o.o. za predmetno područje, te proizlazi  da se prema navedenim procjenama vrijednost može kretati u rasponu od 427.376,11 EUR-a do 451.657,79 EUR-a, pri čemu u obzir treba, kako ističe i Porezna uprava u svojim očitovanjima, uzeti u obzir da je na predmetnoj nekretnini upisan teret od 500.000,00 EUR-a u trenutku prodaje. Tijekom postupka na Upravnom sudu pravni prednik po rješenju suda nije </w:t>
      </w:r>
      <w:r>
        <w:lastRenderedPageBreak/>
        <w:t xml:space="preserve">predujmio sredstva za procjenu nekretnine. Prema stanju provedenog poreznog nadzora i rješenja kojim se određuje obveza porez na dobit  u iznosu od 1.420.000,00 kn sa zateznom kamatom, procjenjujem da dužnik nema izgleda u parnici, nema sredstava za financiranje predmetne parnice, te da je osnovano tražbinu Ministarstva financija Porezna uprava priznati čime prestaje daljnja svrha vođenja parnice pri Upravnom sudu, odnosno pretpostavke za povlačenje tužbe u smislu odredbi članka 165. Stečajnog zakona ( NN 71/15). Sukladno odredbi članka 260. u svezi sa odredbom članka 263. SZ-a, svaki od vjerovnika može osporiti tražbinu. </w:t>
      </w:r>
    </w:p>
    <w:p w:rsidRDefault="001F6982" w:rsidP="001F6982" w:rsidR="001F6982">
      <w:pPr>
        <w:pStyle w:val="Bezproreda"/>
      </w:pPr>
    </w:p>
    <w:p w:rsidRDefault="001F6982" w:rsidP="001F6982" w:rsidR="001F6982">
      <w:pPr>
        <w:pStyle w:val="Bezproreda"/>
      </w:pPr>
      <w:r>
        <w:t xml:space="preserve">Uz nekretninu u Opatiji ( Volosko) prema navodu bivših zakonski zastupnika, vezana je specifična pozicija, da je na stečajnog dužnika preneseno vlasništvo nekretnine upisane u </w:t>
      </w:r>
      <w:proofErr w:type="spellStart"/>
      <w:r>
        <w:t>zk.ul</w:t>
      </w:r>
      <w:proofErr w:type="spellEnd"/>
      <w:r>
        <w:t xml:space="preserve">. 266, k.o. Volosko, no nekretnina upisna u </w:t>
      </w:r>
      <w:proofErr w:type="spellStart"/>
      <w:r>
        <w:t>zk.ul</w:t>
      </w:r>
      <w:proofErr w:type="spellEnd"/>
      <w:r>
        <w:t xml:space="preserve">. 227, k.o. Volosko, zkč.br. 110/2 upisano je vlasništvo u korist </w:t>
      </w:r>
      <w:proofErr w:type="spellStart"/>
      <w:r>
        <w:t>Milovac</w:t>
      </w:r>
      <w:proofErr w:type="spellEnd"/>
      <w:r>
        <w:t xml:space="preserve"> </w:t>
      </w:r>
      <w:proofErr w:type="spellStart"/>
      <w:r>
        <w:t>Hađije</w:t>
      </w:r>
      <w:proofErr w:type="spellEnd"/>
      <w:r>
        <w:t xml:space="preserve"> Nela i to uvidom u povijesno stanje zemljišnih knjiga, temeljem darovnog ugovora od 10.6.2015.g. i 13.4.2014.g. prijenosom vlasništva s Jelice i Željka </w:t>
      </w:r>
      <w:proofErr w:type="spellStart"/>
      <w:r>
        <w:t>Hađije</w:t>
      </w:r>
      <w:proofErr w:type="spellEnd"/>
      <w:r>
        <w:t xml:space="preserve">. Naime, prema stanju nekretnine u naravi proizlazi da je u postupku građevinskih zahvata na nekretnini na predmetnoj zkč.br. 110/2 sagrađen ulaz sa stubištem u nekretninu  u vlasništvu stečajnog dužnika koja se nalazi na zkč.br. 110/1, pri čemu u zemljišnim knjigama nije zasnovano bilo kakvo pravo služnosti na </w:t>
      </w:r>
      <w:proofErr w:type="spellStart"/>
      <w:r>
        <w:t>zkč</w:t>
      </w:r>
      <w:proofErr w:type="spellEnd"/>
      <w:r>
        <w:t xml:space="preserve">. 110/2 ( u zemljišnim knjigama opisana kao cisterna) u korist nekretnine </w:t>
      </w:r>
      <w:proofErr w:type="spellStart"/>
      <w:r>
        <w:t>zkč</w:t>
      </w:r>
      <w:proofErr w:type="spellEnd"/>
      <w:r>
        <w:t>. 110/1. Navedena okolnost imati će predvidivo bitan utjecaj na vrijednost nekretnine koja čini stečajnu masu, te je također nemoguće ostvariti neposredan posjed nekretnine koja čini stečajnu masu.</w:t>
      </w:r>
    </w:p>
    <w:p w:rsidRDefault="001F6982" w:rsidP="001F6982" w:rsidR="001F6982">
      <w:pPr>
        <w:pStyle w:val="Bezproreda"/>
      </w:pPr>
    </w:p>
    <w:p w:rsidRDefault="001F6982" w:rsidP="001F6982" w:rsidR="001F6982">
      <w:pPr>
        <w:pStyle w:val="Bezproreda"/>
      </w:pPr>
      <w:r>
        <w:t xml:space="preserve">No, kako će se predmetne nekretnine unovčavati javnom dražbom, stvarnu visina stečajne mase prioritetno će ovisiti o interesu kupaca, te iskazana očekivana potencijalna stečajna masa može bitno odstupati od stvarno ostvarenih vrijednosti u postupku prodaje. </w:t>
      </w:r>
    </w:p>
    <w:p w:rsidRDefault="001F6982" w:rsidP="001F6982" w:rsidR="001F6982">
      <w:pPr>
        <w:pStyle w:val="Bezproreda"/>
      </w:pPr>
    </w:p>
    <w:p w:rsidRDefault="001F6982" w:rsidP="001F6982" w:rsidR="001F6982">
      <w:pPr>
        <w:pStyle w:val="Bezproreda"/>
      </w:pPr>
      <w:r>
        <w:t>Nastavno na opisanu strukturu imovine stečajnog dužnika potencijalna stečajna masa procjenjuje se u iznosu od   2.637.787,80 kn, te će se u daljnjem dijelu izvješće zasnivati na navedenoj pretpostavljenoj visini stečajne mase .</w:t>
      </w:r>
    </w:p>
    <w:p w:rsidRDefault="001F6982" w:rsidP="001F6982" w:rsidR="001F6982">
      <w:pPr>
        <w:pStyle w:val="Bezproreda"/>
      </w:pPr>
      <w:r>
        <w:t xml:space="preserve">  </w:t>
      </w:r>
    </w:p>
    <w:p w:rsidRDefault="001F6982" w:rsidP="001F6982" w:rsidR="001F6982">
      <w:pPr>
        <w:pStyle w:val="Bezproreda"/>
      </w:pPr>
      <w:r>
        <w:t>Popis predmeta stečajne mase i vrijednosti sukladno odredbama članka 221. Stečajnog zakona ( NN 71/15) priložen je uz izvješće i čini sastavni dio izvješća.</w:t>
      </w:r>
    </w:p>
    <w:p w:rsidRDefault="001F6982" w:rsidP="001F6982" w:rsidR="001F6982">
      <w:pPr>
        <w:pStyle w:val="Bezproreda"/>
      </w:pPr>
    </w:p>
    <w:p w:rsidRDefault="001F6982" w:rsidP="001F6982" w:rsidR="001F6982">
      <w:pPr>
        <w:pStyle w:val="Bezproreda"/>
      </w:pPr>
      <w:r>
        <w:t xml:space="preserve">IV    OBAVEZE </w:t>
      </w:r>
    </w:p>
    <w:p w:rsidRDefault="001F6982" w:rsidP="001F6982" w:rsidR="001F6982">
      <w:pPr>
        <w:pStyle w:val="Bezproreda"/>
      </w:pPr>
    </w:p>
    <w:p w:rsidRDefault="001F6982" w:rsidP="001F6982" w:rsidR="001F6982">
      <w:pPr>
        <w:pStyle w:val="Bezproreda"/>
      </w:pPr>
      <w:r>
        <w:t xml:space="preserve">Temeljem zaprimljenih prijava tražbina, te evidentiranih obaveza dužnika i procijenjenih obaveza na teret stečajne mase, procjenjuju se sljedeće ukupne obaveze društva: </w:t>
      </w:r>
    </w:p>
    <w:p w:rsidRDefault="001F6982" w:rsidP="001F6982" w:rsidR="001F6982">
      <w:pPr>
        <w:pStyle w:val="Bezproreda"/>
      </w:pPr>
    </w:p>
    <w:p w:rsidRDefault="001F6982" w:rsidP="001F6982" w:rsidR="001F6982">
      <w:pPr>
        <w:pStyle w:val="Bezproreda"/>
      </w:pPr>
    </w:p>
    <w:p w:rsidRDefault="001F6982" w:rsidP="001F6982" w:rsidR="001F6982">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t xml:space="preserve">IV.1.   </w:t>
      </w:r>
      <w:r>
        <w:rPr>
          <w:rFonts w:cs="Times New Roman" w:eastAsia="Times New Roman" w:hAnsi="Times New Roman" w:ascii="Times New Roman"/>
          <w:b/>
          <w:lang w:eastAsia="hr-HR"/>
        </w:rPr>
        <w:t>Utvrđene tražbine po isplatnim redovima</w:t>
      </w:r>
      <w:r>
        <w:rPr>
          <w:rFonts w:cs="Times New Roman" w:eastAsia="Times New Roman" w:hAnsi="Times New Roman" w:ascii="Times New Roman"/>
          <w:lang w:eastAsia="hr-HR"/>
        </w:rPr>
        <w:t xml:space="preserve">   </w:t>
      </w:r>
    </w:p>
    <w:p w:rsidRDefault="001F6982" w:rsidP="001F6982" w:rsidR="001F6982">
      <w:pPr>
        <w:pStyle w:val="Bezproreda"/>
        <w:rPr>
          <w:rFonts w:cs="Times New Roman" w:eastAsia="Times New Roman" w:hAnsi="Times New Roman" w:ascii="Times New Roman"/>
          <w:lang w:eastAsia="hr-HR"/>
        </w:rPr>
      </w:pPr>
    </w:p>
    <w:p w:rsidRDefault="001F6982" w:rsidP="001F6982" w:rsidR="001F6982">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t>Prema zaprimljenim prijavama tražbina, utvrđene su slijedeće obaveze:</w:t>
      </w:r>
    </w:p>
    <w:p w:rsidRDefault="001F6982" w:rsidP="001F6982" w:rsidR="001F6982">
      <w:pPr>
        <w:pStyle w:val="Bezproreda"/>
        <w:rPr>
          <w:rFonts w:cs="Times New Roman" w:eastAsia="Times New Roman" w:hAnsi="Times New Roman" w:ascii="Times New Roman"/>
          <w:lang w:eastAsia="hr-HR"/>
        </w:rPr>
      </w:pPr>
    </w:p>
    <w:p w:rsidRDefault="001F6982" w:rsidP="001F6982" w:rsidR="001F6982">
      <w:pPr>
        <w:pStyle w:val="Bezproreda"/>
        <w:rPr>
          <w:rFonts w:cs="Times New Roman" w:eastAsia="Times New Roman" w:hAnsi="Times New Roman" w:ascii="Times New Roman"/>
          <w:i/>
          <w:lang w:eastAsia="hr-HR"/>
        </w:rPr>
      </w:pPr>
      <w:r>
        <w:rPr>
          <w:rFonts w:cs="Times New Roman" w:eastAsia="Times New Roman" w:hAnsi="Times New Roman" w:ascii="Times New Roman"/>
          <w:lang w:eastAsia="hr-HR"/>
        </w:rPr>
        <w:t xml:space="preserve">                            </w:t>
      </w:r>
      <w:r>
        <w:rPr>
          <w:rFonts w:cs="Times New Roman" w:eastAsia="Times New Roman" w:hAnsi="Times New Roman" w:ascii="Times New Roman"/>
          <w:i/>
          <w:lang w:eastAsia="hr-HR"/>
        </w:rPr>
        <w:t>Obaveze prema stanju ispitanih zaprimljenih prijava tražbina</w:t>
      </w:r>
    </w:p>
    <w:p w:rsidRDefault="001F6982" w:rsidP="001F6982" w:rsidR="001F6982">
      <w:pPr>
        <w:pStyle w:val="Bezproreda"/>
        <w:rPr>
          <w:rFonts w:cs="Times New Roman" w:eastAsia="Times New Roman" w:hAnsi="Times New Roman" w:ascii="Times New Roman"/>
          <w:lang w:eastAsia="hr-HR"/>
        </w:rPr>
      </w:pPr>
    </w:p>
    <w:tbl>
      <w:tblPr>
        <w:tblW w:type="auto" w:w="0"/>
        <w:tblInd w:type="dxa" w:w="7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74"/>
        <w:gridCol w:w="2106"/>
      </w:tblGrid>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Isplatni red</w:t>
            </w:r>
          </w:p>
        </w:tc>
        <w:tc>
          <w:tcPr>
            <w:tcW w:type="dxa" w:w="2106"/>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Iznos (kn)</w:t>
            </w:r>
          </w:p>
        </w:tc>
      </w:tr>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Utvrđene tražbine I višeg isplatnog reda</w:t>
            </w:r>
          </w:p>
        </w:tc>
        <w:tc>
          <w:tcPr>
            <w:tcW w:type="dxa" w:w="2106"/>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10.809,68      </w:t>
            </w:r>
          </w:p>
        </w:tc>
      </w:tr>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Utvrđene  tražbine II višeg isplatnog reda</w:t>
            </w:r>
          </w:p>
        </w:tc>
        <w:tc>
          <w:tcPr>
            <w:tcW w:type="dxa" w:w="2106"/>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w:t>
            </w:r>
            <w:r w:rsidR="007168EF">
              <w:rPr>
                <w:rFonts w:cs="Times New Roman" w:eastAsia="Times New Roman" w:hAnsi="Times New Roman" w:ascii="Times New Roman"/>
              </w:rPr>
              <w:t>16.099.954,12</w:t>
            </w:r>
            <w:r>
              <w:rPr>
                <w:rFonts w:cs="Times New Roman" w:eastAsia="Times New Roman" w:hAnsi="Times New Roman" w:ascii="Times New Roman"/>
              </w:rPr>
              <w:t xml:space="preserve">        </w:t>
            </w:r>
          </w:p>
        </w:tc>
      </w:tr>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Ukupno utvrđene tražbine</w:t>
            </w:r>
          </w:p>
        </w:tc>
        <w:tc>
          <w:tcPr>
            <w:tcW w:type="dxa" w:w="2106"/>
            <w:tcBorders>
              <w:top w:space="0" w:sz="4" w:color="auto" w:val="single"/>
              <w:left w:space="0" w:sz="4" w:color="auto" w:val="single"/>
              <w:bottom w:space="0" w:sz="4" w:color="auto" w:val="single"/>
              <w:right w:space="0" w:sz="4" w:color="auto" w:val="single"/>
            </w:tcBorders>
            <w:hideMark/>
          </w:tcPr>
          <w:p w:rsidRDefault="007168EF"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16.1</w:t>
            </w:r>
            <w:r w:rsidR="00EC0EBF">
              <w:rPr>
                <w:rFonts w:cs="Times New Roman" w:eastAsia="Times New Roman" w:hAnsi="Times New Roman" w:ascii="Times New Roman"/>
              </w:rPr>
              <w:t>1</w:t>
            </w:r>
            <w:r>
              <w:rPr>
                <w:rFonts w:cs="Times New Roman" w:eastAsia="Times New Roman" w:hAnsi="Times New Roman" w:ascii="Times New Roman"/>
              </w:rPr>
              <w:t>0.763,80</w:t>
            </w:r>
          </w:p>
        </w:tc>
      </w:tr>
    </w:tbl>
    <w:p w:rsidRDefault="001F6982" w:rsidP="001F6982" w:rsidR="001F6982">
      <w:pPr>
        <w:pStyle w:val="Bezproreda"/>
        <w:rPr>
          <w:rFonts w:cs="Times New Roman" w:eastAsia="Times New Roman" w:hAnsi="Times New Roman" w:ascii="Times New Roman"/>
          <w:lang w:eastAsia="hr-HR"/>
        </w:rPr>
      </w:pPr>
    </w:p>
    <w:p w:rsidRDefault="001F6982" w:rsidP="001F6982" w:rsidR="001F6982">
      <w:pPr>
        <w:pStyle w:val="Bezproreda"/>
        <w:rPr>
          <w:rFonts w:cs="Times New Roman" w:eastAsia="Times New Roman" w:hAnsi="Times New Roman" w:ascii="Times New Roman"/>
          <w:lang w:eastAsia="hr-HR"/>
        </w:rPr>
      </w:pPr>
    </w:p>
    <w:p w:rsidRDefault="001F6982" w:rsidP="001F6982" w:rsidR="001F6982">
      <w:pPr>
        <w:pStyle w:val="Bezproreda"/>
        <w:rPr>
          <w:rFonts w:cs="Times New Roman" w:eastAsia="Times New Roman" w:hAnsi="Times New Roman" w:ascii="Times New Roman"/>
          <w:lang w:eastAsia="hr-HR"/>
        </w:rPr>
      </w:pPr>
    </w:p>
    <w:p w:rsidRDefault="001F6982" w:rsidP="001F6982" w:rsidR="001F6982">
      <w:pPr>
        <w:pStyle w:val="Bezproreda"/>
        <w:rPr>
          <w:rFonts w:cs="Times New Roman" w:eastAsia="Times New Roman" w:hAnsi="Times New Roman" w:ascii="Times New Roman"/>
          <w:lang w:eastAsia="hr-HR"/>
        </w:rPr>
      </w:pPr>
    </w:p>
    <w:p w:rsidRDefault="001F6982" w:rsidP="001F6982" w:rsidR="001F6982">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t xml:space="preserve">                             Obavijesti o </w:t>
      </w:r>
      <w:proofErr w:type="spellStart"/>
      <w:r>
        <w:rPr>
          <w:rFonts w:cs="Times New Roman" w:eastAsia="Times New Roman" w:hAnsi="Times New Roman" w:ascii="Times New Roman"/>
          <w:lang w:eastAsia="hr-HR"/>
        </w:rPr>
        <w:t>razlučnom</w:t>
      </w:r>
      <w:proofErr w:type="spellEnd"/>
      <w:r>
        <w:rPr>
          <w:rFonts w:cs="Times New Roman" w:eastAsia="Times New Roman" w:hAnsi="Times New Roman" w:ascii="Times New Roman"/>
          <w:lang w:eastAsia="hr-HR"/>
        </w:rPr>
        <w:t xml:space="preserve"> pravu i prema stanju zemljišnih knjiga</w:t>
      </w:r>
    </w:p>
    <w:p w:rsidRDefault="001F6982" w:rsidP="001F6982" w:rsidR="001F6982">
      <w:pPr>
        <w:pStyle w:val="Bezproreda"/>
        <w:rPr>
          <w:rFonts w:cs="Times New Roman" w:eastAsia="Times New Roman" w:hAnsi="Times New Roman" w:ascii="Times New Roman"/>
          <w:lang w:eastAsia="hr-HR"/>
        </w:rPr>
      </w:pPr>
    </w:p>
    <w:tbl>
      <w:tblPr>
        <w:tblW w:type="auto" w:w="0"/>
        <w:tblInd w:type="dxa" w:w="7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74"/>
        <w:gridCol w:w="2106"/>
      </w:tblGrid>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Visina </w:t>
            </w:r>
            <w:proofErr w:type="spellStart"/>
            <w:r>
              <w:rPr>
                <w:rFonts w:cs="Times New Roman" w:eastAsia="Times New Roman" w:hAnsi="Times New Roman" w:ascii="Times New Roman"/>
              </w:rPr>
              <w:t>razlučnog</w:t>
            </w:r>
            <w:proofErr w:type="spellEnd"/>
            <w:r>
              <w:rPr>
                <w:rFonts w:cs="Times New Roman" w:eastAsia="Times New Roman" w:hAnsi="Times New Roman" w:ascii="Times New Roman"/>
              </w:rPr>
              <w:t xml:space="preserve"> prava prema obavijesti / stanju ZK</w:t>
            </w:r>
          </w:p>
        </w:tc>
        <w:tc>
          <w:tcPr>
            <w:tcW w:type="dxa" w:w="2106"/>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Iznos (kn)</w:t>
            </w:r>
          </w:p>
        </w:tc>
      </w:tr>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proofErr w:type="spellStart"/>
            <w:r>
              <w:rPr>
                <w:rFonts w:cs="Times New Roman" w:eastAsia="Times New Roman" w:hAnsi="Times New Roman" w:ascii="Times New Roman"/>
              </w:rPr>
              <w:t>Razlučna</w:t>
            </w:r>
            <w:proofErr w:type="spellEnd"/>
            <w:r>
              <w:rPr>
                <w:rFonts w:cs="Times New Roman" w:eastAsia="Times New Roman" w:hAnsi="Times New Roman" w:ascii="Times New Roman"/>
              </w:rPr>
              <w:t xml:space="preserve"> prava prema obavijesti</w:t>
            </w:r>
          </w:p>
        </w:tc>
        <w:tc>
          <w:tcPr>
            <w:tcW w:type="dxa" w:w="2106"/>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9.023.301,99</w:t>
            </w:r>
          </w:p>
        </w:tc>
      </w:tr>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proofErr w:type="spellStart"/>
            <w:r>
              <w:rPr>
                <w:rFonts w:cs="Times New Roman" w:eastAsia="Times New Roman" w:hAnsi="Times New Roman" w:ascii="Times New Roman"/>
              </w:rPr>
              <w:t>Razlučna</w:t>
            </w:r>
            <w:proofErr w:type="spellEnd"/>
            <w:r>
              <w:rPr>
                <w:rFonts w:cs="Times New Roman" w:eastAsia="Times New Roman" w:hAnsi="Times New Roman" w:ascii="Times New Roman"/>
              </w:rPr>
              <w:t xml:space="preserve"> prava prema stanju zemljišnim knjigama</w:t>
            </w:r>
          </w:p>
        </w:tc>
        <w:tc>
          <w:tcPr>
            <w:tcW w:type="dxa" w:w="2106"/>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372.365,48</w:t>
            </w:r>
          </w:p>
        </w:tc>
      </w:tr>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Sveukupno </w:t>
            </w:r>
            <w:proofErr w:type="spellStart"/>
            <w:r>
              <w:rPr>
                <w:rFonts w:cs="Times New Roman" w:eastAsia="Times New Roman" w:hAnsi="Times New Roman" w:ascii="Times New Roman"/>
              </w:rPr>
              <w:t>razlučna</w:t>
            </w:r>
            <w:proofErr w:type="spellEnd"/>
            <w:r>
              <w:rPr>
                <w:rFonts w:cs="Times New Roman" w:eastAsia="Times New Roman" w:hAnsi="Times New Roman" w:ascii="Times New Roman"/>
              </w:rPr>
              <w:t xml:space="preserve"> prava</w:t>
            </w:r>
          </w:p>
        </w:tc>
        <w:tc>
          <w:tcPr>
            <w:tcW w:type="dxa" w:w="2106"/>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9.395.667,47</w:t>
            </w:r>
          </w:p>
        </w:tc>
      </w:tr>
    </w:tbl>
    <w:p w:rsidRDefault="001F6982" w:rsidP="001F6982" w:rsidR="001F6982">
      <w:pPr>
        <w:pStyle w:val="Bezproreda"/>
        <w:rPr>
          <w:rFonts w:cs="Times New Roman" w:eastAsia="Times New Roman" w:hAnsi="Times New Roman" w:ascii="Times New Roman"/>
          <w:lang w:eastAsia="hr-HR"/>
        </w:rPr>
      </w:pPr>
    </w:p>
    <w:p w:rsidRDefault="001F6982" w:rsidP="001F6982" w:rsidR="001F6982">
      <w:pPr>
        <w:pStyle w:val="Bezproreda"/>
        <w:rPr>
          <w:rFonts w:cs="Times New Roman" w:eastAsia="Times New Roman" w:hAnsi="Times New Roman" w:ascii="Times New Roman"/>
          <w:lang w:eastAsia="hr-HR"/>
        </w:rPr>
      </w:pPr>
    </w:p>
    <w:p w:rsidRDefault="001F6982" w:rsidP="001F6982" w:rsidR="001F6982">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t>Popis vjerovnik sukladno odredbi članka 222. Stečajnog zakona u dijelu ne prijavljenih tražbina nije bilo moguće sačiniti jer su nedostupne analitičke knjigovodstvene evidencije, te popis sadrži prijavljene tražbine.</w:t>
      </w:r>
    </w:p>
    <w:p w:rsidRDefault="001F6982" w:rsidP="001F6982" w:rsidR="001F6982">
      <w:pPr>
        <w:pStyle w:val="Bezproreda"/>
        <w:rPr>
          <w:rFonts w:cs="Times New Roman" w:eastAsia="Times New Roman" w:hAnsi="Times New Roman" w:ascii="Times New Roman"/>
          <w:lang w:eastAsia="hr-HR"/>
        </w:rPr>
      </w:pPr>
    </w:p>
    <w:p w:rsidRDefault="001F6982" w:rsidP="001F6982" w:rsidR="001F6982">
      <w:pPr>
        <w:pStyle w:val="Bezproreda"/>
        <w:rPr>
          <w:rFonts w:cs="Times New Roman" w:eastAsia="Times New Roman" w:hAnsi="Times New Roman" w:ascii="Times New Roman"/>
          <w:lang w:eastAsia="hr-HR"/>
        </w:rPr>
      </w:pPr>
    </w:p>
    <w:p w:rsidRDefault="001F6982" w:rsidP="001F6982" w:rsidR="001F6982">
      <w:pPr>
        <w:pStyle w:val="Bezproreda"/>
        <w:rPr>
          <w:rFonts w:cs="Times New Roman" w:eastAsia="Times New Roman" w:hAnsi="Times New Roman" w:ascii="Times New Roman"/>
          <w:i/>
          <w:lang w:eastAsia="hr-HR"/>
        </w:rPr>
      </w:pPr>
      <w:r>
        <w:rPr>
          <w:rFonts w:cs="Times New Roman" w:eastAsia="Times New Roman" w:hAnsi="Times New Roman" w:ascii="Times New Roman"/>
          <w:lang w:eastAsia="hr-HR"/>
        </w:rPr>
        <w:t xml:space="preserve">VI.2. </w:t>
      </w:r>
      <w:r>
        <w:rPr>
          <w:rFonts w:cs="Times New Roman" w:eastAsia="Times New Roman" w:hAnsi="Times New Roman" w:ascii="Times New Roman"/>
          <w:b/>
          <w:lang w:eastAsia="hr-HR"/>
        </w:rPr>
        <w:t>Procijenjeni troškovi stečajnog postupka na teret stečajne mase</w:t>
      </w:r>
    </w:p>
    <w:p w:rsidRDefault="001F6982" w:rsidP="001F6982" w:rsidR="001F6982">
      <w:pPr>
        <w:pStyle w:val="Bezproreda"/>
        <w:rPr>
          <w:rFonts w:cs="Times New Roman" w:eastAsia="Times New Roman" w:hAnsi="Times New Roman" w:ascii="Times New Roman"/>
          <w:lang w:eastAsia="hr-HR"/>
        </w:rPr>
      </w:pPr>
    </w:p>
    <w:p w:rsidRDefault="001F6982" w:rsidP="001F6982" w:rsidR="001F6982">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t>Ukupno predvidivi troškova  stečajnog postupka procjenjuju se na očekivanom minimalnom trajanju stečajnog postupka od 12 mjeseci, te se isti  procjenjuju u slijedećem iznosu:</w:t>
      </w:r>
    </w:p>
    <w:p w:rsidRDefault="001F6982" w:rsidP="001F6982" w:rsidR="001F6982">
      <w:pPr>
        <w:pStyle w:val="Bezproreda"/>
        <w:rPr>
          <w:rFonts w:cs="Times New Roman" w:eastAsia="Times New Roman" w:hAnsi="Times New Roman" w:ascii="Times New Roman"/>
          <w:lang w:eastAsia="hr-HR"/>
        </w:rPr>
      </w:pPr>
    </w:p>
    <w:tbl>
      <w:tblPr>
        <w:tblW w:type="auto" w:w="0"/>
        <w:tblInd w:type="dxa" w:w="7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74"/>
        <w:gridCol w:w="2106"/>
      </w:tblGrid>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Predvidivi troškovi</w:t>
            </w:r>
          </w:p>
        </w:tc>
        <w:tc>
          <w:tcPr>
            <w:tcW w:type="dxa" w:w="2106"/>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Iznos (kn)</w:t>
            </w:r>
          </w:p>
        </w:tc>
      </w:tr>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Troškovi knjigovodstva </w:t>
            </w:r>
          </w:p>
        </w:tc>
        <w:tc>
          <w:tcPr>
            <w:tcW w:type="dxa" w:w="2106"/>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17.000</w:t>
            </w:r>
          </w:p>
        </w:tc>
      </w:tr>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Troškovi oglašavanja ( FINA i sl.)</w:t>
            </w:r>
          </w:p>
        </w:tc>
        <w:tc>
          <w:tcPr>
            <w:tcW w:type="dxa" w:w="2106"/>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1.000</w:t>
            </w:r>
          </w:p>
        </w:tc>
      </w:tr>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sz w:val="18"/>
                <w:szCs w:val="18"/>
              </w:rPr>
            </w:pPr>
            <w:r>
              <w:rPr>
                <w:rFonts w:cs="Times New Roman" w:eastAsia="Times New Roman" w:hAnsi="Times New Roman" w:ascii="Times New Roman"/>
              </w:rPr>
              <w:t xml:space="preserve">Troškovi  režija nekretnina u vlasništvu </w:t>
            </w:r>
            <w:r>
              <w:rPr>
                <w:rFonts w:cs="Times New Roman" w:eastAsia="Times New Roman" w:hAnsi="Times New Roman" w:ascii="Times New Roman"/>
                <w:sz w:val="18"/>
                <w:szCs w:val="18"/>
              </w:rPr>
              <w:t xml:space="preserve"> ( HEP, pričuva, voda, čistoća, kom. I vod. Naknada)</w:t>
            </w:r>
          </w:p>
        </w:tc>
        <w:tc>
          <w:tcPr>
            <w:tcW w:type="dxa" w:w="2106"/>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7.000</w:t>
            </w:r>
          </w:p>
        </w:tc>
      </w:tr>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Predvidivi troškovi osiguranja nekretnina</w:t>
            </w:r>
          </w:p>
        </w:tc>
        <w:tc>
          <w:tcPr>
            <w:tcW w:type="dxa" w:w="2106"/>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4.000</w:t>
            </w:r>
          </w:p>
        </w:tc>
      </w:tr>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Nagrada stečajnog upravitelja bruto trošak isplate prema Uredbi</w:t>
            </w:r>
          </w:p>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NN 105/15 ( </w:t>
            </w:r>
            <w:r>
              <w:rPr>
                <w:rFonts w:cs="Times New Roman" w:eastAsia="Times New Roman" w:hAnsi="Times New Roman" w:ascii="Times New Roman"/>
                <w:sz w:val="18"/>
                <w:szCs w:val="18"/>
              </w:rPr>
              <w:t>na osnovi predvidive stečajne mase</w:t>
            </w:r>
            <w:r>
              <w:rPr>
                <w:rFonts w:cs="Times New Roman" w:eastAsia="Times New Roman" w:hAnsi="Times New Roman" w:ascii="Times New Roman"/>
              </w:rPr>
              <w:t xml:space="preserve"> )</w:t>
            </w:r>
          </w:p>
        </w:tc>
        <w:tc>
          <w:tcPr>
            <w:tcW w:type="dxa" w:w="2106"/>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230.743</w:t>
            </w:r>
          </w:p>
        </w:tc>
      </w:tr>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Troškovi naknada suradnika - bruto</w:t>
            </w:r>
          </w:p>
        </w:tc>
        <w:tc>
          <w:tcPr>
            <w:tcW w:type="dxa" w:w="2106"/>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5.000</w:t>
            </w:r>
          </w:p>
        </w:tc>
      </w:tr>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Troškovi pohrane arhive nakon okončanja stečaja</w:t>
            </w:r>
          </w:p>
        </w:tc>
        <w:tc>
          <w:tcPr>
            <w:tcW w:type="dxa" w:w="2106"/>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2.000</w:t>
            </w:r>
          </w:p>
        </w:tc>
      </w:tr>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Troškovi otvaranja računa,  žiga, statistike, putni i sl.</w:t>
            </w:r>
          </w:p>
        </w:tc>
        <w:tc>
          <w:tcPr>
            <w:tcW w:type="dxa" w:w="2106"/>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6.000</w:t>
            </w:r>
          </w:p>
        </w:tc>
      </w:tr>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Predvidivi troškovi bankarske naknade</w:t>
            </w:r>
          </w:p>
        </w:tc>
        <w:tc>
          <w:tcPr>
            <w:tcW w:type="dxa" w:w="2106"/>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3.500</w:t>
            </w:r>
          </w:p>
        </w:tc>
      </w:tr>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Ostali nepredvidivi troškovi</w:t>
            </w:r>
          </w:p>
        </w:tc>
        <w:tc>
          <w:tcPr>
            <w:tcW w:type="dxa" w:w="2106"/>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1.500   </w:t>
            </w:r>
          </w:p>
        </w:tc>
      </w:tr>
      <w:tr w:rsidTr="001F6982" w:rsidR="001F6982">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b/>
              </w:rPr>
            </w:pPr>
            <w:r>
              <w:rPr>
                <w:rFonts w:cs="Times New Roman" w:eastAsia="Times New Roman" w:hAnsi="Times New Roman" w:ascii="Times New Roman"/>
                <w:b/>
              </w:rPr>
              <w:t>Ukupno predvidivi troškovi postupka</w:t>
            </w:r>
          </w:p>
        </w:tc>
        <w:tc>
          <w:tcPr>
            <w:tcW w:type="dxa" w:w="2106"/>
            <w:tcBorders>
              <w:top w:space="0" w:sz="4" w:color="auto" w:val="single"/>
              <w:left w:space="0" w:sz="4" w:color="auto" w:val="single"/>
              <w:bottom w:space="0" w:sz="4" w:color="auto" w:val="single"/>
              <w:right w:space="0" w:sz="4" w:color="auto" w:val="single"/>
            </w:tcBorders>
            <w:hideMark/>
          </w:tcPr>
          <w:p w:rsidRDefault="001F6982" w:rsidR="001F6982">
            <w:pPr>
              <w:pStyle w:val="Bezproreda"/>
              <w:spacing w:lineRule="auto" w:line="276"/>
              <w:rPr>
                <w:rFonts w:cs="Times New Roman" w:eastAsia="Times New Roman" w:hAnsi="Times New Roman" w:ascii="Times New Roman"/>
                <w:b/>
              </w:rPr>
            </w:pPr>
            <w:r>
              <w:rPr>
                <w:rFonts w:cs="Times New Roman" w:eastAsia="Times New Roman" w:hAnsi="Times New Roman" w:ascii="Times New Roman"/>
                <w:b/>
              </w:rPr>
              <w:t xml:space="preserve">    277.743</w:t>
            </w:r>
          </w:p>
        </w:tc>
      </w:tr>
    </w:tbl>
    <w:p w:rsidRDefault="001F6982" w:rsidP="001F6982" w:rsidR="001F6982">
      <w:pPr>
        <w:pStyle w:val="Bezproreda"/>
      </w:pPr>
    </w:p>
    <w:p w:rsidRDefault="001F6982" w:rsidP="001F6982" w:rsidR="001F6982">
      <w:pPr>
        <w:pStyle w:val="Bezproreda"/>
      </w:pPr>
      <w:r>
        <w:t>Predvidivi troškovi postupka obračunati su na osnovi predvidive duljine trajanja stečajnog postupka 12 mjeseci i predvidive visine stečajne mase koja bino utiče na visinu troškova u dijelu obračuna prava na nagradu stečajnog upravitelja.</w:t>
      </w:r>
    </w:p>
    <w:p w:rsidRDefault="001F6982" w:rsidP="001F6982" w:rsidR="001F6982">
      <w:pPr>
        <w:pStyle w:val="Bezproreda"/>
      </w:pPr>
    </w:p>
    <w:p w:rsidRDefault="001F6982" w:rsidP="001F6982" w:rsidR="001F6982">
      <w:pPr>
        <w:pStyle w:val="Bezproreda"/>
      </w:pPr>
      <w:r>
        <w:t xml:space="preserve">Troškovi knjigovodstva vezani su uz potrebu angažiranja knjigovodstvenog servisa za uređenje poslovnih knjiga koje nisu vođene od 2010.g. i daljnje ispunjavanje porezno pravnih obaveza koje ne prestaju otvaranjem stečajnog postupka sukladno odredbi članka 225. SZ-a. Troškovi građevinskog vještačenja nisu predviđeni jer su u zemljišnim knjigama zabilježeni ovršni postupci na nekretninama, te je očekivano snošenje istih neposredno na teret ovrhovoditelja. Troškovi režija za  nekretnine vezani su uz nekretninu u vlasništvu stečajnog dužnika. </w:t>
      </w:r>
    </w:p>
    <w:p w:rsidRDefault="001F6982" w:rsidP="001F6982" w:rsidR="001F6982">
      <w:pPr>
        <w:pStyle w:val="Bezproreda"/>
      </w:pPr>
    </w:p>
    <w:p w:rsidRDefault="001F6982" w:rsidP="001F6982" w:rsidR="001F6982">
      <w:pPr>
        <w:pStyle w:val="Bezproreda"/>
      </w:pPr>
      <w:r>
        <w:t xml:space="preserve">U dijelu predvidivih sudskih troškova, u okolnostima nedostupnosti analitičkih evidencija za potraživanja iskazana u bilanci za 2010.g., te s obzirom na opisano stanje imovine, procjenjuje se da u ovom momentu nisu očekivani troškovi sa navedenog osnova.   </w:t>
      </w:r>
    </w:p>
    <w:p w:rsidRDefault="001F6982" w:rsidP="001F6982" w:rsidR="001F6982">
      <w:pPr>
        <w:pStyle w:val="Bezproreda"/>
      </w:pPr>
    </w:p>
    <w:p w:rsidRDefault="001F6982" w:rsidP="001F6982" w:rsidR="001F6982">
      <w:pPr>
        <w:pStyle w:val="Bezproreda"/>
      </w:pPr>
      <w:r>
        <w:t xml:space="preserve">Nagrada stečajnog upravitelja iskazana je na osnovi odredbi Uredbe o načinu obračuna nagrade ( NN 105/15) na osnovi očekivane procijenjene visine stečajne mase ( točka III izvješća), te ista podliježe promjeni, povećanju ili smanjenju,  sukladno stvarno ostvarenoj visini stečajne mase. </w:t>
      </w:r>
    </w:p>
    <w:p w:rsidRDefault="001F6982" w:rsidP="001F6982" w:rsidR="001F6982">
      <w:pPr>
        <w:pStyle w:val="Bezproreda"/>
      </w:pPr>
    </w:p>
    <w:p w:rsidRDefault="001F6982" w:rsidP="001F6982" w:rsidR="001F6982">
      <w:pPr>
        <w:pStyle w:val="Bezproreda"/>
      </w:pPr>
      <w:r>
        <w:t>Ostali predvidivi troškovi obuhvaćaju troškove suradnika vezanih uz administrativne poslove u samom uredu stečajnog upravitelja, po potrebi izlazak na teren u postupcima nadzora i prodaje nekretnina, fizičke polove sa arhivom dužnika i sl.   Također su iskazani predvidivi nužni troškovi izrade žiga, bankarske naknade vođenja računa stečajnog dužnika, troškovi pohrane arhive  nakon zaključenja stečaja.</w:t>
      </w:r>
    </w:p>
    <w:p w:rsidRDefault="001F6982" w:rsidP="001F6982" w:rsidR="001F6982">
      <w:pPr>
        <w:pStyle w:val="Bezproreda"/>
      </w:pPr>
    </w:p>
    <w:p w:rsidRDefault="001F6982" w:rsidP="001F6982" w:rsidR="001F6982">
      <w:pPr>
        <w:pStyle w:val="Bezproreda"/>
      </w:pPr>
      <w:r>
        <w:t xml:space="preserve">Nastavno na iskazanu strukturu predvidivih troškova stečajnog postupka, proizlaze sveukupni predvidivi troškovi postupka od </w:t>
      </w:r>
      <w:r>
        <w:rPr>
          <w:rFonts w:cs="Times New Roman" w:eastAsia="Times New Roman" w:hAnsi="Times New Roman" w:ascii="Times New Roman"/>
        </w:rPr>
        <w:t>277.743,00</w:t>
      </w:r>
      <w:r>
        <w:t xml:space="preserve"> kn.</w:t>
      </w:r>
    </w:p>
    <w:p w:rsidRDefault="001F6982" w:rsidP="001F6982" w:rsidR="001F6982">
      <w:pPr>
        <w:pStyle w:val="Bezproreda"/>
      </w:pPr>
    </w:p>
    <w:p w:rsidRDefault="001F6982" w:rsidP="001F6982" w:rsidR="001F6982">
      <w:pPr>
        <w:pStyle w:val="Bezproreda"/>
        <w:rPr>
          <w:b/>
        </w:rPr>
      </w:pPr>
      <w:r>
        <w:t xml:space="preserve">VI.3.   </w:t>
      </w:r>
      <w:r>
        <w:rPr>
          <w:b/>
        </w:rPr>
        <w:t>Odnos imovine i obaveza – čl. 223. Stečajnog zakona</w:t>
      </w:r>
    </w:p>
    <w:p w:rsidRDefault="001F6982" w:rsidP="001F6982" w:rsidR="001F6982">
      <w:pPr>
        <w:pStyle w:val="Bezproreda"/>
        <w:rPr>
          <w:b/>
        </w:rPr>
      </w:pPr>
    </w:p>
    <w:p w:rsidRDefault="001F6982" w:rsidP="001F6982" w:rsidR="001F6982">
      <w:pPr>
        <w:pStyle w:val="Bezproreda"/>
      </w:pPr>
      <w:r>
        <w:t xml:space="preserve">Očekivana visina stečajne mase iskazana u točki III. Izvješća od 2.637.787,80 kn vezana je uz nekretnine opterećene </w:t>
      </w:r>
      <w:proofErr w:type="spellStart"/>
      <w:r>
        <w:t>razlučnim</w:t>
      </w:r>
      <w:proofErr w:type="spellEnd"/>
      <w:r>
        <w:t xml:space="preserve"> pravom. Dakle,  pokrića troškova postupka i uopće generiranja opće stečajne  mase, vezano je uz odredbe članka 254. Stečajnog zakona, obračun troškova unovčenja imovine na kojoj postoji </w:t>
      </w:r>
      <w:proofErr w:type="spellStart"/>
      <w:r>
        <w:t>razlučno</w:t>
      </w:r>
      <w:proofErr w:type="spellEnd"/>
      <w:r>
        <w:t xml:space="preserve"> pravo. Slijedom navedenog, a sukladno odredbi članka 254.st.1. određen je obračun troškova unovčenja u visini od 5% paušalno na postignutu </w:t>
      </w:r>
      <w:proofErr w:type="spellStart"/>
      <w:r>
        <w:t>kupovninu</w:t>
      </w:r>
      <w:proofErr w:type="spellEnd"/>
      <w:r>
        <w:t xml:space="preserve"> imovine opterećene </w:t>
      </w:r>
      <w:proofErr w:type="spellStart"/>
      <w:r>
        <w:t>razlučnim</w:t>
      </w:r>
      <w:proofErr w:type="spellEnd"/>
      <w:r>
        <w:t xml:space="preserve"> pravom ( </w:t>
      </w:r>
      <w:r>
        <w:rPr>
          <w:sz w:val="18"/>
          <w:szCs w:val="18"/>
        </w:rPr>
        <w:t>na očekivanu visinu stečajne mase 131.889,39 kn</w:t>
      </w:r>
      <w:r>
        <w:t xml:space="preserve">), a odredbom st.2. SZ-a obračun stvarnih troškova unovčenja imovine opterećene </w:t>
      </w:r>
      <w:proofErr w:type="spellStart"/>
      <w:r>
        <w:t>razlučnim</w:t>
      </w:r>
      <w:proofErr w:type="spellEnd"/>
      <w:r>
        <w:t xml:space="preserve"> pravom koji neposredno terete nekretnine ( </w:t>
      </w:r>
      <w:r>
        <w:rPr>
          <w:sz w:val="18"/>
          <w:szCs w:val="18"/>
        </w:rPr>
        <w:t>246.743 kn: neposredni troškovi nekretnine - režije, osiguranje, putni troškovi, oglašavanje FINA, predvidiva nagrada stečajnog upravitelja</w:t>
      </w:r>
      <w:r>
        <w:t xml:space="preserve">) . Slijedom navedenog, procjenjuje se potencijalno ostvarenje stečajne mase s osnova obračuna troškova unovčenja ( </w:t>
      </w:r>
      <w:r>
        <w:rPr>
          <w:sz w:val="18"/>
          <w:szCs w:val="18"/>
        </w:rPr>
        <w:t>na bazi procijenjene visine stečajne mase / smanjenje ostvarene visine uvjetuje smanjenje troškova iz članka 254. SZ-a/</w:t>
      </w:r>
      <w:r>
        <w:t>) u sveukupnom iznosu od 378.632,39 kn.   Slijedom iznesenog predvidivog kretanja visine stečajne mase, troškova unovčenja iste iz članka 254. SZ-a, proizlazi slijedeća simulacija mogućeg odnosa imovine i obaveza stečajnog dužnika:</w:t>
      </w:r>
    </w:p>
    <w:p w:rsidRDefault="001F6982" w:rsidP="001F6982" w:rsidR="001F6982">
      <w:pPr>
        <w:pStyle w:val="Bezproreda"/>
      </w:pPr>
    </w:p>
    <w:p w:rsidRDefault="001F6982" w:rsidP="001F6982" w:rsidR="001F6982">
      <w:pPr>
        <w:pStyle w:val="Bezproreda"/>
      </w:pPr>
      <w:r>
        <w:t>PREGLED IMOVINE I OBAVEZA</w:t>
      </w:r>
    </w:p>
    <w:tbl>
      <w:tblPr>
        <w:tblStyle w:val="Reetkatablice"/>
        <w:tblW w:type="dxa" w:w="9305"/>
        <w:tblInd w:type="dxa" w:w="0"/>
        <w:tblLook w:val="04A0" w:noVBand="1" w:noHBand="0" w:lastColumn="0" w:firstColumn="1" w:lastRow="0" w:firstRow="1"/>
      </w:tblPr>
      <w:tblGrid>
        <w:gridCol w:w="2233"/>
        <w:gridCol w:w="2775"/>
        <w:gridCol w:w="1617"/>
        <w:gridCol w:w="1280"/>
        <w:gridCol w:w="1400"/>
      </w:tblGrid>
      <w:tr w:rsidTr="001F6982" w:rsidR="001F6982">
        <w:tc>
          <w:tcPr>
            <w:tcW w:type="dxa" w:w="2233"/>
            <w:tcBorders>
              <w:top w:val="nil"/>
              <w:left w:val="nil"/>
              <w:bottom w:space="0" w:sz="4" w:color="auto" w:val="single"/>
              <w:right w:val="nil"/>
            </w:tcBorders>
          </w:tcPr>
          <w:p w:rsidRDefault="001F6982" w:rsidR="001F6982">
            <w:pPr>
              <w:pStyle w:val="Bezproreda"/>
              <w:rPr>
                <w:b/>
                <w:sz w:val="20"/>
                <w:szCs w:val="20"/>
              </w:rPr>
            </w:pPr>
          </w:p>
        </w:tc>
        <w:tc>
          <w:tcPr>
            <w:tcW w:type="dxa" w:w="2775"/>
            <w:tcBorders>
              <w:top w:val="nil"/>
              <w:left w:val="nil"/>
              <w:bottom w:space="0" w:sz="4" w:color="auto" w:val="single"/>
              <w:right w:space="0" w:sz="4" w:color="auto" w:val="single"/>
            </w:tcBorders>
          </w:tcPr>
          <w:p w:rsidRDefault="001F6982" w:rsidR="001F6982">
            <w:pPr>
              <w:pStyle w:val="Bezproreda"/>
              <w:rPr>
                <w:b/>
                <w:sz w:val="20"/>
                <w:szCs w:val="20"/>
              </w:rPr>
            </w:pPr>
          </w:p>
        </w:tc>
        <w:tc>
          <w:tcPr>
            <w:tcW w:type="dxa" w:w="4297"/>
            <w:gridSpan w:val="3"/>
            <w:tcBorders>
              <w:top w:space="0" w:sz="4" w:color="auto" w:val="single"/>
              <w:left w:space="0" w:sz="4" w:color="auto" w:val="single"/>
              <w:bottom w:space="0" w:sz="4" w:color="auto" w:val="single"/>
              <w:right w:space="0" w:sz="4" w:color="auto" w:val="single"/>
            </w:tcBorders>
            <w:hideMark/>
          </w:tcPr>
          <w:p w:rsidRDefault="001F6982" w:rsidR="001F6982">
            <w:pPr>
              <w:pStyle w:val="Bezproreda"/>
              <w:rPr>
                <w:b/>
                <w:i/>
                <w:sz w:val="20"/>
                <w:szCs w:val="20"/>
              </w:rPr>
            </w:pPr>
            <w:r>
              <w:rPr>
                <w:b/>
                <w:i/>
                <w:sz w:val="20"/>
                <w:szCs w:val="20"/>
              </w:rPr>
              <w:t>PROCIJENJENO NAMIRENJE TROŠKOVA I VJEROVNIKA PO ISPL. REDOVIMA</w:t>
            </w:r>
          </w:p>
        </w:tc>
      </w:tr>
      <w:tr w:rsidTr="001F6982" w:rsidR="001F6982">
        <w:tc>
          <w:tcPr>
            <w:tcW w:type="dxa" w:w="2233"/>
            <w:tcBorders>
              <w:top w:space="0" w:sz="4" w:color="auto" w:val="single"/>
              <w:left w:space="0" w:sz="4" w:themeColor="text1" w:color="000000" w:val="single"/>
              <w:bottom w:space="0" w:sz="4" w:color="auto" w:val="single"/>
              <w:right w:space="0" w:sz="4" w:themeColor="text1" w:color="000000" w:val="single"/>
            </w:tcBorders>
            <w:hideMark/>
          </w:tcPr>
          <w:p w:rsidRDefault="001F6982" w:rsidR="001F6982">
            <w:pPr>
              <w:pStyle w:val="Bezproreda"/>
              <w:rPr>
                <w:b/>
                <w:i/>
                <w:sz w:val="20"/>
                <w:szCs w:val="20"/>
              </w:rPr>
            </w:pPr>
            <w:r>
              <w:rPr>
                <w:b/>
                <w:i/>
                <w:sz w:val="20"/>
                <w:szCs w:val="20"/>
              </w:rPr>
              <w:t>PROCIJENJENA</w:t>
            </w:r>
          </w:p>
          <w:p w:rsidRDefault="001F6982" w:rsidR="001F6982">
            <w:pPr>
              <w:pStyle w:val="Bezproreda"/>
              <w:rPr>
                <w:b/>
                <w:i/>
                <w:sz w:val="20"/>
                <w:szCs w:val="20"/>
              </w:rPr>
            </w:pPr>
            <w:r>
              <w:rPr>
                <w:b/>
                <w:i/>
                <w:sz w:val="20"/>
                <w:szCs w:val="20"/>
              </w:rPr>
              <w:t>VISINA STEČAJNE MASE</w:t>
            </w:r>
          </w:p>
        </w:tc>
        <w:tc>
          <w:tcPr>
            <w:tcW w:type="dxa" w:w="2775"/>
            <w:tcBorders>
              <w:top w:space="0" w:sz="4" w:color="auto" w:val="single"/>
              <w:left w:space="0" w:sz="4" w:themeColor="text1" w:color="000000" w:val="single"/>
              <w:bottom w:space="0" w:sz="4" w:color="auto" w:val="single"/>
              <w:right w:space="0" w:sz="4" w:themeColor="text1" w:color="000000" w:val="single"/>
            </w:tcBorders>
            <w:hideMark/>
          </w:tcPr>
          <w:p w:rsidRDefault="001F6982" w:rsidR="001F6982">
            <w:pPr>
              <w:pStyle w:val="Bezproreda"/>
              <w:rPr>
                <w:b/>
                <w:i/>
                <w:sz w:val="20"/>
                <w:szCs w:val="20"/>
              </w:rPr>
            </w:pPr>
            <w:r>
              <w:rPr>
                <w:b/>
                <w:i/>
                <w:sz w:val="20"/>
                <w:szCs w:val="20"/>
              </w:rPr>
              <w:t>OSNOV – TROŠAK POSTUPKA/</w:t>
            </w:r>
          </w:p>
          <w:p w:rsidRDefault="001F6982" w:rsidR="001F6982">
            <w:pPr>
              <w:pStyle w:val="Bezproreda"/>
              <w:rPr>
                <w:b/>
                <w:i/>
                <w:sz w:val="20"/>
                <w:szCs w:val="20"/>
              </w:rPr>
            </w:pPr>
            <w:r>
              <w:rPr>
                <w:b/>
                <w:i/>
                <w:sz w:val="20"/>
                <w:szCs w:val="20"/>
              </w:rPr>
              <w:t>ISPLATNI RED/ ODVOJENO NAMIRENJE</w:t>
            </w:r>
          </w:p>
        </w:tc>
        <w:tc>
          <w:tcPr>
            <w:tcW w:type="dxa" w:w="1617"/>
            <w:tcBorders>
              <w:top w:space="0" w:sz="4" w:color="auto" w:val="single"/>
              <w:left w:space="0" w:sz="4" w:themeColor="text1" w:color="000000" w:val="single"/>
              <w:bottom w:space="0" w:sz="4" w:color="auto" w:val="single"/>
              <w:right w:space="0" w:sz="4" w:themeColor="text1" w:color="000000" w:val="single"/>
            </w:tcBorders>
            <w:hideMark/>
          </w:tcPr>
          <w:p w:rsidRDefault="001F6982" w:rsidR="001F6982">
            <w:pPr>
              <w:pStyle w:val="Bezproreda"/>
              <w:rPr>
                <w:b/>
                <w:i/>
                <w:sz w:val="20"/>
                <w:szCs w:val="20"/>
              </w:rPr>
            </w:pPr>
            <w:r>
              <w:rPr>
                <w:b/>
                <w:i/>
                <w:sz w:val="20"/>
                <w:szCs w:val="20"/>
              </w:rPr>
              <w:t xml:space="preserve">Utvrđena </w:t>
            </w:r>
            <w:proofErr w:type="spellStart"/>
            <w:r>
              <w:rPr>
                <w:b/>
                <w:i/>
                <w:sz w:val="20"/>
                <w:szCs w:val="20"/>
              </w:rPr>
              <w:t>tržbina</w:t>
            </w:r>
            <w:proofErr w:type="spellEnd"/>
            <w:r>
              <w:rPr>
                <w:b/>
                <w:i/>
                <w:sz w:val="20"/>
                <w:szCs w:val="20"/>
              </w:rPr>
              <w:t xml:space="preserve">/ obavijest o </w:t>
            </w:r>
            <w:proofErr w:type="spellStart"/>
            <w:r>
              <w:rPr>
                <w:b/>
                <w:i/>
                <w:sz w:val="20"/>
                <w:szCs w:val="20"/>
              </w:rPr>
              <w:t>razl</w:t>
            </w:r>
            <w:proofErr w:type="spellEnd"/>
            <w:r>
              <w:rPr>
                <w:b/>
                <w:i/>
                <w:sz w:val="20"/>
                <w:szCs w:val="20"/>
              </w:rPr>
              <w:t>. pravu</w:t>
            </w:r>
          </w:p>
        </w:tc>
        <w:tc>
          <w:tcPr>
            <w:tcW w:type="dxa" w:w="1280"/>
            <w:tcBorders>
              <w:top w:space="0" w:sz="4" w:color="auto" w:val="single"/>
              <w:left w:space="0" w:sz="4" w:themeColor="text1" w:color="000000" w:val="single"/>
              <w:bottom w:space="0" w:sz="4" w:color="auto" w:val="single"/>
              <w:right w:space="0" w:sz="4" w:themeColor="text1" w:color="000000" w:val="single"/>
            </w:tcBorders>
            <w:hideMark/>
          </w:tcPr>
          <w:p w:rsidRDefault="001F6982" w:rsidR="001F6982">
            <w:pPr>
              <w:pStyle w:val="Bezproreda"/>
              <w:rPr>
                <w:b/>
                <w:i/>
                <w:sz w:val="20"/>
                <w:szCs w:val="20"/>
              </w:rPr>
            </w:pPr>
            <w:r>
              <w:rPr>
                <w:b/>
                <w:i/>
                <w:sz w:val="20"/>
                <w:szCs w:val="20"/>
              </w:rPr>
              <w:t>Iznos namirenja</w:t>
            </w:r>
          </w:p>
        </w:tc>
        <w:tc>
          <w:tcPr>
            <w:tcW w:type="dxa" w:w="1400"/>
            <w:tcBorders>
              <w:top w:space="0" w:sz="4" w:color="auto" w:val="single"/>
              <w:left w:space="0" w:sz="4" w:themeColor="text1" w:color="000000" w:val="single"/>
              <w:bottom w:space="0" w:sz="4" w:color="auto" w:val="single"/>
              <w:right w:space="0" w:sz="4" w:themeColor="text1" w:color="000000" w:val="single"/>
            </w:tcBorders>
            <w:hideMark/>
          </w:tcPr>
          <w:p w:rsidRDefault="001F6982" w:rsidR="001F6982">
            <w:pPr>
              <w:pStyle w:val="Bezproreda"/>
              <w:rPr>
                <w:b/>
                <w:i/>
                <w:sz w:val="20"/>
                <w:szCs w:val="20"/>
              </w:rPr>
            </w:pPr>
            <w:r>
              <w:rPr>
                <w:b/>
                <w:i/>
                <w:sz w:val="20"/>
                <w:szCs w:val="20"/>
              </w:rPr>
              <w:t>Nenamireni iznos</w:t>
            </w:r>
          </w:p>
        </w:tc>
      </w:tr>
      <w:tr w:rsidTr="001F6982" w:rsidR="001F6982">
        <w:tc>
          <w:tcPr>
            <w:tcW w:type="dxa" w:w="2233"/>
            <w:vMerge w:val="restart"/>
            <w:tcBorders>
              <w:top w:space="0" w:sz="4" w:color="auto" w:val="single"/>
              <w:left w:space="0" w:sz="4" w:color="auto" w:val="single"/>
              <w:bottom w:space="0" w:sz="4" w:color="auto" w:val="single"/>
              <w:right w:space="0" w:sz="4" w:color="auto" w:val="single"/>
            </w:tcBorders>
          </w:tcPr>
          <w:p w:rsidRDefault="001F6982" w:rsidR="001F6982">
            <w:pPr>
              <w:pStyle w:val="Bezproreda"/>
              <w:rPr>
                <w:sz w:val="20"/>
                <w:szCs w:val="20"/>
              </w:rPr>
            </w:pPr>
          </w:p>
          <w:p w:rsidRDefault="001F6982" w:rsidR="001F6982">
            <w:pPr>
              <w:pStyle w:val="Bezproreda"/>
              <w:rPr>
                <w:sz w:val="20"/>
                <w:szCs w:val="20"/>
              </w:rPr>
            </w:pPr>
          </w:p>
          <w:p w:rsidRDefault="001F6982" w:rsidR="001F6982">
            <w:pPr>
              <w:pStyle w:val="Bezproreda"/>
              <w:rPr>
                <w:sz w:val="20"/>
                <w:szCs w:val="20"/>
              </w:rPr>
            </w:pPr>
            <w:r>
              <w:rPr>
                <w:sz w:val="20"/>
                <w:szCs w:val="20"/>
              </w:rPr>
              <w:t xml:space="preserve">     2.637.787,80 kn</w:t>
            </w:r>
          </w:p>
        </w:tc>
        <w:tc>
          <w:tcPr>
            <w:tcW w:type="dxa" w:w="2775"/>
            <w:tcBorders>
              <w:top w:space="0" w:sz="4" w:color="auto" w:val="single"/>
              <w:left w:space="0" w:sz="4" w:color="auto" w:val="single"/>
              <w:bottom w:space="0" w:sz="4" w:color="auto" w:val="single"/>
              <w:right w:space="0" w:sz="4" w:themeColor="text1" w:color="000000" w:val="single"/>
            </w:tcBorders>
            <w:hideMark/>
          </w:tcPr>
          <w:p w:rsidRDefault="001F6982" w:rsidR="001F6982">
            <w:pPr>
              <w:pStyle w:val="Bezproreda"/>
              <w:rPr>
                <w:sz w:val="18"/>
                <w:szCs w:val="18"/>
              </w:rPr>
            </w:pPr>
            <w:r>
              <w:rPr>
                <w:sz w:val="18"/>
                <w:szCs w:val="18"/>
              </w:rPr>
              <w:t xml:space="preserve">Namirenje </w:t>
            </w:r>
            <w:proofErr w:type="spellStart"/>
            <w:r>
              <w:rPr>
                <w:sz w:val="18"/>
                <w:szCs w:val="18"/>
              </w:rPr>
              <w:t>razlučnog</w:t>
            </w:r>
            <w:proofErr w:type="spellEnd"/>
            <w:r>
              <w:rPr>
                <w:sz w:val="18"/>
                <w:szCs w:val="18"/>
              </w:rPr>
              <w:t xml:space="preserve"> prava</w:t>
            </w:r>
          </w:p>
          <w:p w:rsidRDefault="001F6982" w:rsidR="001F6982">
            <w:pPr>
              <w:pStyle w:val="Bezproreda"/>
              <w:rPr>
                <w:sz w:val="18"/>
                <w:szCs w:val="18"/>
              </w:rPr>
            </w:pPr>
            <w:r>
              <w:rPr>
                <w:sz w:val="18"/>
                <w:szCs w:val="18"/>
              </w:rPr>
              <w:t>( podaci prema obavijesti i stanju ZK)</w:t>
            </w:r>
          </w:p>
        </w:tc>
        <w:tc>
          <w:tcPr>
            <w:tcW w:type="dxa" w:w="1617"/>
            <w:tcBorders>
              <w:top w:space="0" w:sz="4" w:color="auto" w:val="single"/>
              <w:left w:space="0" w:sz="4" w:themeColor="text1" w:color="000000" w:val="single"/>
              <w:bottom w:space="0" w:sz="4" w:color="auto" w:val="single"/>
              <w:right w:space="0" w:sz="4" w:themeColor="text1" w:color="000000" w:val="single"/>
            </w:tcBorders>
          </w:tcPr>
          <w:p w:rsidRDefault="001F6982" w:rsidR="001F6982">
            <w:pPr>
              <w:pStyle w:val="Bezproreda"/>
              <w:rPr>
                <w:sz w:val="20"/>
                <w:szCs w:val="20"/>
              </w:rPr>
            </w:pPr>
          </w:p>
          <w:p w:rsidRDefault="001F6982" w:rsidR="001F6982">
            <w:pPr>
              <w:pStyle w:val="Bezproreda"/>
              <w:rPr>
                <w:sz w:val="20"/>
                <w:szCs w:val="20"/>
              </w:rPr>
            </w:pPr>
            <w:r>
              <w:rPr>
                <w:sz w:val="20"/>
                <w:szCs w:val="20"/>
              </w:rPr>
              <w:t>9.395.667,47</w:t>
            </w:r>
          </w:p>
        </w:tc>
        <w:tc>
          <w:tcPr>
            <w:tcW w:type="dxa" w:w="1280"/>
            <w:tcBorders>
              <w:top w:space="0" w:sz="4" w:color="auto" w:val="single"/>
              <w:left w:space="0" w:sz="4" w:themeColor="text1" w:color="000000" w:val="single"/>
              <w:bottom w:space="0" w:sz="4" w:color="auto" w:val="single"/>
              <w:right w:space="0" w:sz="4" w:themeColor="text1" w:color="000000" w:val="single"/>
            </w:tcBorders>
            <w:hideMark/>
          </w:tcPr>
          <w:p w:rsidRDefault="001F6982" w:rsidR="001F6982">
            <w:pPr>
              <w:pStyle w:val="Bezproreda"/>
              <w:rPr>
                <w:sz w:val="20"/>
                <w:szCs w:val="20"/>
              </w:rPr>
            </w:pPr>
            <w:r>
              <w:rPr>
                <w:sz w:val="20"/>
                <w:szCs w:val="20"/>
              </w:rPr>
              <w:t xml:space="preserve">  </w:t>
            </w:r>
          </w:p>
          <w:p w:rsidRDefault="001F6982" w:rsidR="001F6982">
            <w:pPr>
              <w:pStyle w:val="Bezproreda"/>
              <w:rPr>
                <w:sz w:val="20"/>
                <w:szCs w:val="20"/>
              </w:rPr>
            </w:pPr>
            <w:r>
              <w:rPr>
                <w:sz w:val="20"/>
                <w:szCs w:val="20"/>
              </w:rPr>
              <w:t>2.259.155,41</w:t>
            </w:r>
          </w:p>
        </w:tc>
        <w:tc>
          <w:tcPr>
            <w:tcW w:type="dxa" w:w="1400"/>
            <w:tcBorders>
              <w:top w:space="0" w:sz="4" w:color="auto" w:val="single"/>
              <w:left w:space="0" w:sz="4" w:themeColor="text1" w:color="000000" w:val="single"/>
              <w:bottom w:space="0" w:sz="4" w:color="auto" w:val="single"/>
              <w:right w:space="0" w:sz="4" w:themeColor="text1" w:color="000000" w:val="single"/>
            </w:tcBorders>
          </w:tcPr>
          <w:p w:rsidRDefault="001F6982" w:rsidR="001F6982">
            <w:pPr>
              <w:pStyle w:val="Bezproreda"/>
              <w:rPr>
                <w:sz w:val="20"/>
                <w:szCs w:val="20"/>
              </w:rPr>
            </w:pPr>
          </w:p>
          <w:p w:rsidRDefault="001F6982" w:rsidR="001F6982">
            <w:pPr>
              <w:pStyle w:val="Bezproreda"/>
              <w:rPr>
                <w:sz w:val="20"/>
                <w:szCs w:val="20"/>
              </w:rPr>
            </w:pPr>
            <w:r>
              <w:rPr>
                <w:sz w:val="20"/>
                <w:szCs w:val="20"/>
              </w:rPr>
              <w:t>7.136.512,06</w:t>
            </w:r>
          </w:p>
        </w:tc>
      </w:tr>
      <w:tr w:rsidTr="001F6982" w:rsidR="001F6982">
        <w:tc>
          <w:tcPr>
            <w:tcW w:type="auto" w:w="0"/>
            <w:vMerge/>
            <w:tcBorders>
              <w:top w:space="0" w:sz="4" w:color="auto" w:val="single"/>
              <w:left w:space="0" w:sz="4" w:color="auto" w:val="single"/>
              <w:bottom w:space="0" w:sz="4" w:color="auto" w:val="single"/>
              <w:right w:space="0" w:sz="4" w:color="auto" w:val="single"/>
            </w:tcBorders>
            <w:vAlign w:val="center"/>
            <w:hideMark/>
          </w:tcPr>
          <w:p w:rsidRDefault="001F6982" w:rsidR="001F6982">
            <w:pPr>
              <w:rPr>
                <w:sz w:val="20"/>
                <w:szCs w:val="20"/>
              </w:rPr>
            </w:pPr>
          </w:p>
        </w:tc>
        <w:tc>
          <w:tcPr>
            <w:tcW w:type="dxa" w:w="2775"/>
            <w:tcBorders>
              <w:top w:space="0" w:sz="4" w:color="auto" w:val="single"/>
              <w:left w:space="0" w:sz="4" w:color="auto" w:val="single"/>
              <w:bottom w:space="0" w:sz="4" w:color="auto" w:val="single"/>
              <w:right w:space="0" w:sz="4" w:themeColor="text1" w:color="000000" w:val="single"/>
            </w:tcBorders>
            <w:hideMark/>
          </w:tcPr>
          <w:p w:rsidRDefault="001F6982" w:rsidR="001F6982">
            <w:pPr>
              <w:pStyle w:val="Bezproreda"/>
              <w:rPr>
                <w:sz w:val="18"/>
                <w:szCs w:val="18"/>
              </w:rPr>
            </w:pPr>
            <w:r>
              <w:rPr>
                <w:sz w:val="18"/>
                <w:szCs w:val="18"/>
              </w:rPr>
              <w:t>Predvidivi troškovi postupka</w:t>
            </w:r>
          </w:p>
        </w:tc>
        <w:tc>
          <w:tcPr>
            <w:tcW w:type="dxa" w:w="1617"/>
            <w:tcBorders>
              <w:top w:space="0" w:sz="4" w:color="auto" w:val="single"/>
              <w:left w:space="0" w:sz="4" w:themeColor="text1" w:color="000000" w:val="single"/>
              <w:bottom w:space="0" w:sz="4" w:color="auto" w:val="single"/>
              <w:right w:space="0" w:sz="4" w:themeColor="text1" w:color="000000" w:val="single"/>
            </w:tcBorders>
            <w:hideMark/>
          </w:tcPr>
          <w:p w:rsidRDefault="001F6982" w:rsidR="001F6982">
            <w:pPr>
              <w:pStyle w:val="Bezproreda"/>
              <w:rPr>
                <w:sz w:val="20"/>
                <w:szCs w:val="20"/>
              </w:rPr>
            </w:pPr>
            <w:r>
              <w:rPr>
                <w:sz w:val="20"/>
                <w:szCs w:val="20"/>
              </w:rPr>
              <w:t xml:space="preserve">   </w:t>
            </w:r>
            <w:r w:rsidR="007168EF">
              <w:rPr>
                <w:sz w:val="20"/>
                <w:szCs w:val="20"/>
              </w:rPr>
              <w:t xml:space="preserve">   </w:t>
            </w:r>
            <w:r>
              <w:rPr>
                <w:sz w:val="20"/>
                <w:szCs w:val="20"/>
              </w:rPr>
              <w:t>277.743,00</w:t>
            </w:r>
          </w:p>
        </w:tc>
        <w:tc>
          <w:tcPr>
            <w:tcW w:type="dxa" w:w="1280"/>
            <w:tcBorders>
              <w:top w:space="0" w:sz="4" w:color="auto" w:val="single"/>
              <w:left w:space="0" w:sz="4" w:themeColor="text1" w:color="000000" w:val="single"/>
              <w:bottom w:space="0" w:sz="4" w:color="auto" w:val="single"/>
              <w:right w:space="0" w:sz="4" w:themeColor="text1" w:color="000000" w:val="single"/>
            </w:tcBorders>
            <w:hideMark/>
          </w:tcPr>
          <w:p w:rsidRDefault="001F6982" w:rsidR="001F6982">
            <w:pPr>
              <w:pStyle w:val="Bezproreda"/>
              <w:rPr>
                <w:sz w:val="20"/>
                <w:szCs w:val="20"/>
              </w:rPr>
            </w:pPr>
            <w:r>
              <w:rPr>
                <w:sz w:val="20"/>
                <w:szCs w:val="20"/>
              </w:rPr>
              <w:t xml:space="preserve">   277.743,00</w:t>
            </w:r>
          </w:p>
        </w:tc>
        <w:tc>
          <w:tcPr>
            <w:tcW w:type="dxa" w:w="1400"/>
            <w:tcBorders>
              <w:top w:space="0" w:sz="4" w:color="auto" w:val="single"/>
              <w:left w:space="0" w:sz="4" w:themeColor="text1" w:color="000000" w:val="single"/>
              <w:bottom w:space="0" w:sz="4" w:color="auto" w:val="single"/>
              <w:right w:space="0" w:sz="4" w:themeColor="text1" w:color="000000" w:val="single"/>
            </w:tcBorders>
            <w:hideMark/>
          </w:tcPr>
          <w:p w:rsidRDefault="001F6982" w:rsidR="001F6982">
            <w:pPr>
              <w:pStyle w:val="Bezproreda"/>
              <w:rPr>
                <w:sz w:val="20"/>
                <w:szCs w:val="20"/>
              </w:rPr>
            </w:pPr>
            <w:r>
              <w:rPr>
                <w:sz w:val="20"/>
                <w:szCs w:val="20"/>
              </w:rPr>
              <w:t xml:space="preserve">               0,00</w:t>
            </w:r>
          </w:p>
        </w:tc>
      </w:tr>
      <w:tr w:rsidTr="001F6982" w:rsidR="001F6982">
        <w:tc>
          <w:tcPr>
            <w:tcW w:type="auto" w:w="0"/>
            <w:vMerge/>
            <w:tcBorders>
              <w:top w:space="0" w:sz="4" w:color="auto" w:val="single"/>
              <w:left w:space="0" w:sz="4" w:color="auto" w:val="single"/>
              <w:bottom w:space="0" w:sz="4" w:color="auto" w:val="single"/>
              <w:right w:space="0" w:sz="4" w:color="auto" w:val="single"/>
            </w:tcBorders>
            <w:vAlign w:val="center"/>
            <w:hideMark/>
          </w:tcPr>
          <w:p w:rsidRDefault="001F6982" w:rsidR="001F6982">
            <w:pPr>
              <w:rPr>
                <w:sz w:val="20"/>
                <w:szCs w:val="20"/>
              </w:rPr>
            </w:pPr>
          </w:p>
        </w:tc>
        <w:tc>
          <w:tcPr>
            <w:tcW w:type="dxa" w:w="2775"/>
            <w:tcBorders>
              <w:top w:space="0" w:sz="4" w:color="auto" w:val="single"/>
              <w:left w:space="0" w:sz="4" w:color="auto" w:val="single"/>
              <w:bottom w:space="0" w:sz="4" w:color="auto" w:val="single"/>
              <w:right w:space="0" w:sz="4" w:themeColor="text1" w:color="000000" w:val="single"/>
            </w:tcBorders>
            <w:hideMark/>
          </w:tcPr>
          <w:p w:rsidRDefault="001F6982" w:rsidR="001F6982">
            <w:pPr>
              <w:pStyle w:val="Bezproreda"/>
              <w:rPr>
                <w:sz w:val="18"/>
                <w:szCs w:val="18"/>
              </w:rPr>
            </w:pPr>
            <w:r>
              <w:rPr>
                <w:sz w:val="18"/>
                <w:szCs w:val="18"/>
              </w:rPr>
              <w:t xml:space="preserve">Utvrđene tražbine I viši. </w:t>
            </w:r>
            <w:proofErr w:type="spellStart"/>
            <w:r>
              <w:rPr>
                <w:sz w:val="18"/>
                <w:szCs w:val="18"/>
              </w:rPr>
              <w:t>Isp</w:t>
            </w:r>
            <w:proofErr w:type="spellEnd"/>
            <w:r>
              <w:rPr>
                <w:sz w:val="18"/>
                <w:szCs w:val="18"/>
              </w:rPr>
              <w:t>. red</w:t>
            </w:r>
          </w:p>
        </w:tc>
        <w:tc>
          <w:tcPr>
            <w:tcW w:type="dxa" w:w="1617"/>
            <w:tcBorders>
              <w:top w:space="0" w:sz="4" w:color="auto" w:val="single"/>
              <w:left w:space="0" w:sz="4" w:themeColor="text1" w:color="000000" w:val="single"/>
              <w:bottom w:space="0" w:sz="4" w:color="auto" w:val="single"/>
              <w:right w:space="0" w:sz="4" w:themeColor="text1" w:color="000000" w:val="single"/>
            </w:tcBorders>
            <w:hideMark/>
          </w:tcPr>
          <w:p w:rsidRDefault="001F6982" w:rsidR="001F6982">
            <w:pPr>
              <w:pStyle w:val="Bezproreda"/>
              <w:rPr>
                <w:sz w:val="20"/>
                <w:szCs w:val="20"/>
              </w:rPr>
            </w:pPr>
            <w:r>
              <w:rPr>
                <w:sz w:val="20"/>
                <w:szCs w:val="20"/>
              </w:rPr>
              <w:t xml:space="preserve">     </w:t>
            </w:r>
            <w:r w:rsidR="007168EF">
              <w:rPr>
                <w:sz w:val="20"/>
                <w:szCs w:val="20"/>
              </w:rPr>
              <w:t xml:space="preserve">   </w:t>
            </w:r>
            <w:r>
              <w:rPr>
                <w:sz w:val="20"/>
                <w:szCs w:val="20"/>
              </w:rPr>
              <w:t>10.809,68</w:t>
            </w:r>
          </w:p>
        </w:tc>
        <w:tc>
          <w:tcPr>
            <w:tcW w:type="dxa" w:w="1280"/>
            <w:tcBorders>
              <w:top w:space="0" w:sz="4" w:color="auto" w:val="single"/>
              <w:left w:space="0" w:sz="4" w:themeColor="text1" w:color="000000" w:val="single"/>
              <w:bottom w:space="0" w:sz="4" w:color="auto" w:val="single"/>
              <w:right w:space="0" w:sz="4" w:themeColor="text1" w:color="000000" w:val="single"/>
            </w:tcBorders>
            <w:hideMark/>
          </w:tcPr>
          <w:p w:rsidRDefault="001F6982" w:rsidR="001F6982">
            <w:pPr>
              <w:pStyle w:val="Bezproreda"/>
              <w:rPr>
                <w:sz w:val="20"/>
                <w:szCs w:val="20"/>
              </w:rPr>
            </w:pPr>
            <w:r>
              <w:rPr>
                <w:sz w:val="20"/>
                <w:szCs w:val="20"/>
              </w:rPr>
              <w:t xml:space="preserve">     10.809,68</w:t>
            </w:r>
          </w:p>
        </w:tc>
        <w:tc>
          <w:tcPr>
            <w:tcW w:type="dxa" w:w="1400"/>
            <w:tcBorders>
              <w:top w:space="0" w:sz="4" w:color="auto" w:val="single"/>
              <w:left w:space="0" w:sz="4" w:themeColor="text1" w:color="000000" w:val="single"/>
              <w:bottom w:space="0" w:sz="4" w:color="auto" w:val="single"/>
              <w:right w:space="0" w:sz="4" w:themeColor="text1" w:color="000000" w:val="single"/>
            </w:tcBorders>
            <w:hideMark/>
          </w:tcPr>
          <w:p w:rsidRDefault="001F6982" w:rsidR="001F6982">
            <w:pPr>
              <w:pStyle w:val="Bezproreda"/>
              <w:rPr>
                <w:sz w:val="20"/>
                <w:szCs w:val="20"/>
              </w:rPr>
            </w:pPr>
            <w:r>
              <w:rPr>
                <w:sz w:val="20"/>
                <w:szCs w:val="20"/>
              </w:rPr>
              <w:t xml:space="preserve">               0,00</w:t>
            </w:r>
          </w:p>
        </w:tc>
      </w:tr>
      <w:tr w:rsidTr="001F6982" w:rsidR="001F6982">
        <w:tc>
          <w:tcPr>
            <w:tcW w:type="auto" w:w="0"/>
            <w:vMerge/>
            <w:tcBorders>
              <w:top w:space="0" w:sz="4" w:color="auto" w:val="single"/>
              <w:left w:space="0" w:sz="4" w:color="auto" w:val="single"/>
              <w:bottom w:space="0" w:sz="4" w:color="auto" w:val="single"/>
              <w:right w:space="0" w:sz="4" w:color="auto" w:val="single"/>
            </w:tcBorders>
            <w:vAlign w:val="center"/>
            <w:hideMark/>
          </w:tcPr>
          <w:p w:rsidRDefault="001F6982" w:rsidR="001F6982">
            <w:pPr>
              <w:rPr>
                <w:sz w:val="20"/>
                <w:szCs w:val="20"/>
              </w:rPr>
            </w:pPr>
          </w:p>
        </w:tc>
        <w:tc>
          <w:tcPr>
            <w:tcW w:type="dxa" w:w="2775"/>
            <w:tcBorders>
              <w:top w:space="0" w:sz="4" w:color="auto" w:val="single"/>
              <w:left w:space="0" w:sz="4" w:color="auto" w:val="single"/>
              <w:bottom w:space="0" w:sz="4" w:color="auto" w:val="single"/>
              <w:right w:space="0" w:sz="4" w:themeColor="text1" w:color="000000" w:val="single"/>
            </w:tcBorders>
            <w:hideMark/>
          </w:tcPr>
          <w:p w:rsidRDefault="001F6982" w:rsidR="001F6982">
            <w:pPr>
              <w:pStyle w:val="Bezproreda"/>
              <w:rPr>
                <w:sz w:val="18"/>
                <w:szCs w:val="18"/>
              </w:rPr>
            </w:pPr>
            <w:r>
              <w:rPr>
                <w:sz w:val="18"/>
                <w:szCs w:val="18"/>
              </w:rPr>
              <w:t xml:space="preserve">Utvrđene tražbine II viši </w:t>
            </w:r>
            <w:proofErr w:type="spellStart"/>
            <w:r>
              <w:rPr>
                <w:sz w:val="18"/>
                <w:szCs w:val="18"/>
              </w:rPr>
              <w:t>isp</w:t>
            </w:r>
            <w:proofErr w:type="spellEnd"/>
            <w:r>
              <w:rPr>
                <w:sz w:val="18"/>
                <w:szCs w:val="18"/>
              </w:rPr>
              <w:t>. red</w:t>
            </w:r>
          </w:p>
        </w:tc>
        <w:tc>
          <w:tcPr>
            <w:tcW w:type="dxa" w:w="1617"/>
            <w:tcBorders>
              <w:top w:space="0" w:sz="4" w:color="auto" w:val="single"/>
              <w:left w:space="0" w:sz="4" w:themeColor="text1" w:color="000000" w:val="single"/>
              <w:bottom w:space="0" w:sz="4" w:color="auto" w:val="single"/>
              <w:right w:space="0" w:sz="4" w:themeColor="text1" w:color="000000" w:val="single"/>
            </w:tcBorders>
            <w:hideMark/>
          </w:tcPr>
          <w:p w:rsidRDefault="007168EF" w:rsidR="001F6982">
            <w:pPr>
              <w:rPr>
                <w:rFonts w:cs="Times New Roman"/>
              </w:rPr>
            </w:pPr>
            <w:r>
              <w:rPr>
                <w:rFonts w:cs="Times New Roman" w:eastAsia="Times New Roman" w:hAnsi="Times New Roman" w:ascii="Times New Roman"/>
              </w:rPr>
              <w:t xml:space="preserve">16.099.954,12        </w:t>
            </w:r>
            <w:r w:rsidR="001F6982">
              <w:rPr>
                <w:rFonts w:cs="Times New Roman" w:eastAsia="Times New Roman" w:hAnsi="Times New Roman" w:ascii="Times New Roman"/>
              </w:rPr>
              <w:t xml:space="preserve">         </w:t>
            </w:r>
          </w:p>
        </w:tc>
        <w:tc>
          <w:tcPr>
            <w:tcW w:type="dxa" w:w="1280"/>
            <w:tcBorders>
              <w:top w:space="0" w:sz="4" w:color="auto" w:val="single"/>
              <w:left w:space="0" w:sz="4" w:themeColor="text1" w:color="000000" w:val="single"/>
              <w:bottom w:space="0" w:sz="4" w:color="auto" w:val="single"/>
              <w:right w:space="0" w:sz="4" w:themeColor="text1" w:color="000000" w:val="single"/>
            </w:tcBorders>
            <w:hideMark/>
          </w:tcPr>
          <w:p w:rsidRDefault="001F6982" w:rsidR="001F6982">
            <w:pPr>
              <w:pStyle w:val="Bezproreda"/>
              <w:rPr>
                <w:sz w:val="20"/>
                <w:szCs w:val="20"/>
              </w:rPr>
            </w:pPr>
            <w:r>
              <w:rPr>
                <w:sz w:val="20"/>
                <w:szCs w:val="20"/>
              </w:rPr>
              <w:t xml:space="preserve">   90.079,71</w:t>
            </w:r>
          </w:p>
        </w:tc>
        <w:tc>
          <w:tcPr>
            <w:tcW w:type="dxa" w:w="1400"/>
            <w:tcBorders>
              <w:top w:space="0" w:sz="4" w:color="auto" w:val="single"/>
              <w:left w:space="0" w:sz="4" w:themeColor="text1" w:color="000000" w:val="single"/>
              <w:bottom w:space="0" w:sz="4" w:color="auto" w:val="single"/>
              <w:right w:space="0" w:sz="4" w:themeColor="text1" w:color="000000" w:val="single"/>
            </w:tcBorders>
            <w:hideMark/>
          </w:tcPr>
          <w:p w:rsidRDefault="007168EF" w:rsidR="001F6982">
            <w:pPr>
              <w:pStyle w:val="Bezproreda"/>
              <w:rPr>
                <w:sz w:val="20"/>
                <w:szCs w:val="20"/>
              </w:rPr>
            </w:pPr>
            <w:r>
              <w:rPr>
                <w:sz w:val="20"/>
                <w:szCs w:val="20"/>
              </w:rPr>
              <w:t>16.009.874,41</w:t>
            </w:r>
          </w:p>
        </w:tc>
      </w:tr>
    </w:tbl>
    <w:p w:rsidRDefault="001F6982" w:rsidP="001F6982" w:rsidR="001F6982">
      <w:pPr>
        <w:pStyle w:val="Bezproreda"/>
      </w:pPr>
    </w:p>
    <w:p w:rsidRDefault="001F6982" w:rsidP="001F6982" w:rsidR="001F6982">
      <w:pPr>
        <w:pStyle w:val="Bezproreda"/>
      </w:pPr>
    </w:p>
    <w:p w:rsidRDefault="001F6982" w:rsidP="001F6982" w:rsidR="001F6982">
      <w:pPr>
        <w:pStyle w:val="Bezproreda"/>
      </w:pPr>
      <w:r>
        <w:t>IV  PRIJEDLOG ODLUKA</w:t>
      </w:r>
    </w:p>
    <w:p w:rsidRDefault="001F6982" w:rsidP="001F6982" w:rsidR="001F6982">
      <w:pPr>
        <w:pStyle w:val="Bezproreda"/>
      </w:pPr>
    </w:p>
    <w:p w:rsidRDefault="001F6982" w:rsidP="001F6982" w:rsidR="001F6982">
      <w:pPr>
        <w:pStyle w:val="Bezproreda"/>
      </w:pPr>
      <w:r>
        <w:t>Nastavno na podneseno izvješće i izvršene radnje,</w:t>
      </w:r>
    </w:p>
    <w:p w:rsidRDefault="001F6982" w:rsidP="001F6982" w:rsidR="001F6982">
      <w:pPr>
        <w:pStyle w:val="Bezproreda"/>
      </w:pPr>
    </w:p>
    <w:p w:rsidRDefault="001F6982" w:rsidP="001F6982" w:rsidR="001F6982">
      <w:pPr>
        <w:pStyle w:val="Bezproreda"/>
      </w:pPr>
      <w:r>
        <w:lastRenderedPageBreak/>
        <w:t xml:space="preserve">                                                   PREDLAŽE SE:</w:t>
      </w:r>
    </w:p>
    <w:p w:rsidRDefault="001F6982" w:rsidP="001F6982" w:rsidR="001F6982">
      <w:pPr>
        <w:pStyle w:val="Bezproreda"/>
      </w:pPr>
      <w:r>
        <w:t>* Da se prihvati izvješće i odobre poduzete radnje</w:t>
      </w:r>
    </w:p>
    <w:p w:rsidRDefault="001F6982" w:rsidP="001F6982" w:rsidR="001F6982">
      <w:pPr>
        <w:pStyle w:val="Bezproreda"/>
      </w:pPr>
      <w:r>
        <w:t xml:space="preserve">* Da se sukladno odredbi članak 217. SZ-a donese odluka  o </w:t>
      </w:r>
      <w:proofErr w:type="spellStart"/>
      <w:r>
        <w:t>nenastavljanju</w:t>
      </w:r>
      <w:proofErr w:type="spellEnd"/>
      <w:r>
        <w:t xml:space="preserve"> poslovanja ( prestalo znatno prije stečaja)</w:t>
      </w:r>
    </w:p>
    <w:p w:rsidRDefault="001F6982" w:rsidP="001F6982" w:rsidR="001F6982">
      <w:pPr>
        <w:pStyle w:val="Bezproreda"/>
      </w:pPr>
      <w:r>
        <w:t>* Da se stečajnom upravitelju odobri sklapanje ugovora o zakupu na rok duži od 6 mjeseci, ukoliko se eventualno bude interesa najmoprimaca za nekretnine u vlasništvu</w:t>
      </w:r>
    </w:p>
    <w:p w:rsidRDefault="001F6982" w:rsidP="001F6982" w:rsidR="001F6982">
      <w:pPr>
        <w:pStyle w:val="Bezproreda"/>
      </w:pPr>
      <w:r>
        <w:t xml:space="preserve">* Da se stečajnom upravitelju ukoliko se tijekom postupka ukaže potrebnim odobri pokretanje parnica, odnosno   davanje punomoći odvjetniku  </w:t>
      </w:r>
    </w:p>
    <w:p w:rsidRDefault="001F6982" w:rsidP="001F6982" w:rsidR="001F6982">
      <w:pPr>
        <w:pStyle w:val="Bezproreda"/>
      </w:pPr>
      <w:r>
        <w:t>* Da se donese generalna odluka o unovčenju, pokretnina ukoliko bi se naknadno pronašla imovina stečajnog dužnika koja sada nije poznata, na način da se ista unovči sukladno odredbama čl. 229 SZ-a, prema procjeni svrsishodnosti unovčenja po procjeni stečajnog upravitelja neposrednom pogodbom ili  objavom na Internet stranicama sudačke mreže prikupljanjem najpovoljnije ponude</w:t>
      </w:r>
    </w:p>
    <w:p w:rsidRDefault="001F6982" w:rsidP="001F6982" w:rsidR="001F6982">
      <w:pPr>
        <w:pStyle w:val="Bezproreda"/>
      </w:pPr>
      <w:r>
        <w:t xml:space="preserve"> </w:t>
      </w:r>
    </w:p>
    <w:p w:rsidRDefault="001F6982" w:rsidP="001F6982" w:rsidR="001F6982">
      <w:pPr>
        <w:pStyle w:val="Bezproreda"/>
      </w:pPr>
      <w:r>
        <w:t xml:space="preserve">                                                                                Stečajni upravitelj:</w:t>
      </w:r>
    </w:p>
    <w:p w:rsidRDefault="001F6982" w:rsidP="001F6982" w:rsidR="001F6982">
      <w:pPr>
        <w:pStyle w:val="Bezproreda"/>
      </w:pPr>
    </w:p>
    <w:p w:rsidRDefault="001F6982" w:rsidP="001F6982" w:rsidR="001F6982">
      <w:pPr>
        <w:pStyle w:val="Bezproreda"/>
      </w:pPr>
      <w:r>
        <w:t xml:space="preserve">                                                                                Zdravko </w:t>
      </w:r>
      <w:proofErr w:type="spellStart"/>
      <w:r>
        <w:t>Mitak</w:t>
      </w:r>
      <w:proofErr w:type="spellEnd"/>
      <w:r>
        <w:t xml:space="preserve"> dipl. oec.  </w:t>
      </w:r>
    </w:p>
    <w:p w:rsidRDefault="001F6982" w:rsidP="001F6982" w:rsidR="001F6982">
      <w:pPr>
        <w:pStyle w:val="Bezproreda"/>
      </w:pPr>
      <w:r>
        <w:t xml:space="preserve">Prilog: </w:t>
      </w:r>
    </w:p>
    <w:p w:rsidRDefault="001F6982" w:rsidP="001F6982" w:rsidR="001F6982">
      <w:pPr>
        <w:pStyle w:val="Bezproreda"/>
      </w:pPr>
      <w:r>
        <w:t>- popis imovine stečajnog dužnika – čl. 221. SZ-a</w:t>
      </w:r>
    </w:p>
    <w:p w:rsidRDefault="001F6982" w:rsidP="001F6982" w:rsidR="001F6982">
      <w:pPr>
        <w:pStyle w:val="Bezproreda"/>
      </w:pPr>
      <w:r>
        <w:t>- Popis vjerovnika – čl. 222. SZ-a</w:t>
      </w:r>
    </w:p>
    <w:p w:rsidRDefault="001F6982" w:rsidP="001F6982" w:rsidR="001F6982">
      <w:pPr>
        <w:pStyle w:val="Bezproreda"/>
      </w:pPr>
      <w:r>
        <w:t>- Pregled imovine i obaveza – čl. 223. SZ-a</w:t>
      </w:r>
    </w:p>
    <w:p w:rsidRDefault="00E90350" w:rsidR="00E90350"/>
    <w:sectPr w:rsidR="00E9035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6982"/>
    <w:rsid w:val="001F6982"/>
    <w:rsid w:val="002664A3"/>
    <w:rsid w:val="00602BF0"/>
    <w:rsid w:val="007168EF"/>
    <w:rsid w:val="009D2AED"/>
    <w:rsid w:val="00BD5287"/>
    <w:rsid w:val="00D00E54"/>
    <w:rsid w:val="00E90350"/>
    <w:rsid w:val="00EC0E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F698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F6982"/>
    <w:pPr>
      <w:spacing w:lineRule="auto" w:line="240" w:after="0"/>
    </w:pPr>
  </w:style>
  <w:style w:styleId="Reetkatablice" w:type="table">
    <w:name w:val="Table Grid"/>
    <w:basedOn w:val="Obinatablica"/>
    <w:uiPriority w:val="59"/>
    <w:rsid w:val="001F6982"/>
    <w:pPr>
      <w:spacing w:lineRule="auto" w:line="240" w:after="0"/>
      <w:jc w:val="both"/>
    </w:pPr>
    <w:rPr>
      <w:lang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styleId="Tekstrezerviranogmjesta" w:type="character">
    <w:name w:val="Placeholder Text"/>
    <w:basedOn w:val="Zadanifontodlomka"/>
    <w:uiPriority w:val="99"/>
    <w:semiHidden/>
    <w:rsid w:val="00602BF0"/>
    <w:rPr>
      <w:color w:val="808080"/>
      <w:bdr w:space="0" w:sz="0" w:color="auto" w:val="none"/>
      <w:shd w:fill="auto" w:color="auto" w:val="clear"/>
    </w:rPr>
  </w:style>
  <w:style w:customStyle="true" w:styleId="eSPISCCParagraphDefaultFont" w:type="character">
    <w:name w:val="eSPIS_CC_Paragraph Default Font"/>
    <w:basedOn w:val="Zadanifontodlomka"/>
    <w:rsid w:val="00602B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2BF0"/>
    <w:rPr>
      <w:bdr w:space="0" w:sz="0" w:color="auto" w:val="none"/>
      <w:shd w:fill="FFFFCC" w:color="auto" w:val="clear"/>
      <w:lang w:val="hr-HR"/>
    </w:rPr>
  </w:style>
  <w:style w:customStyle="true" w:styleId="PozadinaSvijetloCrvena" w:type="character">
    <w:name w:val="Pozadina_SvijetloCrvena"/>
    <w:basedOn w:val="eSPISCCParagraphDefaultFont"/>
    <w:rsid w:val="00602B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2B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F698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F6982"/>
    <w:pPr>
      <w:spacing w:after="0" w:line="240" w:lineRule="auto"/>
    </w:pPr>
  </w:style>
  <w:style w:styleId="Reetkatablice" w:type="table">
    <w:name w:val="Table Grid"/>
    <w:basedOn w:val="Obinatablica"/>
    <w:uiPriority w:val="59"/>
    <w:rsid w:val="001F6982"/>
    <w:pPr>
      <w:spacing w:after="0" w:line="240" w:lineRule="auto"/>
      <w:jc w:val="both"/>
    </w:pPr>
    <w:rPr>
      <w:lang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styleId="Tekstrezerviranogmjesta" w:type="character">
    <w:name w:val="Placeholder Text"/>
    <w:basedOn w:val="Zadanifontodlomka"/>
    <w:uiPriority w:val="99"/>
    <w:semiHidden/>
    <w:rsid w:val="00602BF0"/>
    <w:rPr>
      <w:color w:val="808080"/>
      <w:bdr w:color="auto" w:space="0" w:sz="0" w:val="none"/>
      <w:shd w:color="auto" w:fill="auto" w:val="clear"/>
    </w:rPr>
  </w:style>
  <w:style w:customStyle="1" w:styleId="eSPISCCParagraphDefaultFont" w:type="character">
    <w:name w:val="eSPIS_CC_Paragraph Default Font"/>
    <w:basedOn w:val="Zadanifontodlomka"/>
    <w:rsid w:val="00602B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2BF0"/>
    <w:rPr>
      <w:bdr w:color="auto" w:space="0" w:sz="0" w:val="none"/>
      <w:shd w:color="auto" w:fill="FFFFCC" w:val="clear"/>
      <w:lang w:val="hr-HR"/>
    </w:rPr>
  </w:style>
  <w:style w:customStyle="1" w:styleId="PozadinaSvijetloCrvena" w:type="character">
    <w:name w:val="Pozadina_SvijetloCrvena"/>
    <w:basedOn w:val="eSPISCCParagraphDefaultFont"/>
    <w:rsid w:val="00602B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2B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59283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3355</properties:Words>
  <properties:Characters>20230</properties:Characters>
  <properties:Lines>437</properties:Lines>
  <properties:Paragraphs>164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2018-11-02T10:04:00Z</dcterms:created>
  <dc:creator>Zdravko</dc:creator>
  <cp:lastModifiedBy>Kristina Švajger</cp:lastModifiedBy>
  <dcterms:modified xmlns:xsi="http://www.w3.org/2001/XMLSchema-instance" xsi:type="dcterms:W3CDTF">2018-11-02T10:05:00Z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St-6580/2016-19 / Podnesak - Podnesak (izvješće stečajnog upravitelja, 30. 10. 18..docx)</vt:lpwstr>
  </prop:property>
  <prop:property name="CC_coloring" pid="4" fmtid="{D5CDD505-2E9C-101B-9397-08002B2CF9AE}">
    <vt:bool>false</vt:bool>
  </prop:property>
  <prop:property name="BrojStranica" pid="5" fmtid="{D5CDD505-2E9C-101B-9397-08002B2CF9AE}">
    <vt:i4>8</vt:i4>
  </prop:property>
</prop:Properties>
</file>