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1267a" w14:paraId="201267a" w:rsidRDefault="00AB4602" w:rsidP="001C56B5" w:rsidR="001C56B5" w:rsidRPr="001C56B5">
      <w:pPr>
        <w:pStyle w:val="NormaleSPIS"/>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C56B5" w:rsidRPr="001C56B5">
        <w:rPr>
          <w:rFonts w:cs="Times New Roman"/>
        </w:rPr>
        <w:tab/>
      </w:r>
      <w:r w:rsidR="001C56B5" w:rsidRPr="001C56B5">
        <w:rPr>
          <w:rFonts w:cs="Times New Roman"/>
        </w:rPr>
        <w:tab/>
      </w:r>
      <w:r w:rsidR="001C56B5" w:rsidRPr="001C56B5">
        <w:rPr>
          <w:rFonts w:cs="Times New Roman"/>
        </w:rPr>
        <w:tab/>
      </w:r>
      <w:r w:rsidR="001C56B5" w:rsidRPr="001C56B5">
        <w:rPr>
          <w:rFonts w:cs="Times New Roman"/>
        </w:rPr>
        <w:tab/>
      </w:r>
      <w:r w:rsidR="001C56B5" w:rsidRPr="001C56B5">
        <w:rPr>
          <w:rFonts w:cs="Times New Roman"/>
        </w:rPr>
        <w:tab/>
      </w:r>
      <w:r w:rsidR="001C56B5" w:rsidRPr="001C56B5">
        <w:rPr>
          <w:rFonts w:cs="Times New Roman"/>
        </w:rPr>
        <w:tab/>
      </w:r>
      <w:r w:rsidR="001C56B5" w:rsidRPr="001C56B5">
        <w:rPr>
          <w:rFonts w:cs="Times New Roman"/>
        </w:rPr>
        <w:tab/>
      </w:r>
      <w:r w:rsidR="001C56B5" w:rsidRPr="001C56B5">
        <w:rPr>
          <w:rFonts w:cs="Times New Roman"/>
        </w:rPr>
        <w:tab/>
      </w:r>
      <w:r w:rsidR="001C56B5" w:rsidRPr="001C56B5">
        <w:rPr>
          <w:rFonts w:cs="Times New Roman"/>
        </w:rPr>
        <w:tab/>
      </w:r>
      <w:r w:rsidR="001C56B5" w:rsidRPr="001C56B5">
        <w:rPr>
          <w:rFonts w:cs="Times New Roman"/>
        </w:rPr>
        <w:tab/>
        <w:t>1 St-488/15</w:t>
      </w:r>
    </w:p>
    <w:p w:rsidRDefault="001C56B5" w:rsidP="001C56B5" w:rsidR="001C56B5" w:rsidRPr="001C56B5">
      <w:pPr>
        <w:spacing w:after="0"/>
        <w:rPr>
          <w:rFonts w:cs="Times New Roman" w:eastAsia="Times New Roman"/>
          <w:lang w:eastAsia="hr-HR"/>
        </w:rPr>
      </w:pPr>
    </w:p>
    <w:p w:rsidRDefault="001C56B5" w:rsidP="001C56B5" w:rsidR="001C56B5" w:rsidRPr="001C56B5">
      <w:pPr>
        <w:spacing w:after="0"/>
        <w:rPr>
          <w:rFonts w:cs="Times New Roman" w:eastAsia="Times New Roman"/>
          <w:lang w:eastAsia="hr-HR"/>
        </w:rPr>
      </w:pPr>
      <w:r w:rsidRPr="001C56B5">
        <w:rPr>
          <w:rFonts w:cs="Times New Roman" w:eastAsia="Times New Roman"/>
          <w:b/>
          <w:lang w:eastAsia="hr-HR"/>
        </w:rPr>
        <w:t xml:space="preserve">      </w:t>
      </w:r>
      <w:r w:rsidRPr="001C56B5">
        <w:rPr>
          <w:rFonts w:cs="Times New Roman" w:eastAsia="Times New Roman"/>
          <w:lang w:eastAsia="hr-HR"/>
        </w:rPr>
        <w:t xml:space="preserve">REPUBLIKA HRVATSKA </w:t>
      </w:r>
    </w:p>
    <w:p w:rsidRDefault="001C56B5" w:rsidP="001C56B5" w:rsidR="001C56B5" w:rsidRPr="001C56B5">
      <w:pPr>
        <w:spacing w:after="0"/>
        <w:rPr>
          <w:rFonts w:cs="Times New Roman" w:eastAsia="Times New Roman"/>
          <w:lang w:eastAsia="hr-HR"/>
        </w:rPr>
      </w:pPr>
      <w:r w:rsidRPr="001C56B5">
        <w:rPr>
          <w:rFonts w:cs="Times New Roman" w:eastAsia="Times New Roman"/>
          <w:lang w:eastAsia="hr-HR"/>
        </w:rPr>
        <w:t xml:space="preserve"> TRGOVAČKI SUD U ZAGREBU</w:t>
      </w:r>
    </w:p>
    <w:p w:rsidRDefault="001C56B5" w:rsidP="001C56B5" w:rsidR="001C56B5" w:rsidRPr="001C56B5">
      <w:pPr>
        <w:spacing w:after="0"/>
        <w:rPr>
          <w:rFonts w:cs="Times New Roman" w:eastAsia="Times New Roman"/>
          <w:lang w:eastAsia="hr-HR"/>
        </w:rPr>
      </w:pPr>
      <w:r w:rsidRPr="001C56B5">
        <w:rPr>
          <w:rFonts w:cs="Times New Roman" w:eastAsia="Times New Roman"/>
          <w:lang w:eastAsia="hr-HR"/>
        </w:rPr>
        <w:t xml:space="preserve">        Stalna služba u Karlovcu </w:t>
      </w:r>
    </w:p>
    <w:p w:rsidRDefault="001C56B5" w:rsidP="001C56B5" w:rsidR="001C56B5" w:rsidRPr="001C56B5">
      <w:pPr>
        <w:spacing w:after="0"/>
        <w:rPr>
          <w:rFonts w:cs="Times New Roman" w:eastAsia="Times New Roman"/>
          <w:lang w:eastAsia="hr-HR"/>
        </w:rPr>
      </w:pPr>
      <w:r w:rsidRPr="001C56B5">
        <w:rPr>
          <w:rFonts w:cs="Times New Roman" w:eastAsia="Times New Roman"/>
          <w:lang w:eastAsia="hr-HR"/>
        </w:rPr>
        <w:t xml:space="preserve">   Karlovac, Trg hrvatskih branitelja 1/II</w:t>
      </w:r>
    </w:p>
    <w:p w:rsidRDefault="001C56B5" w:rsidP="001C56B5" w:rsidR="001C56B5" w:rsidRPr="001C56B5">
      <w:pPr>
        <w:spacing w:after="0"/>
        <w:rPr>
          <w:rFonts w:cs="Times New Roman" w:eastAsia="Times New Roman"/>
          <w:lang w:eastAsia="hr-HR"/>
        </w:rPr>
      </w:pPr>
    </w:p>
    <w:p w:rsidRDefault="001C56B5" w:rsidP="001C56B5" w:rsidR="001C56B5" w:rsidRPr="001C56B5">
      <w:pPr>
        <w:spacing w:after="0"/>
        <w:jc w:val="center"/>
        <w:rPr>
          <w:rFonts w:cs="Times New Roman" w:eastAsia="Times New Roman"/>
          <w:lang w:eastAsia="hr-HR"/>
        </w:rPr>
      </w:pPr>
      <w:r w:rsidRPr="001C56B5">
        <w:rPr>
          <w:rFonts w:cs="Times New Roman" w:eastAsia="Times New Roman"/>
          <w:lang w:eastAsia="hr-HR"/>
        </w:rPr>
        <w:t>R E P U B L I K A   H R V A T S K A</w:t>
      </w:r>
    </w:p>
    <w:p w:rsidRDefault="001C56B5" w:rsidP="001C56B5" w:rsidR="001C56B5" w:rsidRPr="001C56B5">
      <w:pPr>
        <w:spacing w:after="0"/>
        <w:rPr>
          <w:rFonts w:cs="Times New Roman" w:eastAsia="Times New Roman"/>
          <w:lang w:eastAsia="hr-HR"/>
        </w:rPr>
      </w:pPr>
    </w:p>
    <w:p w:rsidRDefault="001C56B5" w:rsidP="001C56B5" w:rsidR="001C56B5" w:rsidRPr="001C56B5">
      <w:pPr>
        <w:tabs>
          <w:tab w:pos="4050" w:val="left"/>
        </w:tabs>
        <w:spacing w:after="0"/>
        <w:rPr>
          <w:rFonts w:cs="Times New Roman" w:eastAsia="Times New Roman"/>
          <w:lang w:eastAsia="hr-HR"/>
        </w:rPr>
      </w:pPr>
      <w:r w:rsidRPr="001C56B5">
        <w:rPr>
          <w:rFonts w:cs="Times New Roman" w:eastAsia="Times New Roman"/>
          <w:lang w:eastAsia="hr-HR"/>
        </w:rPr>
        <w:tab/>
        <w:t>R J E Š E N J E</w:t>
      </w:r>
    </w:p>
    <w:p w:rsidRDefault="001C56B5" w:rsidP="001C56B5" w:rsidR="001C56B5" w:rsidRPr="001C56B5">
      <w:pPr>
        <w:spacing w:after="0"/>
        <w:rPr>
          <w:rFonts w:cs="Times New Roman" w:eastAsia="Times New Roman"/>
          <w:lang w:eastAsia="hr-HR"/>
        </w:rPr>
      </w:pPr>
    </w:p>
    <w:p w:rsidRDefault="001C56B5" w:rsidP="001C56B5" w:rsidR="001C56B5" w:rsidRPr="001C56B5">
      <w:pPr>
        <w:spacing w:after="0"/>
        <w:rPr>
          <w:rFonts w:cs="Times New Roman" w:eastAsia="Times New Roman"/>
          <w:lang w:eastAsia="hr-HR"/>
        </w:rPr>
      </w:pPr>
    </w:p>
    <w:p w:rsidRDefault="001C56B5" w:rsidP="001C56B5" w:rsidR="001C56B5" w:rsidRPr="001C56B5">
      <w:pPr>
        <w:spacing w:after="0"/>
        <w:jc w:val="both"/>
        <w:rPr>
          <w:rFonts w:cs="Times New Roman" w:eastAsia="Times New Roman"/>
          <w:lang w:eastAsia="hr-HR"/>
        </w:rPr>
      </w:pPr>
      <w:r w:rsidRPr="001C56B5">
        <w:rPr>
          <w:rFonts w:cs="Times New Roman" w:eastAsia="Times New Roman"/>
          <w:lang w:eastAsia="hr-HR"/>
        </w:rPr>
        <w:tab/>
        <w:t>Trgovački sud u Zagrebu, Stalna služba u Karlovcu</w:t>
      </w:r>
      <w:r w:rsidRPr="001C56B5">
        <w:rPr>
          <w:rFonts w:cs="Times New Roman" w:eastAsia="Times New Roman"/>
          <w:b/>
          <w:lang w:eastAsia="hr-HR"/>
        </w:rPr>
        <w:t>,</w:t>
      </w:r>
      <w:r w:rsidRPr="001C56B5">
        <w:rPr>
          <w:rFonts w:cs="Times New Roman" w:eastAsia="Times New Roman"/>
          <w:lang w:eastAsia="hr-HR"/>
        </w:rPr>
        <w:t xml:space="preserve"> po sucu Jadranki Mađeruh, kao stečajnom sucu, u stečajnom postupku nad stečajnim dužnikom VAG-TONI d.o.o. u stečaju, Kumrovec, </w:t>
      </w:r>
      <w:proofErr w:type="spellStart"/>
      <w:r w:rsidRPr="001C56B5">
        <w:rPr>
          <w:rFonts w:cs="Times New Roman" w:eastAsia="Times New Roman"/>
          <w:lang w:eastAsia="hr-HR"/>
        </w:rPr>
        <w:t>Razvor</w:t>
      </w:r>
      <w:proofErr w:type="spellEnd"/>
      <w:r w:rsidRPr="001C56B5">
        <w:rPr>
          <w:rFonts w:cs="Times New Roman" w:eastAsia="Times New Roman"/>
          <w:lang w:eastAsia="hr-HR"/>
        </w:rPr>
        <w:t xml:space="preserve"> 10, OIB: 94877026215, 9.  studenog 2018.</w:t>
      </w:r>
    </w:p>
    <w:p w:rsidRDefault="001C56B5" w:rsidP="001C56B5" w:rsidR="001C56B5" w:rsidRPr="001C56B5">
      <w:pPr>
        <w:spacing w:after="0"/>
        <w:rPr>
          <w:rFonts w:cs="Times New Roman" w:eastAsia="Times New Roman"/>
          <w:lang w:eastAsia="hr-HR"/>
        </w:rPr>
      </w:pPr>
    </w:p>
    <w:p w:rsidRDefault="001C56B5" w:rsidP="001C56B5" w:rsidR="001C56B5" w:rsidRPr="001C56B5">
      <w:pPr>
        <w:spacing w:after="0"/>
        <w:jc w:val="center"/>
        <w:rPr>
          <w:rFonts w:cs="Times New Roman" w:eastAsia="Times New Roman"/>
          <w:lang w:eastAsia="hr-HR"/>
        </w:rPr>
      </w:pPr>
      <w:r w:rsidRPr="001C56B5">
        <w:rPr>
          <w:rFonts w:cs="Times New Roman" w:eastAsia="Times New Roman"/>
          <w:lang w:eastAsia="hr-HR"/>
        </w:rPr>
        <w:t>r i j e š i o   j e</w:t>
      </w:r>
    </w:p>
    <w:p w:rsidRDefault="001C56B5" w:rsidP="001C56B5" w:rsidR="001C56B5" w:rsidRPr="001C56B5">
      <w:pPr>
        <w:spacing w:after="0"/>
        <w:rPr>
          <w:rFonts w:cs="Times New Roman" w:eastAsia="Times New Roman"/>
          <w:lang w:eastAsia="hr-HR"/>
        </w:rPr>
      </w:pPr>
    </w:p>
    <w:p w:rsidRDefault="001C56B5" w:rsidP="001C56B5" w:rsidR="001C56B5" w:rsidRPr="001C56B5">
      <w:pPr>
        <w:numPr>
          <w:ilvl w:val="0"/>
          <w:numId w:val="47"/>
        </w:numPr>
        <w:spacing w:after="0"/>
        <w:contextualSpacing/>
        <w:jc w:val="both"/>
        <w:rPr>
          <w:rFonts w:cs="Times New Roman" w:eastAsia="Times New Roman"/>
          <w:lang w:eastAsia="hr-HR"/>
        </w:rPr>
      </w:pPr>
      <w:r w:rsidRPr="001C56B5">
        <w:rPr>
          <w:rFonts w:cs="Times New Roman" w:eastAsia="Times New Roman"/>
          <w:lang w:eastAsia="hr-HR"/>
        </w:rPr>
        <w:t>Pozivaju se na očitovanje vjerovnici stečajne mase i stečajni upravitelj o prijedlogu da stečajna masa nije dostatna ni za namirenje troškova postupka.</w:t>
      </w:r>
    </w:p>
    <w:p w:rsidRDefault="001C56B5" w:rsidP="001C56B5" w:rsidR="001C56B5" w:rsidRPr="001C56B5">
      <w:pPr>
        <w:spacing w:after="0"/>
        <w:ind w:left="1069"/>
        <w:contextualSpacing/>
        <w:jc w:val="both"/>
        <w:rPr>
          <w:rFonts w:cs="Times New Roman" w:eastAsia="Times New Roman"/>
          <w:lang w:eastAsia="hr-HR"/>
        </w:rPr>
      </w:pPr>
    </w:p>
    <w:p w:rsidRDefault="001C56B5" w:rsidP="001C56B5" w:rsidR="001C56B5" w:rsidRPr="001C56B5">
      <w:pPr>
        <w:numPr>
          <w:ilvl w:val="0"/>
          <w:numId w:val="47"/>
        </w:numPr>
        <w:spacing w:after="0"/>
        <w:contextualSpacing/>
        <w:jc w:val="both"/>
        <w:rPr>
          <w:rFonts w:cs="Times New Roman" w:eastAsia="Times New Roman"/>
          <w:lang w:eastAsia="hr-HR"/>
        </w:rPr>
      </w:pPr>
      <w:r w:rsidRPr="001C56B5">
        <w:rPr>
          <w:rFonts w:cs="Times New Roman" w:eastAsia="Times New Roman"/>
          <w:lang w:eastAsia="hr-HR"/>
        </w:rPr>
        <w:t xml:space="preserve">Saziva se Skupština vjerovnika za </w:t>
      </w:r>
      <w:r w:rsidRPr="001C56B5">
        <w:rPr>
          <w:rFonts w:cs="Times New Roman" w:eastAsia="Times New Roman"/>
          <w:b/>
          <w:lang w:eastAsia="hr-HR"/>
        </w:rPr>
        <w:t>29. studenog 2018</w:t>
      </w:r>
      <w:r w:rsidRPr="001C56B5">
        <w:rPr>
          <w:rFonts w:cs="Times New Roman" w:eastAsia="Times New Roman"/>
          <w:lang w:eastAsia="hr-HR"/>
        </w:rPr>
        <w:t>.</w:t>
      </w:r>
      <w:r w:rsidRPr="001C56B5">
        <w:rPr>
          <w:rFonts w:cs="Times New Roman" w:eastAsia="Times New Roman"/>
          <w:b/>
          <w:lang w:eastAsia="hr-HR"/>
        </w:rPr>
        <w:t xml:space="preserve"> u 10,00 sati u zgradi ovog suda u Karlovcu, Trg hrvatskih branitelja 1/II, soba broj 207</w:t>
      </w:r>
      <w:r w:rsidRPr="001C56B5">
        <w:rPr>
          <w:rFonts w:cs="Times New Roman" w:eastAsia="Times New Roman"/>
          <w:lang w:eastAsia="hr-HR"/>
        </w:rPr>
        <w:t>, radi očitovanja o prijedlogu da stečajna masa nije dostatna ni za namirenje troškova postupka.</w:t>
      </w:r>
    </w:p>
    <w:p w:rsidRDefault="001C56B5" w:rsidP="001C56B5" w:rsidR="001C56B5" w:rsidRPr="001C56B5">
      <w:pPr>
        <w:spacing w:after="0"/>
        <w:ind w:left="708"/>
        <w:jc w:val="both"/>
        <w:rPr>
          <w:rFonts w:cs="Times New Roman" w:eastAsia="Times New Roman"/>
          <w:lang w:eastAsia="hr-HR"/>
        </w:rPr>
      </w:pPr>
    </w:p>
    <w:p w:rsidRDefault="001C56B5" w:rsidP="001C56B5" w:rsidR="001C56B5" w:rsidRPr="001C56B5">
      <w:pPr>
        <w:spacing w:after="0"/>
        <w:ind w:left="360"/>
        <w:jc w:val="center"/>
        <w:rPr>
          <w:rFonts w:cs="Times New Roman" w:eastAsia="Times New Roman"/>
          <w:lang w:eastAsia="hr-HR"/>
        </w:rPr>
      </w:pPr>
      <w:r w:rsidRPr="001C56B5">
        <w:rPr>
          <w:rFonts w:cs="Times New Roman" w:eastAsia="Times New Roman"/>
          <w:lang w:eastAsia="hr-HR"/>
        </w:rPr>
        <w:t>Obrazloženje</w:t>
      </w:r>
    </w:p>
    <w:p w:rsidRDefault="001C56B5" w:rsidP="001C56B5" w:rsidR="001C56B5" w:rsidRPr="001C56B5">
      <w:pPr>
        <w:spacing w:after="0"/>
        <w:jc w:val="both"/>
        <w:rPr>
          <w:rFonts w:cs="Times New Roman" w:eastAsia="Times New Roman"/>
          <w:lang w:eastAsia="hr-HR"/>
        </w:rPr>
      </w:pPr>
      <w:r w:rsidRPr="001C56B5">
        <w:rPr>
          <w:rFonts w:cs="Times New Roman" w:eastAsia="Times New Roman"/>
          <w:lang w:eastAsia="hr-HR"/>
        </w:rPr>
        <w:tab/>
      </w:r>
    </w:p>
    <w:p w:rsidRDefault="001C56B5" w:rsidP="001C56B5" w:rsidR="001C56B5" w:rsidRPr="001C56B5">
      <w:pPr>
        <w:spacing w:after="0"/>
        <w:jc w:val="both"/>
        <w:rPr>
          <w:rFonts w:cs="Times New Roman" w:eastAsia="Times New Roman"/>
          <w:lang w:eastAsia="hr-HR"/>
        </w:rPr>
      </w:pPr>
      <w:r w:rsidRPr="001C56B5">
        <w:rPr>
          <w:rFonts w:cs="Times New Roman" w:eastAsia="Times New Roman"/>
          <w:lang w:eastAsia="hr-HR"/>
        </w:rPr>
        <w:tab/>
        <w:t>Stečajni upravitelj je podneskom od 30. listopada 2018. naveo da  imovina dužnika nije dovoljna ni za namirenje troškova stečajnog postupka, pa predlaže da se zaključi stečajni postupak. Naime, prema dostupnoj knjigovodstvenoj evidenciji dužnik ima robe na zalihi u vrijednosti od 96.576,95 kn međutim tu robu stečajni upravitelj nije nikada zatekao niti mu je predana, a kontaktirao je i Državno odvjetništvo u Zlataru od kojih je saznao da dužnik nema apsolutno nikakve imovine.</w:t>
      </w:r>
    </w:p>
    <w:p w:rsidRDefault="001C56B5" w:rsidP="001C56B5" w:rsidR="001C56B5" w:rsidRPr="001C56B5">
      <w:pPr>
        <w:spacing w:after="0"/>
        <w:jc w:val="both"/>
        <w:rPr>
          <w:rFonts w:cs="Times New Roman" w:eastAsia="Times New Roman"/>
          <w:lang w:eastAsia="hr-HR"/>
        </w:rPr>
      </w:pPr>
    </w:p>
    <w:p w:rsidRDefault="001C56B5" w:rsidP="001C56B5" w:rsidR="001C56B5" w:rsidRPr="001C56B5">
      <w:pPr>
        <w:spacing w:after="0"/>
        <w:jc w:val="both"/>
        <w:rPr>
          <w:rFonts w:cs="Times New Roman" w:eastAsia="Times New Roman"/>
          <w:lang w:eastAsia="hr-HR"/>
        </w:rPr>
      </w:pPr>
      <w:r w:rsidRPr="001C56B5">
        <w:rPr>
          <w:rFonts w:cs="Times New Roman" w:eastAsia="Times New Roman"/>
          <w:lang w:eastAsia="hr-HR"/>
        </w:rPr>
        <w:tab/>
        <w:t>Temeljem čl.293. st.1. i 2. Stečajnog zakona (NN 71/15, 104/17) odlučeno je kao u izreci rješenja.</w:t>
      </w:r>
    </w:p>
    <w:p w:rsidRDefault="001C56B5" w:rsidP="001C56B5" w:rsidR="001C56B5" w:rsidRPr="001C56B5">
      <w:pPr>
        <w:spacing w:after="0"/>
        <w:jc w:val="both"/>
        <w:rPr>
          <w:rFonts w:cs="Times New Roman" w:eastAsia="Times New Roman"/>
          <w:lang w:eastAsia="hr-HR"/>
        </w:rPr>
      </w:pPr>
    </w:p>
    <w:p w:rsidRDefault="001C56B5" w:rsidP="001C56B5" w:rsidR="001C56B5" w:rsidRPr="001C56B5">
      <w:pPr>
        <w:spacing w:after="0"/>
        <w:jc w:val="both"/>
        <w:rPr>
          <w:rFonts w:cs="Times New Roman" w:eastAsia="Times New Roman"/>
          <w:lang w:eastAsia="hr-HR"/>
        </w:rPr>
      </w:pPr>
      <w:r w:rsidRPr="001C56B5">
        <w:rPr>
          <w:rFonts w:cs="Times New Roman" w:eastAsia="Times New Roman"/>
          <w:lang w:eastAsia="hr-HR"/>
        </w:rPr>
        <w:t xml:space="preserve">          </w:t>
      </w:r>
      <w:r w:rsidRPr="001C56B5">
        <w:rPr>
          <w:rFonts w:cs="Times New Roman" w:eastAsia="Times New Roman"/>
          <w:lang w:eastAsia="hr-HR"/>
        </w:rPr>
        <w:tab/>
      </w:r>
      <w:r w:rsidRPr="001C56B5">
        <w:rPr>
          <w:rFonts w:cs="Times New Roman" w:eastAsia="Times New Roman"/>
          <w:lang w:eastAsia="hr-HR"/>
        </w:rPr>
        <w:tab/>
      </w:r>
    </w:p>
    <w:p w:rsidRDefault="001C56B5" w:rsidP="001C56B5" w:rsidR="001C56B5" w:rsidRPr="001C56B5">
      <w:pPr>
        <w:spacing w:after="0"/>
        <w:jc w:val="center"/>
        <w:rPr>
          <w:rFonts w:cs="Times New Roman" w:eastAsia="Times New Roman"/>
          <w:lang w:eastAsia="hr-HR"/>
        </w:rPr>
      </w:pPr>
      <w:r w:rsidRPr="001C56B5">
        <w:rPr>
          <w:rFonts w:cs="Times New Roman" w:eastAsia="Times New Roman"/>
          <w:lang w:eastAsia="hr-HR"/>
        </w:rPr>
        <w:t>U Karlovcu, 9. studenog 2018.</w:t>
      </w:r>
    </w:p>
    <w:p w:rsidRDefault="001C56B5" w:rsidP="001C56B5" w:rsidR="001C56B5" w:rsidRPr="001C56B5">
      <w:pPr>
        <w:spacing w:after="0"/>
        <w:jc w:val="both"/>
        <w:rPr>
          <w:rFonts w:cs="Times New Roman" w:eastAsia="Times New Roman"/>
          <w:lang w:eastAsia="hr-HR"/>
        </w:rPr>
      </w:pPr>
    </w:p>
    <w:p w:rsidRDefault="001C56B5" w:rsidP="001C56B5" w:rsidR="001C56B5" w:rsidRPr="001C56B5">
      <w:pPr>
        <w:spacing w:after="0"/>
        <w:ind w:left="5664"/>
        <w:jc w:val="both"/>
        <w:rPr>
          <w:rFonts w:cs="Times New Roman" w:eastAsia="Times New Roman"/>
          <w:lang w:eastAsia="hr-HR"/>
        </w:rPr>
      </w:pPr>
      <w:r w:rsidRPr="001C56B5">
        <w:rPr>
          <w:rFonts w:cs="Times New Roman" w:eastAsia="Times New Roman"/>
          <w:lang w:eastAsia="hr-HR"/>
        </w:rPr>
        <w:t xml:space="preserve">         Stečajni sudac:                                                                                                             </w:t>
      </w:r>
    </w:p>
    <w:p w:rsidRDefault="001C56B5" w:rsidP="001C56B5" w:rsidR="001C56B5">
      <w:pPr>
        <w:spacing w:after="0"/>
        <w:jc w:val="center"/>
        <w:rPr>
          <w:rFonts w:cs="Times New Roman" w:eastAsia="Times New Roman"/>
          <w:lang w:eastAsia="hr-HR"/>
        </w:rPr>
      </w:pPr>
      <w:r w:rsidRPr="001C56B5">
        <w:rPr>
          <w:rFonts w:cs="Times New Roman" w:eastAsia="Times New Roman"/>
          <w:lang w:eastAsia="hr-HR"/>
        </w:rPr>
        <w:t xml:space="preserve">                                                                            Jadranka Mađeruh</w:t>
      </w:r>
      <w:r>
        <w:rPr>
          <w:rFonts w:cs="Times New Roman" w:eastAsia="Times New Roman"/>
          <w:lang w:eastAsia="hr-HR"/>
        </w:rPr>
        <w:t>, v.r.</w:t>
      </w:r>
    </w:p>
    <w:p w:rsidRDefault="001C56B5" w:rsidP="001C56B5" w:rsidR="001C56B5">
      <w:pPr>
        <w:spacing w:after="0"/>
        <w:jc w:val="center"/>
        <w:rPr>
          <w:rFonts w:cs="Times New Roman" w:eastAsia="Times New Roman"/>
          <w:lang w:eastAsia="hr-HR"/>
        </w:rPr>
      </w:pPr>
    </w:p>
    <w:p w:rsidRDefault="001C56B5" w:rsidP="001C56B5" w:rsidR="001C56B5" w:rsidRPr="001C56B5">
      <w:pPr>
        <w:spacing w:after="0"/>
        <w:jc w:val="center"/>
        <w:rPr>
          <w:rFonts w:cs="Times New Roman" w:eastAsia="Times New Roman"/>
          <w:lang w:eastAsia="hr-HR"/>
        </w:rPr>
      </w:pPr>
      <w:r>
        <w:rPr>
          <w:rFonts w:cs="Times New Roman" w:eastAsia="Times New Roman"/>
          <w:lang w:eastAsia="hr-HR"/>
        </w:rPr>
        <w:t xml:space="preserve">                                                                            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r>
        <w:rPr>
          <w:rFonts w:cs="Times New Roman" w:eastAsia="Times New Roman"/>
          <w:lang w:eastAsia="hr-HR"/>
        </w:rPr>
        <w:br/>
        <w:t xml:space="preserve">                                                                        Draženka Prpić</w:t>
      </w:r>
    </w:p>
    <w:p w:rsidRDefault="001C56B5" w:rsidP="001C56B5" w:rsidR="001C56B5" w:rsidRPr="001C56B5">
      <w:pPr>
        <w:spacing w:after="0"/>
        <w:jc w:val="center"/>
        <w:rPr>
          <w:rFonts w:cs="Times New Roman" w:eastAsia="Times New Roman"/>
          <w:lang w:eastAsia="hr-HR"/>
        </w:rPr>
      </w:pPr>
    </w:p>
    <w:p w:rsidRDefault="001C56B5" w:rsidP="001C56B5" w:rsidR="001C56B5" w:rsidRPr="001C56B5">
      <w:pPr>
        <w:tabs>
          <w:tab w:pos="6795" w:val="left"/>
        </w:tabs>
        <w:spacing w:after="0"/>
        <w:rPr>
          <w:rFonts w:cs="Times New Roman" w:eastAsia="Times New Roman"/>
          <w:lang w:eastAsia="hr-HR"/>
        </w:rPr>
      </w:pPr>
      <w:r w:rsidRPr="001C56B5">
        <w:rPr>
          <w:rFonts w:cs="Times New Roman" w:eastAsia="Times New Roman"/>
          <w:lang w:eastAsia="hr-HR"/>
        </w:rP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9B72193"/>
    <w:multiLevelType w:val="hybridMultilevel"/>
    <w:tmpl w:val="0D086728"/>
    <w:lvl w:tplc="9FB8FD54" w:ilvl="0">
      <w:start w:val="1"/>
      <w:numFmt w:val="decimal"/>
      <w:lvlText w:val="%1."/>
      <w:lvlJc w:val="left"/>
      <w:pPr>
        <w:ind w:hanging="360" w:left="1069"/>
      </w:pPr>
    </w:lvl>
    <w:lvl w:tplc="041A0019" w:ilvl="1">
      <w:start w:val="1"/>
      <w:numFmt w:val="lowerLetter"/>
      <w:lvlText w:val="%2."/>
      <w:lvlJc w:val="left"/>
      <w:pPr>
        <w:ind w:hanging="360" w:left="1789"/>
      </w:pPr>
    </w:lvl>
    <w:lvl w:tplc="041A001B" w:ilvl="2">
      <w:start w:val="1"/>
      <w:numFmt w:val="lowerRoman"/>
      <w:lvlText w:val="%3."/>
      <w:lvlJc w:val="right"/>
      <w:pPr>
        <w:ind w:hanging="180" w:left="2509"/>
      </w:pPr>
    </w:lvl>
    <w:lvl w:tplc="041A000F" w:ilvl="3">
      <w:start w:val="1"/>
      <w:numFmt w:val="decimal"/>
      <w:lvlText w:val="%4."/>
      <w:lvlJc w:val="left"/>
      <w:pPr>
        <w:ind w:hanging="360" w:left="3229"/>
      </w:pPr>
    </w:lvl>
    <w:lvl w:tplc="041A0019" w:ilvl="4">
      <w:start w:val="1"/>
      <w:numFmt w:val="lowerLetter"/>
      <w:lvlText w:val="%5."/>
      <w:lvlJc w:val="left"/>
      <w:pPr>
        <w:ind w:hanging="360" w:left="3949"/>
      </w:pPr>
    </w:lvl>
    <w:lvl w:tplc="041A001B" w:ilvl="5">
      <w:start w:val="1"/>
      <w:numFmt w:val="lowerRoman"/>
      <w:lvlText w:val="%6."/>
      <w:lvlJc w:val="right"/>
      <w:pPr>
        <w:ind w:hanging="180" w:left="4669"/>
      </w:pPr>
    </w:lvl>
    <w:lvl w:tplc="041A000F" w:ilvl="6">
      <w:start w:val="1"/>
      <w:numFmt w:val="decimal"/>
      <w:lvlText w:val="%7."/>
      <w:lvlJc w:val="left"/>
      <w:pPr>
        <w:ind w:hanging="360" w:left="5389"/>
      </w:pPr>
    </w:lvl>
    <w:lvl w:tplc="041A0019" w:ilvl="7">
      <w:start w:val="1"/>
      <w:numFmt w:val="lowerLetter"/>
      <w:lvlText w:val="%8."/>
      <w:lvlJc w:val="left"/>
      <w:pPr>
        <w:ind w:hanging="360" w:left="6109"/>
      </w:pPr>
    </w:lvl>
    <w:lvl w:tplc="041A001B" w:ilvl="8">
      <w:start w:val="1"/>
      <w:numFmt w:val="lowerRoman"/>
      <w:lvlText w:val="%9."/>
      <w:lvlJc w:val="right"/>
      <w:pPr>
        <w:ind w:hanging="180" w:left="6829"/>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6B5"/>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3514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St-488/2015-24</izvorni_sadrzaj>
    <derivirana_varijabla naziv="DomainObject.Oznaka_1">St-488/2015-24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St-488/2015</izvorni_sadrzaj>
    <derivirana_varijabla naziv="DomainObject.Predmet.OznakaBroj_1">St-488/2015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 - TONI  d.o.o.</izvorni_sadrzaj>
    <derivirana_varijabla naziv="DomainObject.Predmet.ProtustrankaFormated_1">  VAG - TONI  d.o.o.</derivirana_varijabla>
  </DomainObject.Predmet.ProtustrankaFormated>
  <DomainObject.Predmet.ProtustrankaFormatedOIB>
    <izvorni_sadrzaj>  VAG - TONI  d.o.o., OIB 94877026215</izvorni_sadrzaj>
    <derivirana_varijabla naziv="DomainObject.Predmet.ProtustrankaFormatedOIB_1">  VAG - TONI  d.o.o., OIB 94877026215</derivirana_varijabla>
  </DomainObject.Predmet.ProtustrankaFormatedOIB>
  <DomainObject.Predmet.ProtustrankaFormatedWithAdress>
    <izvorni_sadrzaj> VAG - TONI  d.o.o., Razvor 10, 49295 Kumrovec</izvorni_sadrzaj>
    <derivirana_varijabla naziv="DomainObject.Predmet.ProtustrankaFormatedWithAdress_1"> VAG - TONI  d.o.o., Razvor 10, 49295 Kumrovec</derivirana_varijabla>
  </DomainObject.Predmet.ProtustrankaFormatedWithAdress>
  <DomainObject.Predmet.ProtustrankaFormatedWithAdressOIB>
    <izvorni_sadrzaj> VAG - TONI  d.o.o., OIB 94877026215, Razvor 10, 49295 Kumrovec</izvorni_sadrzaj>
    <derivirana_varijabla naziv="DomainObject.Predmet.ProtustrankaFormatedWithAdressOIB_1"> VAG - TONI  d.o.o., OIB 94877026215, Razvor 10, 49295 Kumrovec</derivirana_varijabla>
  </DomainObject.Predmet.ProtustrankaFormatedWithAdressOIB>
  <DomainObject.Predmet.ProtustrankaWithAdress>
    <izvorni_sadrzaj>VAG - TONI  d.o.o. Razvor 10, 49295 Kumrovec</izvorni_sadrzaj>
    <derivirana_varijabla naziv="DomainObject.Predmet.ProtustrankaWithAdress_1">VAG - TONI  d.o.o. Razvor 10, 49295 Kumrovec</derivirana_varijabla>
  </DomainObject.Predmet.ProtustrankaWithAdress>
  <DomainObject.Predmet.ProtustrankaWithAdressOIB>
    <izvorni_sadrzaj>VAG - TONI  d.o.o., OIB 94877026215, Razvor 10, 49295 Kumrovec</izvorni_sadrzaj>
    <derivirana_varijabla naziv="DomainObject.Predmet.ProtustrankaWithAdressOIB_1">VAG - TONI  d.o.o., OIB 94877026215, Razvor 10, 49295 Kumrovec</derivirana_varijabla>
  </DomainObject.Predmet.ProtustrankaWithAdressOIB>
  <DomainObject.Predmet.ProtustrankaNazivFormated>
    <izvorni_sadrzaj>VAG - TONI  d.o.o.</izvorni_sadrzaj>
    <derivirana_varijabla naziv="DomainObject.Predmet.ProtustrankaNazivFormated_1">VAG - TONI  d.o.o.</derivirana_varijabla>
  </DomainObject.Predmet.ProtustrankaNazivFormated>
  <DomainObject.Predmet.ProtustrankaNazivFormatedOIB>
    <izvorni_sadrzaj>VAG - TONI  d.o.o., OIB 94877026215</izvorni_sadrzaj>
    <derivirana_varijabla naziv="DomainObject.Predmet.ProtustrankaNazivFormatedOIB_1">VAG - TONI  d.o.o., OIB 94877026215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VAG - TONI  d.o.o.</item>
    </izvorni_sadrzaj>
    <derivirana_varijabla naziv="DomainObject.Predmet.ProtuStrankaListFormated_1">
      <item>VAG - TONI  d.o.o.</item>
    </derivirana_varijabla>
  </DomainObject.Predmet.ProtuStrankaListFormated>
  <DomainObject.Predmet.ProtuStrankaListFormatedOIB>
    <izvorni_sadrzaj>
      <item>VAG - TONI  d.o.o., OIB 94877026215</item>
    </izvorni_sadrzaj>
    <derivirana_varijabla naziv="DomainObject.Predmet.ProtuStrankaListFormatedOIB_1">
      <item>VAG - TONI  d.o.o., OIB 94877026215</item>
    </derivirana_varijabla>
  </DomainObject.Predmet.ProtuStrankaListFormatedOIB>
  <DomainObject.Predmet.ProtuStrankaListFormatedWithAdress>
    <izvorni_sadrzaj>
      <item>VAG - TONI  d.o.o., Razvor 10, 49295 Kumrovec</item>
    </izvorni_sadrzaj>
    <derivirana_varijabla naziv="DomainObject.Predmet.ProtuStrankaListFormatedWithAdress_1">
      <item>VAG - TONI  d.o.o., Razvor 10, 49295 Kumrovec</item>
    </derivirana_varijabla>
  </DomainObject.Predmet.ProtuStrankaListFormatedWithAdress>
  <DomainObject.Predmet.ProtuStrankaListFormatedWithAdressOIB>
    <izvorni_sadrzaj>
      <item>VAG - TONI  d.o.o., OIB 94877026215, Razvor 10, 49295 Kumrovec</item>
    </izvorni_sadrzaj>
    <derivirana_varijabla naziv="DomainObject.Predmet.ProtuStrankaListFormatedWithAdressOIB_1">
      <item>VAG - TONI  d.o.o., OIB 94877026215, Razvor 10, 49295 Kumrovec</item>
    </derivirana_varijabla>
  </DomainObject.Predmet.ProtuStrankaListFormatedWithAdressOIB>
  <DomainObject.Predmet.ProtuStrankaListNazivFormated>
    <izvorni_sadrzaj>
      <item>VAG - TONI  d.o.o.</item>
    </izvorni_sadrzaj>
    <derivirana_varijabla naziv="DomainObject.Predmet.ProtuStrankaListNazivFormated_1">
      <item>VAG - TONI  d.o.o.</item>
    </derivirana_varijabla>
  </DomainObject.Predmet.ProtuStrankaListNazivFormated>
  <DomainObject.Predmet.ProtuStrankaListNazivFormatedOIB>
    <izvorni_sadrzaj>
      <item>VAG - TONI  d.o.o., OIB 94877026215</item>
    </izvorni_sadrzaj>
    <derivirana_varijabla naziv="DomainObject.Predmet.ProtuStrankaListNazivFormatedOIB_1">
      <item>VAG - TONI  d.o.o., OIB 94877026215</item>
    </derivirana_varijabla>
  </DomainObject.Predmet.ProtuStrankaListNazivFormatedOIB>
  <DomainObject.Predmet.OstaliListFormated>
    <izvorni_sadrzaj>
      <item>Marijan Belani</item>
    </izvorni_sadrzaj>
    <derivirana_varijabla naziv="DomainObject.Predmet.OstaliListFormated_1">
      <item>Marijan Belani</item>
    </derivirana_varijabla>
  </DomainObject.Predmet.OstaliListFormated>
  <DomainObject.Predmet.OstaliListFormatedOIB>
    <izvorni_sadrzaj>
      <item>Marijan Belani, OIB 73806587468</item>
    </izvorni_sadrzaj>
    <derivirana_varijabla naziv="DomainObject.Predmet.OstaliListFormatedOIB_1">
      <item>Marijan Belani, OIB 73806587468</item>
    </derivirana_varijabla>
  </DomainObject.Predmet.OstaliListFormatedOIB>
  <DomainObject.Predmet.OstaliListFormatedWithAdress>
    <izvorni_sadrzaj>
      <item>Marijan Belani, Ivana Zakmardija Dijankovečkog 4, 48260 Križevci</item>
    </izvorni_sadrzaj>
    <derivirana_varijabla naziv="DomainObject.Predmet.OstaliListFormatedWithAdress_1">
      <item>Marijan Belani, Ivana Zakmardija Dijankovečkog 4, 48260 Križevci</item>
    </derivirana_varijabla>
  </DomainObject.Predmet.OstaliListFormatedWithAdress>
  <DomainObject.Predmet.OstaliListFormatedWithAdressOIB>
    <izvorni_sadrzaj>
      <item>Marijan Belani, OIB 73806587468, Ivana Zakmardija Dijankovečkog 4, 48260 Križevci</item>
    </izvorni_sadrzaj>
    <derivirana_varijabla naziv="DomainObject.Predmet.OstaliListFormatedWithAdressOIB_1">
      <item>Marijan Belani, OIB 73806587468, Ivana Zakmardija Dijankovečkog 4, 48260 Križevci</item>
    </derivirana_varijabla>
  </DomainObject.Predmet.OstaliListFormatedWithAdressOIB>
  <DomainObject.Predmet.OstaliListNazivFormated>
    <izvorni_sadrzaj>
      <item>Marijan Belani</item>
    </izvorni_sadrzaj>
    <derivirana_varijabla naziv="DomainObject.Predmet.OstaliListNazivFormated_1">
      <item>Marijan Belani</item>
    </derivirana_varijabla>
  </DomainObject.Predmet.OstaliListNazivFormated>
  <DomainObject.Predmet.OstaliListNazivFormatedOIB>
    <izvorni_sadrzaj>
      <item>Marijan Belani, OIB 73806587468</item>
    </izvorni_sadrzaj>
    <derivirana_varijabla naziv="DomainObject.Predmet.OstaliListNazivFormatedOIB_1">
      <item>Marijan Belani, OIB 73806587468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St-488/2015-24</izvorni_sadrzaj>
    <derivirana_varijabla naziv="DomainObject.PoslovniBrojDokumenta_1">St-488/2015-24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VAG - TONI  d.o.o.</izvorni_sadrzaj>
    <derivirana_varijabla naziv="DomainObject.Predmet.ProtustrankaIDrugi_1">VAG - TONI  d.o.o.</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VAG - TONI  d.o.o., OIB 94877026215, Razvor 10, 49295 Kumrovec</izvorni_sadrzaj>
    <derivirana_varijabla naziv="DomainObject.Predmet.ProtustrankaIDrugiAdressOIB_1">VAG - TONI  d.o.o., OIB 94877026215, Razvor 10, 49295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VAG - TONI  d.o.o.</item>
      <item>Marijan Belani</item>
    </izvorni_sadrzaj>
    <derivirana_varijabla naziv="DomainObject.Predmet.SudioniciListNaziv_1">
      <item>FINA Regionalni centar Zagreb</item>
      <item>VAG - TONI  d.o.o.</item>
      <item>Marijan Belani</item>
    </derivirana_varijabla>
  </DomainObject.Predmet.SudioniciListNaziv>
  <DomainObject.Predmet.SudioniciListAdressOIB>
    <izvorni_sadrzaj>
      <item>FINA Regionalni centar Zagreb, OIB 85821130368</item>
      <item>VAG - TONI  d.o.o., OIB 94877026215, Razvor 10,49295 Kumrovec</item>
      <item>Marijan Belani, OIB 73806587468, Ivana Zakmardija Dijankovečkog 4,48260 Križevci</item>
    </izvorni_sadrzaj>
    <derivirana_varijabla naziv="DomainObject.Predmet.SudioniciListAdressOIB_1">
      <item>FINA Regionalni centar Zagreb, OIB 85821130368</item>
      <item>VAG - TONI  d.o.o., OIB 94877026215, Razvor 10,49295 Kumrovec</item>
      <item>Marijan Belani, OIB 73806587468, Ivana Zakmardija Dijankovečkog 4,48260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199C23-067E-4359-9E72-52F428228E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251</properties:Words>
  <properties:Characters>1275</properties:Characters>
  <properties:Lines>47</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2018-11-09T13:16:00Z</cp:lastPrinted>
  <dcterms:modified xmlns:xsi="http://www.w3.org/2001/XMLSchema-instance" xsi:type="dcterms:W3CDTF">2018-11-09T13:16:00Z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St-488/2015-24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