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6065" w14:paraId="a8c606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E7DF2" w:rsidP="00BE7DF2" w:rsidR="00BE7DF2" w:rsidRPr="00BE7DF2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BE7DF2">
        <w:rPr>
          <w:rFonts w:cs="Times New Roman" w:eastAsia="Times New Roman"/>
          <w:lang w:eastAsia="hr-HR"/>
        </w:rPr>
        <w:t>TRGOVAČKI SUD U SPLITU</w:t>
      </w: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                      ZA</w:t>
      </w:r>
    </w:p>
    <w:p w:rsidRDefault="00BE7DF2" w:rsidP="00BE7DF2" w:rsidR="00BE7DF2" w:rsidRPr="00BE7DF2">
      <w:pPr>
        <w:spacing w:after="0"/>
        <w:rPr>
          <w:rFonts w:cs="Times New Roman" w:eastAsia="Times New Roman"/>
          <w:u w:val="single"/>
          <w:lang w:eastAsia="hr-HR"/>
        </w:rPr>
      </w:pPr>
      <w:r w:rsidRPr="00BE7DF2">
        <w:rPr>
          <w:rFonts w:cs="Times New Roman" w:eastAsia="Times New Roman"/>
          <w:u w:val="single"/>
          <w:lang w:eastAsia="hr-HR"/>
        </w:rPr>
        <w:t>VISOKI  TRGOVAČKI SUD RH</w:t>
      </w:r>
    </w:p>
    <w:p w:rsidRDefault="00BE7DF2" w:rsidP="00BE7DF2" w:rsidR="00BE7DF2" w:rsidRPr="00BE7DF2">
      <w:pPr>
        <w:spacing w:after="0"/>
        <w:rPr>
          <w:rFonts w:cs="Times New Roman" w:eastAsia="Times New Roman"/>
          <w:u w:val="single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                </w:t>
      </w:r>
      <w:r w:rsidRPr="00BE7DF2">
        <w:rPr>
          <w:rFonts w:cs="Times New Roman" w:eastAsia="Times New Roman"/>
          <w:u w:val="single"/>
          <w:lang w:eastAsia="hr-HR"/>
        </w:rPr>
        <w:t>Z A G R E B</w:t>
      </w: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b/>
          <w:i/>
          <w:lang w:eastAsia="hr-HR"/>
        </w:rPr>
      </w:pPr>
      <w:r w:rsidRPr="00BE7DF2">
        <w:rPr>
          <w:rFonts w:cs="Times New Roman" w:eastAsia="Times New Roman"/>
          <w:b/>
          <w:i/>
          <w:lang w:eastAsia="hr-HR"/>
        </w:rPr>
        <w:t xml:space="preserve">Dostavlja se spis (Duplikat spisa) radi donošenja odluke povodom žalbe. 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E7DF2">
        <w:rPr>
          <w:rFonts w:cs="Times New Roman" w:eastAsia="Times New Roman"/>
          <w:b/>
          <w:i/>
          <w:u w:val="single"/>
          <w:lang w:eastAsia="hr-HR"/>
        </w:rPr>
        <w:t>Naziv, datum i broj pobijane  odluke</w:t>
      </w:r>
      <w:r w:rsidRPr="00BE7DF2">
        <w:rPr>
          <w:rFonts w:cs="Times New Roman" w:eastAsia="Times New Roman"/>
          <w:b/>
          <w:u w:val="single"/>
          <w:lang w:eastAsia="hr-HR"/>
        </w:rPr>
        <w:t xml:space="preserve">: 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>Rješenje o utvrđenju osporavanja tražbine, od 25. svibnja 2016. godine, broj: 14. St-1106/2015. (list: 236. do 239. spisa).</w:t>
      </w: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b/>
          <w:i/>
          <w:u w:val="single"/>
          <w:lang w:eastAsia="hr-HR"/>
        </w:rPr>
      </w:pPr>
      <w:r w:rsidRPr="00BE7DF2">
        <w:rPr>
          <w:rFonts w:cs="Times New Roman" w:eastAsia="Times New Roman"/>
          <w:b/>
          <w:i/>
          <w:u w:val="single"/>
          <w:lang w:eastAsia="hr-HR"/>
        </w:rPr>
        <w:t>Tko i kada je izjavio žalbu: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Vjerovnik: REPUBLIKA HRVATSKA, Ministarstvo zdravlja, po Županijskome državnom odvjetništvu u Splitu kao zastupniku po zakonu, neposredno </w:t>
      </w:r>
      <w:r w:rsidRPr="00BE7DF2">
        <w:rPr>
          <w:rFonts w:cs="Times New Roman" w:eastAsia="Times New Roman"/>
          <w:i/>
          <w:lang w:eastAsia="hr-HR"/>
        </w:rPr>
        <w:t>iz ruke</w:t>
      </w:r>
      <w:r w:rsidRPr="00BE7DF2">
        <w:rPr>
          <w:rFonts w:cs="Times New Roman" w:eastAsia="Times New Roman"/>
          <w:lang w:eastAsia="hr-HR"/>
        </w:rPr>
        <w:t>, predajom u pisarnici Suda dana 02. lipnja 2016. godine (list: 241. do 243. spisa).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b/>
          <w:i/>
          <w:u w:val="single"/>
          <w:lang w:eastAsia="hr-HR"/>
        </w:rPr>
      </w:pPr>
      <w:r w:rsidRPr="00BE7DF2">
        <w:rPr>
          <w:rFonts w:cs="Times New Roman" w:eastAsia="Times New Roman"/>
          <w:b/>
          <w:i/>
          <w:u w:val="single"/>
          <w:lang w:eastAsia="hr-HR"/>
        </w:rPr>
        <w:t>Kada je pobijana odluka dostavljena podnositelju žalbe: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Rješenje je dostavljeno Žalitelju objavom na mrežnoj stranici e-Oglasne ploče sudova dana 03. lipnja 2016. godine (danas), istekom osmog dana od dana objave (članak 12, stavak 1, Stečajnog zakona, </w:t>
      </w:r>
      <w:r w:rsidRPr="00BE7DF2">
        <w:rPr>
          <w:rFonts w:cs="Times New Roman" w:eastAsia="Times New Roman"/>
          <w:i/>
          <w:lang w:eastAsia="hr-HR"/>
        </w:rPr>
        <w:t>Narodne novine</w:t>
      </w:r>
      <w:r w:rsidRPr="00BE7DF2">
        <w:rPr>
          <w:rFonts w:cs="Times New Roman" w:eastAsia="Times New Roman"/>
          <w:lang w:eastAsia="hr-HR"/>
        </w:rPr>
        <w:t>, br: 71/15, SZ (list: 240, spisa). Rješenje je objavljeno na mrežnoj stranici e-Oglasna ploča sudova dana 25. svibnja 2016. godine (list: 240. spisa).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b/>
          <w:i/>
          <w:lang w:eastAsia="hr-HR"/>
        </w:rPr>
        <w:t>Odgovor na žalbu:</w:t>
      </w:r>
      <w:r w:rsidRPr="00BE7DF2">
        <w:rPr>
          <w:rFonts w:cs="Times New Roman" w:eastAsia="Times New Roman"/>
          <w:lang w:eastAsia="hr-HR"/>
        </w:rPr>
        <w:t xml:space="preserve">  Nije dostavljen.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b/>
          <w:i/>
          <w:lang w:eastAsia="hr-HR"/>
        </w:rPr>
        <w:t>Prilažu se</w:t>
      </w:r>
      <w:r w:rsidRPr="00BE7DF2">
        <w:rPr>
          <w:rFonts w:cs="Times New Roman" w:eastAsia="Times New Roman"/>
          <w:i/>
          <w:lang w:eastAsia="hr-HR"/>
        </w:rPr>
        <w:t>:</w:t>
      </w:r>
      <w:r w:rsidRPr="00BE7DF2">
        <w:rPr>
          <w:rFonts w:cs="Times New Roman" w:eastAsia="Times New Roman"/>
          <w:lang w:eastAsia="hr-HR"/>
        </w:rPr>
        <w:t xml:space="preserve"> prijepis odluke, žalba, dostavnica (o stavljanju na mrežnu stranicu e-Oglasna ploča sudova dana 25. svibnja 2016. godine) te </w:t>
      </w:r>
      <w:r w:rsidRPr="00BE7DF2">
        <w:rPr>
          <w:rFonts w:cs="Times New Roman" w:eastAsia="Times New Roman"/>
          <w:u w:val="single"/>
          <w:lang w:eastAsia="hr-HR"/>
        </w:rPr>
        <w:t>dio spisa u presliku</w:t>
      </w:r>
      <w:r w:rsidRPr="00BE7DF2">
        <w:rPr>
          <w:rFonts w:cs="Times New Roman" w:eastAsia="Times New Roman"/>
          <w:lang w:eastAsia="hr-HR"/>
        </w:rPr>
        <w:t xml:space="preserve"> u dijelu na koji se žalba odnosi (list: 1. do 243. spisa), sukladno članku 19, stavak 5, SZ. 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Prijavljena tražbina vjerovnika REPUBLIKA HRVATSKA, Ministarstvo zdravlja, list: 94. do 208. spisa.  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>U postupku koji je prethodio donošenju pobijanog rješenja, prema stajalištu ovog Suda prvog stupnja, nisu povrijeđene odredbe postupka.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BE7DF2">
        <w:rPr>
          <w:rFonts w:cs="Times New Roman" w:eastAsia="Times New Roman"/>
          <w:b/>
          <w:u w:val="single"/>
          <w:lang w:eastAsia="hr-HR"/>
        </w:rPr>
        <w:t>Upućujemo kako sukladno članku 51, stavak 3, SZ, drugostupanjski sud je o žalbi dužan odlučiti u roku od osam dana od dana primitka.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Ovaj prvostupanjski Sud dodatno ističe kako je samo sporno pravno pitanje: je li </w:t>
      </w:r>
      <w:r w:rsidRPr="00BE7DF2">
        <w:rPr>
          <w:rFonts w:cs="Times New Roman" w:eastAsia="Times New Roman"/>
          <w:i/>
          <w:lang w:eastAsia="hr-HR"/>
        </w:rPr>
        <w:t>postupak osiguranja dokaza</w:t>
      </w:r>
      <w:r w:rsidRPr="00BE7DF2">
        <w:rPr>
          <w:rFonts w:cs="Times New Roman" w:eastAsia="Times New Roman"/>
          <w:lang w:eastAsia="hr-HR"/>
        </w:rPr>
        <w:t xml:space="preserve"> kojeg je Vjerovnik pokrenuo prije podnošenja prijedloga za otvaranje 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E7DF2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BE7DF2">
        <w:rPr>
          <w:rFonts w:cs="Times New Roman" w:eastAsia="Times New Roman"/>
          <w:b/>
          <w:lang w:eastAsia="hr-HR"/>
        </w:rPr>
        <w:t xml:space="preserve"> - 2 -</w:t>
      </w:r>
      <w:r w:rsidRPr="00BE7DF2">
        <w:rPr>
          <w:rFonts w:cs="Times New Roman" w:eastAsia="Times New Roman"/>
          <w:lang w:eastAsia="hr-HR"/>
        </w:rPr>
        <w:t xml:space="preserve">                              </w:t>
      </w:r>
      <w:r w:rsidRPr="00BE7DF2">
        <w:rPr>
          <w:rFonts w:cs="Times New Roman" w:eastAsia="Times New Roman"/>
          <w:b/>
          <w:lang w:eastAsia="hr-HR"/>
        </w:rPr>
        <w:t>Broj: 14. St-1106/2015.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predstečajnog postupka i na kojem postupku temelji osporenu tražbinu, potpada pod članak 64, stavak 1, točka 3, SZ, tj, je li </w:t>
      </w:r>
      <w:r w:rsidRPr="00BE7DF2">
        <w:rPr>
          <w:rFonts w:cs="Times New Roman" w:eastAsia="Times New Roman"/>
          <w:i/>
          <w:lang w:eastAsia="hr-HR"/>
        </w:rPr>
        <w:t>postupak osiguranja dokaza</w:t>
      </w:r>
      <w:r w:rsidRPr="00BE7DF2">
        <w:rPr>
          <w:rFonts w:cs="Times New Roman" w:eastAsia="Times New Roman"/>
          <w:lang w:eastAsia="hr-HR"/>
        </w:rPr>
        <w:t xml:space="preserve"> predstavlja </w:t>
      </w:r>
      <w:r w:rsidRPr="00BE7DF2">
        <w:rPr>
          <w:rFonts w:cs="Times New Roman" w:eastAsia="Times New Roman"/>
          <w:i/>
          <w:lang w:eastAsia="hr-HR"/>
        </w:rPr>
        <w:t>...radnju pred sudom ili drugim nadležnim tijelom prije podnošenja prijedloga za otvaranje predstečajnog postupka...</w:t>
      </w:r>
      <w:r w:rsidRPr="00BE7DF2">
        <w:rPr>
          <w:rFonts w:cs="Times New Roman" w:eastAsia="Times New Roman"/>
          <w:lang w:eastAsia="hr-HR"/>
        </w:rPr>
        <w:t xml:space="preserve"> koju je radnju (osiguranje dokaza) Vjerovnik poduzeo protiv Dužnika prije pokretanja ovoga predstečajnog postupka, je li taj postupak predstavlja postupak ...</w:t>
      </w:r>
      <w:r w:rsidRPr="00BE7DF2">
        <w:rPr>
          <w:rFonts w:cs="Times New Roman" w:eastAsia="Times New Roman"/>
          <w:i/>
          <w:lang w:eastAsia="hr-HR"/>
        </w:rPr>
        <w:t>utvrđivanja, osiguranja ili ostvarenja...</w:t>
      </w:r>
      <w:r w:rsidRPr="00BE7DF2">
        <w:rPr>
          <w:rFonts w:cs="Times New Roman" w:eastAsia="Times New Roman"/>
          <w:lang w:eastAsia="hr-HR"/>
        </w:rPr>
        <w:t xml:space="preserve"> tražbine Vjerovnika iz članka 64, stavak 1, točka 3, SZ. </w:t>
      </w:r>
    </w:p>
    <w:p w:rsidRDefault="00BE7DF2" w:rsidP="00BE7DF2" w:rsidR="00BE7DF2" w:rsidRPr="00BE7DF2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Ovaj prvostupanjski Sud je stajališta kako </w:t>
      </w:r>
      <w:r w:rsidRPr="00BE7DF2">
        <w:rPr>
          <w:rFonts w:cs="Times New Roman" w:eastAsia="Times New Roman"/>
          <w:i/>
          <w:lang w:eastAsia="hr-HR"/>
        </w:rPr>
        <w:t>postupak osiguranja dokaza</w:t>
      </w:r>
      <w:r w:rsidRPr="00BE7DF2">
        <w:rPr>
          <w:rFonts w:cs="Times New Roman" w:eastAsia="Times New Roman"/>
          <w:lang w:eastAsia="hr-HR"/>
        </w:rPr>
        <w:t xml:space="preserve">, nije postupak </w:t>
      </w:r>
      <w:r w:rsidRPr="00BE7DF2">
        <w:rPr>
          <w:rFonts w:cs="Times New Roman" w:eastAsia="Times New Roman"/>
          <w:i/>
          <w:lang w:eastAsia="hr-HR"/>
        </w:rPr>
        <w:t xml:space="preserve">utvrđivanja, osiguranja ili ostvarenja </w:t>
      </w:r>
      <w:r w:rsidRPr="00BE7DF2">
        <w:rPr>
          <w:rFonts w:cs="Times New Roman" w:eastAsia="Times New Roman"/>
          <w:lang w:eastAsia="hr-HR"/>
        </w:rPr>
        <w:t xml:space="preserve">tražbine već je to samo </w:t>
      </w:r>
      <w:r w:rsidRPr="00BE7DF2">
        <w:rPr>
          <w:rFonts w:cs="Times New Roman" w:eastAsia="Times New Roman"/>
          <w:i/>
          <w:lang w:eastAsia="hr-HR"/>
        </w:rPr>
        <w:t xml:space="preserve">postupak osiguranja dokaza. </w:t>
      </w:r>
      <w:r w:rsidRPr="00BE7DF2">
        <w:rPr>
          <w:rFonts w:cs="Times New Roman" w:eastAsia="Times New Roman"/>
          <w:lang w:eastAsia="hr-HR"/>
        </w:rPr>
        <w:t>Radi se o postupku osiguranja dokaza kojima će se tražbina dokazivati u parnici a ne o postupku osiguranja iste te tražbine. Zbog toga je ovaj Sud na istome ročištu i upoznao prisutne kako nisu ispunjene pretpostavke za obustavu ovoga predstečajnog postupka i da se postupak nastavlja sukladno SZ.</w:t>
      </w:r>
    </w:p>
    <w:p w:rsidRDefault="00BE7DF2" w:rsidP="00BE7DF2" w:rsidR="00BE7DF2" w:rsidRPr="00BE7DF2">
      <w:pPr>
        <w:spacing w:after="0"/>
        <w:ind w:left="36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>Split, 03. lipnja 2016. godine.                                                  S U DAC:</w:t>
      </w:r>
    </w:p>
    <w:p w:rsidRDefault="00BE7DF2" w:rsidP="00BE7DF2" w:rsidR="00BE7DF2" w:rsidRPr="00BE7DF2">
      <w:pPr>
        <w:spacing w:after="0"/>
        <w:jc w:val="center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lang w:eastAsia="hr-HR"/>
        </w:rPr>
        <w:t xml:space="preserve">                                                               Jozo Ćaleta,</w:t>
      </w: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  <w:r w:rsidRPr="00BE7DF2">
        <w:rPr>
          <w:rFonts w:cs="Times New Roman" w:eastAsia="Times New Roman"/>
          <w:u w:val="single"/>
          <w:lang w:eastAsia="hr-HR"/>
        </w:rPr>
        <w:t>Prilog:</w:t>
      </w:r>
      <w:r w:rsidRPr="00BE7DF2">
        <w:rPr>
          <w:rFonts w:cs="Times New Roman" w:eastAsia="Times New Roman"/>
          <w:lang w:eastAsia="hr-HR"/>
        </w:rPr>
        <w:t xml:space="preserve"> kao u tekstu.</w:t>
      </w: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jc w:val="both"/>
        <w:rPr>
          <w:rFonts w:cs="Times New Roman" w:eastAsia="Times New Roman"/>
          <w:lang w:eastAsia="hr-HR"/>
        </w:rPr>
      </w:pPr>
    </w:p>
    <w:p w:rsidRDefault="00BE7DF2" w:rsidP="00BE7DF2" w:rsidR="00BE7DF2" w:rsidRPr="00BE7DF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DF2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9809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St-1106/2015-74</izvorni_sadrzaj>
    <derivirana_varijabla naziv="DomainObject.Oznaka_1">St-1106/2015-74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CETINA dioničko društvo za izgradnju vodnih građevina i građevinarstvo</izvorni_sadrzaj>
    <derivirana_varijabla naziv="DomainObject.Predmet.StrankaFormated_1">  CETINA dioničko društvo za izgradnju vodnih građevina i građevinarstvo</derivirana_varijabla>
  </DomainObject.Predmet.StrankaFormated>
  <DomainObject.Predmet.StrankaFormatedOIB>
    <izvorni_sadrzaj>  CETINA dioničko društvo za izgradnju vodnih građevina i građevinarstvo, OIB 98900394029</izvorni_sadrzaj>
    <derivirana_varijabla naziv="DomainObject.Predmet.StrankaFormatedOIB_1">  CETINA dioničko društvo za izgradnju vodnih građevina i građevinarstvo, OIB 98900394029</derivirana_varijabla>
  </DomainObject.Predmet.StrankaFormatedOIB>
  <DomainObject.Predmet.StrankaFormatedWithAdress>
    <izvorni_sadrzaj> CETINA dioničko društvo za izgradnju vodnih građevina i građevinarstvo, Ulica Miljenka Buljana 35, 21230 Sinj</izvorni_sadrzaj>
    <derivirana_varijabla naziv="DomainObject.Predmet.StrankaFormatedWithAdress_1"> CETINA dioničko društvo za izgradnju vodnih građevina i građevinarstvo, Ulica Miljenka Buljana 35, 21230 Sinj</derivirana_varijabla>
  </DomainObject.Predmet.StrankaFormatedWithAdress>
  <DomainObject.Predmet.StrankaFormatedWithAdressOIB>
    <izvorni_sadrzaj> CETINA dioničko društvo za izgradnju vodnih građevina i građevinarstvo, OIB 98900394029, Ulica Miljenka Buljana 35, 21230 Sinj</izvorni_sadrzaj>
    <derivirana_varijabla naziv="DomainObject.Predmet.StrankaFormatedWithAdressOIB_1"> CETINA dioničko društvo za izgradnju vodnih građevina i građevinarstvo, OIB 98900394029, Ulica Miljenka Buljana 35, 21230 Sinj</derivirana_varijabla>
  </DomainObject.Predmet.StrankaFormatedWithAdressOIB>
  <DomainObject.Predmet.StrankaWithAdress>
    <izvorni_sadrzaj>CETINA dioničko društvo za izgradnju vodnih građevina i građevinarstvo Ulica Miljenka Buljana 35,21230 Sinj</izvorni_sadrzaj>
    <derivirana_varijabla naziv="DomainObject.Predmet.StrankaWithAdress_1">CETINA dioničko društvo za izgradnju vodnih građevina i građevinarstvo Ulica Miljenka Buljana 35,21230 Sinj</derivirana_varijabla>
  </DomainObject.Predmet.StrankaWithAdress>
  <DomainObject.Predmet.StrankaWithAdressOIB>
    <izvorni_sadrzaj>CETINA dioničko društvo za izgradnju vodnih građevina i građevinarstvo, OIB 98900394029, Ulica Miljenka Buljana 35,21230 Sinj</izvorni_sadrzaj>
    <derivirana_varijabla naziv="DomainObject.Predmet.StrankaWithAdressOIB_1">CETINA dioničko društvo za izgradnju vodnih građevina i građevinarstvo, OIB 98900394029, Ulica Miljenka Buljana 35,21230 Sinj</derivirana_varijabla>
  </DomainObject.Predmet.StrankaWithAdressOIB>
  <DomainObject.Predmet.StrankaNazivFormated>
    <izvorni_sadrzaj>CETINA dioničko društvo za izgradnju vodnih građevina i građevinarstvo</izvorni_sadrzaj>
    <derivirana_varijabla naziv="DomainObject.Predmet.StrankaNazivFormated_1">CETINA dioničko društvo za izgradnju vodnih građevina i građevinarstvo</derivirana_varijabla>
  </DomainObject.Predmet.StrankaNazivFormated>
  <DomainObject.Predmet.StrankaNazivFormatedOIB>
    <izvorni_sadrzaj>CETINA dioničko društvo za izgradnju vodnih građevina i građevinarstvo, OIB 98900394029</izvorni_sadrzaj>
    <derivirana_varijabla naziv="DomainObject.Predmet.StrankaNazivFormatedOIB_1">CETINA dioničko društvo za izgradnju vodnih građevina i građevinarstvo, OIB 98900394029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CETINA dioničko društvo za izgradnju vodnih građevina i građevinarstvo</item>
    </izvorni_sadrzaj>
    <derivirana_varijabla naziv="DomainObject.Predmet.StrankaListFormated_1">
      <item>CETINA dioničko društvo za izgradnju vodnih građevina i građevinarstvo</item>
    </derivirana_varijabla>
  </DomainObject.Predmet.StrankaListFormated>
  <DomainObject.Predmet.StrankaListFormatedOIB>
    <izvorni_sadrzaj>
      <item>CETINA dioničko društvo za izgradnju vodnih građevina i građevinarstvo, OIB 98900394029</item>
    </izvorni_sadrzaj>
    <derivirana_varijabla naziv="DomainObject.Predmet.StrankaListFormatedOIB_1">
      <item>CETINA dioničko društvo za izgradnju vodnih građevina i građevinarstvo, OIB 98900394029</item>
    </derivirana_varijabla>
  </DomainObject.Predmet.StrankaListFormatedOIB>
  <DomainObject.Predmet.StrankaListFormatedWithAdress>
    <izvorni_sadrzaj>
      <item>CETINA dioničko društvo za izgradnju vodnih građevina i građevinarstvo, Ulica Miljenka Buljana 35, 21230 Sinj</item>
    </izvorni_sadrzaj>
    <derivirana_varijabla naziv="DomainObject.Predmet.StrankaListFormatedWithAdress_1">
      <item>CETINA dioničko društvo za izgradnju vodnih građevina i građevinarstvo, Ulica Miljenka Buljana 35, 21230 Sinj</item>
    </derivirana_varijabla>
  </DomainObject.Predmet.StrankaListFormatedWithAdress>
  <DomainObject.Predmet.StrankaListFormatedWithAdressOIB>
    <izvorni_sadrzaj>
      <item>CETINA dioničko društvo za izgradnju vodnih građevina i građevinarstvo, OIB 98900394029, Ulica Miljenka Buljana 35, 21230 Sinj</item>
    </izvorni_sadrzaj>
    <derivirana_varijabla naziv="DomainObject.Predmet.StrankaListFormatedWithAdressOIB_1">
      <item>CETINA dioničko društvo za izgradnju vodnih građevina i građevinarstvo, OIB 98900394029, Ulica Miljenka Buljana 35, 21230 Sinj</item>
    </derivirana_varijabla>
  </DomainObject.Predmet.StrankaListFormatedWithAdressOIB>
  <DomainObject.Predmet.StrankaListNazivFormated>
    <izvorni_sadrzaj>
      <item>CETINA dioničko društvo za izgradnju vodnih građevina i građevinarstvo</item>
    </izvorni_sadrzaj>
    <derivirana_varijabla naziv="DomainObject.Predmet.StrankaListNazivFormated_1">
      <item>CETINA dioničko društvo za izgradnju vodnih građevina i građevinarstvo</item>
    </derivirana_varijabla>
  </DomainObject.Predmet.StrankaListNazivFormated>
  <DomainObject.Predmet.StrankaListNazivFormatedOIB>
    <izvorni_sadrzaj>
      <item>CETINA dioničko društvo za izgradnju vodnih građevina i građevinarstvo, OIB 98900394029</item>
    </izvorni_sadrzaj>
    <derivirana_varijabla naziv="DomainObject.Predmet.StrankaListNazivFormatedOIB_1">
      <item>CETINA dioničko društvo za izgradnju vodnih građevina i građevinarstvo, OIB 98900394029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>St-1106/2015-74</izvorni_sadrzaj>
    <derivirana_varijabla naziv="DomainObject.PoslovniBrojDokumenta_1">St-1106/2015-74</derivirana_varijabla>
  </DomainObject.PoslovniBrojDokumenta>
  <DomainObject.Predmet.StrankaIDrugi>
    <izvorni_sadrzaj>CETINA dioničko društvo za izgradnju vodnih građevina i građevinarstvo</izvorni_sadrzaj>
    <derivirana_varijabla naziv="DomainObject.Predmet.StrankaIDrugi_1">CETINA dioničko društvo za izgradnju vodnih građevina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CETINA dioničko društvo za izgradnju vodnih građevina i građevinarstvo, OIB 98900394029, Ulica Miljenka Buljana 35, 21230 Sinj</izvorni_sadrzaj>
    <derivirana_varijabla naziv="DomainObject.Predmet.StrankaIDrugiAdressOIB_1">CETINA dioničko društvo za izgradnju vodnih građevina i građevinarstvo, OIB 98900394029, Ulica Miljenka Buljana 35, 21230 Sinj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CETINA dioničko društvo za izgradnju vodnih građevina i građevinarstvo</item>
    </izvorni_sadrzaj>
    <derivirana_varijabla naziv="DomainObject.Predmet.SudioniciListNaziv_1">
      <item>CETINA dioničko društvo za izgradnju vodnih građevina i građevinarstvo</item>
    </derivirana_varijabla>
  </DomainObject.Predmet.SudioniciListNaziv>
  <DomainObject.Predmet.SudioniciListAdressOIB>
    <izvorni_sadrzaj>
      <item>CETINA dioničko društvo za izgradnju vodnih građevina i građevinarstvo, OIB 98900394029, Ulica Miljenka Buljana 35,21230 Sinj</item>
    </izvorni_sadrzaj>
    <derivirana_varijabla naziv="DomainObject.Predmet.SudioniciListAdressOIB_1">
      <item>CETINA dioničko društvo za izgradnju vodnih građevina i građevinarstvo, OIB 98900394029, Ulica Miljenka Buljana 35,21230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70227-B4EC-42D4-AEC8-4301C9D00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437</properties:Words>
  <properties:Characters>2487</properties:Characters>
  <properties:Lines>86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2016-06-03T10:56:00Z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St-1106/2015-74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