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bf2" w14:paraId="d357bf2" w:rsidRDefault="00DA2A61" w:rsidP="001E78BA" w:rsidR="00DA2A61" w:rsidRPr="00D13193">
      <w:pPr>
        <w:spacing w:lineRule="auto" w:line="240" w:after="0" w:befor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3193">
        <w:rPr>
          <w:rFonts w:cs="Times New Roman" w:hAnsi="Times New Roman" w:ascii="Times New Roman"/>
          <w:b/>
          <w:sz w:val="24"/>
          <w:szCs w:val="24"/>
        </w:rPr>
        <w:t xml:space="preserve">TRGOVAČKI SUD U ZAGREBU </w:t>
      </w:r>
    </w:p>
    <w:p w:rsidRDefault="00DA2A61" w:rsidP="001E78BA" w:rsidR="00DA2A61" w:rsidRPr="00D13193">
      <w:pPr>
        <w:spacing w:lineRule="auto" w:line="240" w:after="0" w:before="24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>TEHNO ZONE d.o.o. u stečaju</w:t>
      </w:r>
    </w:p>
    <w:p w:rsidRDefault="00DA2A61" w:rsidP="001E78BA" w:rsidR="00DA2A61" w:rsidRPr="00D13193">
      <w:pPr>
        <w:spacing w:lineRule="auto" w:line="240" w:after="0" w:before="24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Zagreb, Zeleni trg 3</w:t>
      </w:r>
    </w:p>
    <w:p w:rsidRDefault="00DA2A61" w:rsidP="001E78BA" w:rsidR="00DA2A61" w:rsidRPr="00D13193">
      <w:pPr>
        <w:spacing w:lineRule="auto" w:line="240" w:after="0" w:before="24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OIB: 63255398984</w:t>
      </w:r>
    </w:p>
    <w:p w:rsidRDefault="00DA2A61" w:rsidP="001E78BA" w:rsidR="00DA2A61" w:rsidRPr="00D13193">
      <w:pPr>
        <w:spacing w:lineRule="auto" w:line="240" w:after="0" w:before="24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St-4081/16</w:t>
      </w:r>
    </w:p>
    <w:p w:rsidRDefault="00DA2A61" w:rsidP="00D13193" w:rsidR="00DA2A61" w:rsidRPr="00D13193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IZVJEŠĆE STEČAJNOG UPRAVITELJA</w:t>
      </w:r>
    </w:p>
    <w:p w:rsidRDefault="00DA2A61" w:rsidP="00D13193" w:rsidR="00DA2A61" w:rsidRPr="00D13193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ZA IZVJEŠTAJNO ROČIŠTE</w:t>
      </w:r>
    </w:p>
    <w:p w:rsidRDefault="00DA2A61" w:rsidP="00DA2A61" w:rsidR="00DA2A61" w:rsidRPr="00D1319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I.  TIJEK STEČAJNOGA POSTUPKA U RAZDOBLJU OD 10. siječnja 2018. DO 20.travnja 2018.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Uvodno – podaci i gospodarski položaj dužnika i njegovi uzroci: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Temeljem prijedloga Financijske agencije, RC Zagreb, Podružnica Zagreb, Ulica grada Vukovara 70, </w:t>
      </w:r>
      <w:r w:rsidR="001E78BA">
        <w:rPr>
          <w:rFonts w:cs="Times New Roman" w:hAnsi="Times New Roman" w:ascii="Times New Roman"/>
          <w:sz w:val="24"/>
          <w:szCs w:val="24"/>
        </w:rPr>
        <w:t xml:space="preserve">od 28.travnja 2016., </w:t>
      </w:r>
      <w:r w:rsidRPr="00D13193">
        <w:rPr>
          <w:rFonts w:cs="Times New Roman" w:hAnsi="Times New Roman" w:ascii="Times New Roman"/>
          <w:sz w:val="24"/>
          <w:szCs w:val="24"/>
        </w:rPr>
        <w:t>koja je isti podnijela temeljem odredbe članka 444. stav 2. Stečajnog zakona (Nar.nov. 71/15, dalje: SZ), ovaj je sud rješenjem gornjeg broja pokrenuo prethodni postupak dana 25. srpnja 2017. godine, temeljem odredbe članka 115. stav 1. 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Na ročištu radi očitovanja o prijedlogu za otvaranje stečajnog postupka, zakonski zastupnik dužnika uredno pozvan nije pristupio,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</w:rPr>
        <w:t>Osnovni podaci o dužniku: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TEHNO ZONE društvo s ograničenom odgovornošću za trgovinu i usluge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EB2D88" w:rsidR="00DA2A61" w:rsidRPr="00D13193">
        <w:trPr>
          <w:tblCellSpacing w:type="dxa" w:w="15"/>
        </w:trPr>
        <w:tc>
          <w:tcPr>
            <w:tcW w:type="auto" w:w="0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Tr="00EB2D88" w:rsidR="00DA2A61" w:rsidRPr="00D13193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DA2A61" w:rsidP="006F6A5B" w:rsidR="00DA2A61" w:rsidRPr="00D13193">
                  <w:pPr>
                    <w:numPr>
                      <w:ilvl w:val="0"/>
                      <w:numId w:val="1"/>
                    </w:numPr>
                    <w:jc w:val="both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 w:rsidRPr="00D13193">
                    <w:rPr>
                      <w:rFonts w:cs="Times New Roman" w:hAnsi="Times New Roman" w:ascii="Times New Roman"/>
                      <w:sz w:val="24"/>
                      <w:szCs w:val="24"/>
                    </w:rPr>
                    <w:t>Djelatnost:7112, Inženjerstvo i s njim povezano tehničko savjetovanje</w:t>
                  </w:r>
                </w:p>
              </w:tc>
            </w:tr>
            <w:tr w:rsidTr="00EB2D88" w:rsidR="00DA2A61" w:rsidRPr="00D13193">
              <w:trPr>
                <w:tblCellSpacing w:type="dxa" w:w="15"/>
              </w:trPr>
              <w:tc>
                <w:tcPr>
                  <w:tcW w:type="auto" w:w="0"/>
                  <w:vAlign w:val="center"/>
                </w:tcPr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8982"/>
                  </w:tblGrid>
                  <w:tr w:rsidTr="00EB2D88" w:rsidR="00DA2A61" w:rsidRPr="00D13193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DA2A61" w:rsidP="006F6A5B" w:rsidR="00DA2A61" w:rsidRPr="00D13193">
                        <w:pPr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cs="Times New Roman" w:hAnsi="Times New Roman" w:ascii="Times New Roman"/>
                            <w:sz w:val="24"/>
                            <w:szCs w:val="24"/>
                          </w:rPr>
                        </w:pPr>
                        <w:r w:rsidRPr="00D13193"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  <w:t>Temeljni kapital</w:t>
                        </w:r>
                        <w:r w:rsidRPr="00D13193">
                          <w:rPr>
                            <w:rFonts w:cs="Times New Roman" w:hAnsi="Times New Roman" w:asci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D13193">
                          <w:rPr>
                            <w:rFonts w:cs="Times New Roman" w:hAnsi="Times New Roman" w:ascii="Times New Roman"/>
                            <w:sz w:val="24"/>
                            <w:szCs w:val="24"/>
                          </w:rPr>
                          <w:t xml:space="preserve">20.000,00 kuna </w:t>
                        </w:r>
                      </w:p>
                    </w:tc>
                  </w:tr>
                  <w:tr w:rsidTr="00EB2D88" w:rsidR="00DA2A61" w:rsidRPr="00D13193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DA2A61" w:rsidP="006F6A5B" w:rsidR="00DA2A61" w:rsidRPr="00D13193">
                        <w:pPr>
                          <w:numPr>
                            <w:ilvl w:val="0"/>
                            <w:numId w:val="1"/>
                          </w:numPr>
                          <w:jc w:val="both"/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</w:pPr>
                        <w:r w:rsidRPr="00D13193"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  <w:t>Osobe ovlaštene za zastupanje:</w:t>
                        </w:r>
                      </w:p>
                      <w:tbl>
                        <w:tblPr>
                          <w:tblW w:type="auto" w:w="0"/>
                          <w:tblCellSpacing w:type="dxa" w:w="15"/>
                          <w:tblCellMar>
                            <w:top w:type="dxa" w:w="15"/>
                            <w:left w:type="dxa" w:w="15"/>
                            <w:bottom w:type="dxa" w:w="15"/>
                            <w:right w:type="dxa" w:w="1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8892"/>
                        </w:tblGrid>
                        <w:tr w:rsidTr="00EB2D88" w:rsidR="00DA2A61" w:rsidRPr="00D13193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tbl>
                              <w:tblPr>
                                <w:tblW w:type="auto" w:w="0"/>
                                <w:tblCellSpacing w:type="dxa" w:w="15"/>
                                <w:tblCellMar>
                                  <w:top w:type="dxa" w:w="15"/>
                                  <w:left w:type="dxa" w:w="15"/>
                                  <w:bottom w:type="dxa" w:w="15"/>
                                  <w:right w:type="dxa" w:w="15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8802"/>
                              </w:tblGrid>
                              <w:tr w:rsidTr="00EB2D88" w:rsidR="00DA2A61" w:rsidRPr="00D13193">
                                <w:trPr>
                                  <w:tblCellSpacing w:type="dxa" w:w="15"/>
                                </w:trPr>
                                <w:tc>
                                  <w:tcPr>
                                    <w:tcW w:type="auto" w:w="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type="auto" w:w="0"/>
                                      <w:tblCellSpacing w:type="dxa" w:w="15"/>
                                      <w:tblCellMar>
                                        <w:top w:type="dxa" w:w="15"/>
                                        <w:left w:type="dxa" w:w="15"/>
                                        <w:bottom w:type="dxa" w:w="15"/>
                                        <w:right w:type="dxa" w:w="15"/>
                                      </w:tblCellMar>
                                      <w:tblLook w:val="04A0" w:noVBand="1" w:noHBand="0" w:lastColumn="0" w:firstColumn="1" w:lastRow="0" w:firstRow="1"/>
                                    </w:tblPr>
                                    <w:tblGrid>
                                      <w:gridCol w:w="8712"/>
                                    </w:tblGrid>
                                    <w:tr w:rsidTr="00EB2D88" w:rsidR="00DA2A61" w:rsidRPr="00D13193">
                                      <w:trPr>
                                        <w:tblCellSpacing w:type="dxa" w:w="15"/>
                                      </w:trPr>
                                      <w:tc>
                                        <w:tcPr>
                                          <w:tcW w:type="auto" w:w="0"/>
                                          <w:vAlign w:val="center"/>
                                          <w:hideMark/>
                                        </w:tcPr>
                                        <w:p w:rsidRDefault="00DA2A61" w:rsidP="006F6A5B" w:rsidR="00DA2A61" w:rsidRPr="00D13193">
                                          <w:pPr>
                                            <w:jc w:val="both"/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13193"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t>Miljenko Hanžek, OIB: 52757959711</w:t>
                                          </w:r>
                                          <w:r w:rsidRPr="00D13193"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 xml:space="preserve">Zagreb, Ivanićgradska ulica 66, direktor, zastupa društvo pojedinačno i samostalno, </w:t>
                                          </w:r>
                                          <w:r w:rsidRPr="00D13193"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lastRenderedPageBreak/>
                                            <w:t>postao direktor dana 14.03.2012. godine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Default="00DA2A61" w:rsidP="006F6A5B" w:rsidR="00DA2A61" w:rsidRPr="00D13193">
                                    <w:pPr>
                                      <w:jc w:val="both"/>
                                      <w:rPr>
                                        <w:rFonts w:cs="Times New Roman" w:hAnsi="Times New Roman" w:ascii="Times New Roman"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Default="00DA2A61" w:rsidP="006F6A5B" w:rsidR="00DA2A61" w:rsidRPr="00D13193">
                              <w:pPr>
                                <w:jc w:val="both"/>
                                <w:rPr>
                                  <w:rFonts w:cs="Times New Roman" w:hAnsi="Times New Roman" w:ascii="Times New Roman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Tr="00EB2D88" w:rsidR="00DA2A61" w:rsidRPr="00D13193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tbl>
                              <w:tblPr>
                                <w:tblW w:type="auto" w:w="0"/>
                                <w:tblCellSpacing w:type="dxa" w:w="15"/>
                                <w:tblCellMar>
                                  <w:top w:type="dxa" w:w="15"/>
                                  <w:left w:type="dxa" w:w="15"/>
                                  <w:bottom w:type="dxa" w:w="15"/>
                                  <w:right w:type="dxa" w:w="15"/>
                                </w:tblCellMar>
                                <w:tblLook w:val="04A0" w:noVBand="1" w:noHBand="0" w:lastColumn="0" w:firstColumn="1" w:lastRow="0" w:firstRow="1"/>
                              </w:tblPr>
                              <w:tblGrid>
                                <w:gridCol w:w="8802"/>
                              </w:tblGrid>
                              <w:tr w:rsidTr="00EB2D88" w:rsidR="00DA2A61" w:rsidRPr="00D13193">
                                <w:trPr>
                                  <w:tblCellSpacing w:type="dxa" w:w="15"/>
                                </w:trPr>
                                <w:tc>
                                  <w:tcPr>
                                    <w:tcW w:type="auto" w:w="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type="auto" w:w="0"/>
                                      <w:tblCellSpacing w:type="dxa" w:w="15"/>
                                      <w:tblCellMar>
                                        <w:top w:type="dxa" w:w="15"/>
                                        <w:left w:type="dxa" w:w="15"/>
                                        <w:bottom w:type="dxa" w:w="15"/>
                                        <w:right w:type="dxa" w:w="15"/>
                                      </w:tblCellMar>
                                      <w:tblLook w:val="04A0" w:noVBand="1" w:noHBand="0" w:lastColumn="0" w:firstColumn="1" w:lastRow="0" w:firstRow="1"/>
                                    </w:tblPr>
                                    <w:tblGrid>
                                      <w:gridCol w:w="8712"/>
                                    </w:tblGrid>
                                    <w:tr w:rsidTr="00EB2D88" w:rsidR="00DA2A61" w:rsidRPr="00D13193">
                                      <w:trPr>
                                        <w:tblCellSpacing w:type="dxa" w:w="15"/>
                                      </w:trPr>
                                      <w:tc>
                                        <w:tcPr>
                                          <w:tcW w:type="auto" w:w="0"/>
                                          <w:vAlign w:val="center"/>
                                          <w:hideMark/>
                                        </w:tcPr>
                                        <w:p w:rsidRDefault="00DA2A61" w:rsidP="006F6A5B" w:rsidR="00DA2A61" w:rsidRPr="00D13193">
                                          <w:pPr>
                                            <w:jc w:val="both"/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13193"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lastRenderedPageBreak/>
                                            <w:t>Andrej Kos, OIB: 09856643921</w:t>
                                          </w:r>
                                          <w:r w:rsidRPr="00D13193">
                                            <w:rPr>
                                              <w:rFonts w:cs="Times New Roman" w:hAnsi="Times New Roman" w:ascii="Times New Roman"/>
                                              <w:bCs/>
                                              <w:sz w:val="24"/>
                                              <w:szCs w:val="24"/>
                                            </w:rPr>
                                            <w:br/>
                                            <w:t>Zagreb, Sveti duh 172, direktor, zastupa društvo pojedinačno i samostalno, postao direktor dana 14.03.2012. godine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Default="00DA2A61" w:rsidP="006F6A5B" w:rsidR="00DA2A61" w:rsidRPr="00D13193">
                                    <w:pPr>
                                      <w:jc w:val="both"/>
                                      <w:rPr>
                                        <w:rFonts w:cs="Times New Roman" w:hAnsi="Times New Roman" w:ascii="Times New Roman"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Default="00DA2A61" w:rsidP="006F6A5B" w:rsidR="00DA2A61" w:rsidRPr="00D13193">
                              <w:pPr>
                                <w:jc w:val="both"/>
                                <w:rPr>
                                  <w:rFonts w:cs="Times New Roman" w:hAnsi="Times New Roman" w:ascii="Times New Roman"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Default="00DA2A61" w:rsidP="006F6A5B" w:rsidR="00DA2A61" w:rsidRPr="00D13193">
                        <w:pPr>
                          <w:jc w:val="both"/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</w:pPr>
                      </w:p>
                      <w:p w:rsidRDefault="00DA2A61" w:rsidP="006F6A5B" w:rsidR="00DA2A61" w:rsidRPr="00D13193">
                        <w:pPr>
                          <w:jc w:val="both"/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Tr="00EB2D88" w:rsidR="00DA2A61" w:rsidRPr="00D13193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DA2A61" w:rsidP="006F6A5B" w:rsidR="00DA2A61" w:rsidRPr="00D13193">
                        <w:pPr>
                          <w:jc w:val="both"/>
                          <w:rPr>
                            <w:rFonts w:cs="Times New Roman" w:hAnsi="Times New Roman" w:asci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Default="00DA2A61" w:rsidP="006F6A5B" w:rsidR="00DA2A61" w:rsidRPr="00D13193">
                  <w:pPr>
                    <w:jc w:val="both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DA2A61" w:rsidP="006F6A5B" w:rsidR="00DA2A61" w:rsidRPr="00D1319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lastRenderedPageBreak/>
        <w:t xml:space="preserve">Dužnik se prevladavajuće bavio projektnim inženjerstvom, sukladno registriranim djelatnostima. Zadnje 2 godine uslijed smanjenog obima posla ne uspijeva podmirivati tekuće obveze, na dan otvaranja stečajnog postupka blokada računa u trajanju od 741 dan. Na dan 04.prosinca 2017. U Očevidniku redoslijeda plaćanja (Fina) stanje blokade iznosilo je </w:t>
      </w:r>
      <w:r w:rsidRPr="00D13193">
        <w:rPr>
          <w:rFonts w:cs="Times New Roman" w:hAnsi="Times New Roman" w:ascii="Times New Roman"/>
          <w:bCs/>
          <w:sz w:val="24"/>
          <w:szCs w:val="24"/>
        </w:rPr>
        <w:t xml:space="preserve">105.513,82 kn. </w:t>
      </w:r>
      <w:r w:rsidRPr="00D13193">
        <w:rPr>
          <w:rFonts w:cs="Times New Roman" w:hAnsi="Times New Roman" w:ascii="Times New Roman"/>
          <w:sz w:val="24"/>
          <w:szCs w:val="24"/>
        </w:rPr>
        <w:t>Zadnje financijsko izvješće predano za 2016.godinu.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Poduzete radnje: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Nakon primitka rješenja o imenovanju odnosno otvaranja stečajnog postupka nad dužnikom, poduzete slijedeće standardne radnje: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promjena i razvrstavanje u DZS-u uz dostavu povijesnog izvatka sudskog registra,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pribavljeni podaci o transakcijskim računima dužnika i otvoren novi kod HPB d.d.,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ostvaren kontakt s odgovornom osobom dužnika, obišao sjedište dužnika,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otkazan ugovor o radu za jedinog preostalog radnika Miljenka Hanžek (bivši direktor),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-  od bivšeg zakonskog zastupnika preuzet dio poslovne dokumentacije, 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-  obavljena inventura, popis imovine i obveza, 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angažiran knjigovodstveni servis i otvorena nova poslovna godina,</w:t>
      </w:r>
    </w:p>
    <w:p w:rsidRDefault="00DA2A61" w:rsidP="001E78BA" w:rsidR="00DA2A61" w:rsidRPr="00D1319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 zaprimanje i provjera vjerodostojnosti pristiglih tražbina, izrada izvješća, popisa i tablica.</w:t>
      </w:r>
    </w:p>
    <w:p w:rsidRDefault="00D13193" w:rsidP="006F6A5B" w:rsidR="00D13193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Predstečajne nagodbe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Stečajni dužnik prije otvaranja stečajnog postupka pristupio je sklapanju i zaključenju  predstečajnih nagodbi: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1. </w:t>
      </w:r>
      <w:r w:rsidRPr="00D13193">
        <w:rPr>
          <w:rFonts w:cs="Times New Roman" w:hAnsi="Times New Roman" w:ascii="Times New Roman"/>
          <w:sz w:val="24"/>
          <w:szCs w:val="24"/>
        </w:rPr>
        <w:t xml:space="preserve">Stpn-305/2013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TsZG - </w:t>
      </w:r>
      <w:r w:rsidRPr="00D13193">
        <w:rPr>
          <w:rFonts w:cs="Times New Roman" w:hAnsi="Times New Roman" w:ascii="Times New Roman"/>
          <w:sz w:val="24"/>
          <w:szCs w:val="24"/>
        </w:rPr>
        <w:t xml:space="preserve">IGH d.o.o. OIB:79766124714, pravomoćna 28.12.2013.,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Ukupna utvrđena tražbina 65.000 kn podijeljena na 3 dijela u omjeru 30%, 20% i 50%. Dio tražbine u iznosu od 30% namireno pretvaranjem u temeljni kapital društva, dio tražbine 20% namiren u novcu jednokratno, a preostali dio od 50% obročno u razdoblju 5 godina, bez </w:t>
      </w:r>
      <w:r w:rsidRPr="00D13193">
        <w:rPr>
          <w:rFonts w:cs="Times New Roman" w:hAnsi="Times New Roman" w:ascii="Times New Roman"/>
          <w:sz w:val="24"/>
          <w:szCs w:val="24"/>
        </w:rPr>
        <w:lastRenderedPageBreak/>
        <w:t xml:space="preserve">kamata, u jednakim polugodišnjim ratama koje dospijevaju 30.lipnja i 30.prosinca svake godine, do sada obročna podmirenja teku uredno.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Tako je stečajni dužnik postao imatelj 48 dionica JGH d.o.o. nominalne vrijednosti 19.200 kn (30%), jednokratno namireno 13.000 kn (20%) prije otvaranja stečajnog postupka, te 32.500 obročno odnosno 3.250 kn svakih 6 mjeseci do 30.06.2019. (50%). Nedospjela potraživanja po tom osnovu ukupno iznose 9.750,00 kn (30.06.2018. – 3.250 kn, 30.12.2018. – 3.250 kn, 30.06.2019. – 3.250 kn)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2. Stpn 69/2016 Ts u Splitu - </w:t>
      </w:r>
      <w:r w:rsidRPr="00D13193">
        <w:rPr>
          <w:rFonts w:cs="Times New Roman" w:hAnsi="Times New Roman" w:ascii="Times New Roman"/>
          <w:sz w:val="24"/>
          <w:szCs w:val="24"/>
        </w:rPr>
        <w:t>Lora produkt d.o.o. OIB:79615690041, pravomoćnost 25.09.2017.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Ukupna utvrđena tražbina iznosa 418.983,18 kn podmiriti će se obročnom mjesečnom otplatom u roku od 6 godina uz poček od 1 godine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(1 godina počeka + 5 godine otplate</w:t>
      </w:r>
      <w:r w:rsidRPr="00D13193">
        <w:rPr>
          <w:rFonts w:cs="Times New Roman" w:hAnsi="Times New Roman" w:ascii="Times New Roman"/>
          <w:sz w:val="24"/>
          <w:szCs w:val="24"/>
        </w:rPr>
        <w:t xml:space="preserve">) te godišnju kamatnu stopu od 4,5%. Rok počeka od godine dana počinje teći od dana pravomoćnosti rješenja Trgovačkog suda kojim se odobrava sklapanje Nagodbe.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Za vrijeme počeka, na glavnicu duga obračunava se kamata po stopi od 4,5 % i plaća se u jednakim mjesečnim obrocima do zadnjeg dana u mjesecu do isteka počeka.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 w:rsidRPr="00D13193">
        <w:rPr>
          <w:rFonts w:cs="Times New Roman" w:hAnsi="Times New Roman" w:ascii="Times New Roman"/>
          <w:bCs/>
          <w:iCs/>
          <w:sz w:val="24"/>
          <w:szCs w:val="24"/>
        </w:rPr>
        <w:t xml:space="preserve">Po isteku počeka teče razdoblje otplate kamate i glavnice (60 jednakih mjesečnih anuiteta) sukladno sklopljenoj nagodbi. Isplata ostatka duga (kamata i glavnica) je u jednakim mjesečnim anuitetima, s tim da prvi obrok isplate ostatka duga dospijeva na naplatu do zadnjeg dana u mjesecu koji slijedi nakon mjeseca u kojem istječe rok počeka otplate, dok svaki slijedeći obrok dospijeva na naplatu do zadnjeg dana u mjesecu u svakom narednom mjesecu do konačne isplate (6.983,05 kn +kta x 60 mj.).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 w:rsidRPr="00D13193">
        <w:rPr>
          <w:rFonts w:cs="Times New Roman" w:hAnsi="Times New Roman" w:ascii="Times New Roman"/>
          <w:bCs/>
          <w:iCs/>
          <w:sz w:val="24"/>
          <w:szCs w:val="24"/>
        </w:rPr>
        <w:t>Do dana pisanja ovog izvješća na račun stečajnog dužnika nisu uplaćena sredstva koja je dužnik predstečajne nagodbe bio dužan uplatiti po osnovi obračuna kamata po stopi 4,5% za vrijeme počeka a koje teče od dana pravomoćnosti zaključenja nagodbe 29.09.2017.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 raspolaže se saznanjima o sudskim postupcima pred sudovima i drugim tijelima.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Nema izgleda za nastavak poslovanja i za izradu stečajnog plana.           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Zaključenju stečajnog postupka prethodi unovčenje stečajne mase.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NEKRETNINE: Nema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lastRenderedPageBreak/>
        <w:t>POKRETNINE: Uredska oprema i namještaj, rabljeno, starijih godina proizvodnje i nabave,  knjigovodstvene vrijednosti 0 kn (amortizirano), procjenjeno po sudskom vještaku na iznos 5.650,00 kn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>,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VRIJEDNOSNI PAPIRI: 48 kom. dionica IGH, nominalne vrijednosti 190,00 kn (9.120,00 kn), zadnja cijena jedne dionice na Zagrebačkoj burzi na dan 20</w:t>
      </w:r>
      <w:r w:rsidR="00D2462D">
        <w:rPr>
          <w:rFonts w:cs="Times New Roman" w:hAnsi="Times New Roman" w:ascii="Times New Roman"/>
          <w:sz w:val="24"/>
          <w:szCs w:val="24"/>
        </w:rPr>
        <w:t>.04.2018. iznosila je 158,00 kn</w:t>
      </w:r>
      <w:r w:rsidR="00D2462D" w:rsidRPr="00D2462D">
        <w:rPr>
          <w:rFonts w:cs="Times New Roman" w:hAnsi="Times New Roman" w:ascii="Times New Roman"/>
          <w:sz w:val="24"/>
          <w:szCs w:val="24"/>
        </w:rPr>
        <w:t xml:space="preserve"> </w:t>
      </w:r>
      <w:r w:rsidR="00D2462D">
        <w:rPr>
          <w:rFonts w:cs="Times New Roman" w:hAnsi="Times New Roman" w:ascii="Times New Roman"/>
          <w:sz w:val="24"/>
          <w:szCs w:val="24"/>
        </w:rPr>
        <w:t>(</w:t>
      </w:r>
      <w:r w:rsidR="00D2462D" w:rsidRPr="00D2462D">
        <w:rPr>
          <w:rFonts w:cs="Times New Roman" w:hAnsi="Times New Roman" w:ascii="Times New Roman"/>
          <w:sz w:val="24"/>
          <w:szCs w:val="24"/>
        </w:rPr>
        <w:t>7.584,00</w:t>
      </w:r>
      <w:r w:rsidR="00D2462D">
        <w:rPr>
          <w:rFonts w:cs="Times New Roman" w:hAnsi="Times New Roman" w:ascii="Times New Roman"/>
          <w:sz w:val="24"/>
          <w:szCs w:val="24"/>
        </w:rPr>
        <w:t xml:space="preserve"> kn)</w:t>
      </w:r>
      <w:r w:rsidRPr="00D131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POTRAŽIVANJA PO ZAKLJUČENIM PREDSTEČAJNIM NAGODBAMA: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1.  Stpn-305/2013 (IGH d.o.o .) - 9.750,00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2.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Stpn 69/2016 (</w:t>
      </w:r>
      <w:r w:rsidRPr="00D13193">
        <w:rPr>
          <w:rFonts w:cs="Times New Roman" w:hAnsi="Times New Roman" w:ascii="Times New Roman"/>
          <w:sz w:val="24"/>
          <w:szCs w:val="24"/>
        </w:rPr>
        <w:t>Lora produkt d.o.o.) - 418.983,18 kn + kte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F6A5B" w:rsidR="00DA2A61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OBVEZE STEČAJNE MASE: </w:t>
      </w:r>
    </w:p>
    <w:p w:rsidRDefault="004E3365" w:rsidP="006F6A5B" w:rsidR="00897C62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ri</w:t>
      </w:r>
      <w:r>
        <w:rPr>
          <w:rFonts w:cs="Times New Roman" w:hAnsi="Times New Roman" w:ascii="Times New Roman"/>
          <w:sz w:val="24"/>
          <w:szCs w:val="24"/>
          <w:lang w:val="pl-PL"/>
        </w:rPr>
        <w:t>z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n</w:t>
      </w:r>
      <w:r>
        <w:rPr>
          <w:rFonts w:cs="Times New Roman" w:hAnsi="Times New Roman" w:ascii="Times New Roman"/>
          <w:sz w:val="24"/>
          <w:szCs w:val="24"/>
          <w:lang w:val="pl-PL"/>
        </w:rPr>
        <w:t>at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o je ukupno 8 prijava tražbina u ukupnom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C289D">
        <w:rPr>
          <w:rFonts w:cs="Times New Roman" w:hAnsi="Times New Roman" w:ascii="Times New Roman"/>
          <w:sz w:val="24"/>
          <w:szCs w:val="24"/>
        </w:rPr>
        <w:t>362.562,17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897C62" w:rsidRPr="00897C62">
        <w:rPr>
          <w:rFonts w:cs="Times New Roman" w:hAnsi="Times New Roman" w:ascii="Times New Roman"/>
          <w:sz w:val="24"/>
          <w:szCs w:val="24"/>
          <w:lang w:val="pl-PL"/>
        </w:rPr>
        <w:t>kn</w:t>
      </w:r>
    </w:p>
    <w:p w:rsidRDefault="00897C62" w:rsidP="006F6A5B" w:rsidR="00897C62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Nastali i predvidivi troškovi iznose 26.653,17 kn. </w:t>
      </w:r>
    </w:p>
    <w:p w:rsidRDefault="00897C62" w:rsidP="006F6A5B" w:rsidR="00897C62" w:rsidRPr="00897C62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Ukupne obveze stečajne mase iznose </w:t>
      </w:r>
      <w:r w:rsidR="004E3365">
        <w:rPr>
          <w:rFonts w:cs="Times New Roman" w:hAnsi="Times New Roman" w:ascii="Times New Roman"/>
          <w:sz w:val="24"/>
          <w:szCs w:val="24"/>
          <w:lang w:val="pl-PL"/>
        </w:rPr>
        <w:t xml:space="preserve">389.215,34 </w:t>
      </w:r>
      <w:r w:rsidR="008367AC">
        <w:rPr>
          <w:rFonts w:cs="Times New Roman" w:hAnsi="Times New Roman" w:ascii="Times New Roman"/>
          <w:sz w:val="24"/>
          <w:szCs w:val="24"/>
          <w:lang w:val="pl-PL"/>
        </w:rPr>
        <w:t>kn.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Razlučni vjerovnici – prijava: nema,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Prijava izlučnih prava nije bilo.</w:t>
      </w:r>
      <w:r w:rsidRPr="00D13193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Pr="00D13193">
        <w:rPr>
          <w:rFonts w:cs="Times New Roman" w:hAnsi="Times New Roman" w:ascii="Times New Roman"/>
          <w:b/>
          <w:sz w:val="24"/>
          <w:szCs w:val="24"/>
        </w:rPr>
        <w:tab/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Priljevi i odljevi po transakc. računu: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Priliv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1. Uplata po PSN (IGH).....................................................   3.250,00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2. Pas.kta............................................................................          0,32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Odlivi: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1. Bankarska naknada...........................................................     130,60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Stanje na računu na dan 20.04.2018......................................</w:t>
      </w:r>
      <w:r w:rsidRPr="00D13193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  <w:u w:val="single"/>
        </w:rPr>
        <w:t>3.119,72</w:t>
      </w: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Nastali i nepodmireni troškovi od 10.01.2018. do 20.04.2018.: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poštarina (posudba st.upr.) .....................................   24,50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lastRenderedPageBreak/>
        <w:t>- izrada žiga (posudba st.upr.)  ................................. 180,00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urd.mat.,fotokop (posudba st.upr.)  ......................     63,06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putni trošk.,park.k. (posudba st.upr.) ..................... 164,09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- DZS-reg.posl.subj. (posudba st.upr.)  ...................  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 55,00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knjigovodstv. trošk..............................................  4.000,00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- trošk.ur.st.upr. ....................................................      350,00 kn</w:t>
      </w:r>
    </w:p>
    <w:p w:rsidRDefault="00DA2A61" w:rsidP="006F6A5B" w:rsidR="00DA2A61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- trošak preth.post.................................................. </w:t>
      </w:r>
      <w:r w:rsidR="005F47DE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3.700,00 kn</w:t>
      </w:r>
    </w:p>
    <w:p w:rsidRDefault="005F47DE" w:rsidP="006F6A5B" w:rsidR="005F47DE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plaća radnika u otk.roku.....................................  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 xml:space="preserve">  1.066,52 kn</w:t>
      </w:r>
    </w:p>
    <w:p w:rsidRDefault="0023136B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ostalo posudba st.upr (tel.int</w:t>
      </w:r>
      <w:r w:rsidR="00C406B1">
        <w:rPr>
          <w:rFonts w:cs="Times New Roman" w:hAnsi="Times New Roman" w:ascii="Times New Roman"/>
          <w:sz w:val="24"/>
          <w:szCs w:val="24"/>
          <w:lang w:val="pl-PL"/>
        </w:rPr>
        <w:t>)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.................................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12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0,00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Ukupno:    </w:t>
      </w:r>
      <w:r w:rsidR="006F6A5B">
        <w:rPr>
          <w:rFonts w:cs="Times New Roman" w:hAnsi="Times New Roman" w:ascii="Times New Roman"/>
          <w:sz w:val="24"/>
          <w:szCs w:val="24"/>
          <w:u w:val="single"/>
          <w:lang w:val="pl-PL"/>
        </w:rPr>
        <w:t>_____________________________</w:t>
      </w: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    </w:t>
      </w:r>
      <w:r w:rsidR="006F6A5B">
        <w:rPr>
          <w:rFonts w:cs="Times New Roman" w:hAnsi="Times New Roman" w:ascii="Times New Roman"/>
          <w:sz w:val="24"/>
          <w:szCs w:val="24"/>
          <w:u w:val="single"/>
          <w:lang w:val="pl-PL"/>
        </w:rPr>
        <w:t>9</w:t>
      </w: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6F6A5B">
        <w:rPr>
          <w:rFonts w:cs="Times New Roman" w:hAnsi="Times New Roman" w:ascii="Times New Roman"/>
          <w:sz w:val="24"/>
          <w:szCs w:val="24"/>
          <w:u w:val="single"/>
          <w:lang w:val="pl-PL"/>
        </w:rPr>
        <w:t>723</w:t>
      </w: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,</w:t>
      </w:r>
      <w:r w:rsidR="006F6A5B">
        <w:rPr>
          <w:rFonts w:cs="Times New Roman" w:hAnsi="Times New Roman" w:ascii="Times New Roman"/>
          <w:sz w:val="24"/>
          <w:szCs w:val="24"/>
          <w:u w:val="single"/>
          <w:lang w:val="pl-PL"/>
        </w:rPr>
        <w:t>17</w:t>
      </w: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A2A61" w:rsidP="006F6A5B" w:rsidR="00DA2A61" w:rsidRPr="00DE1BB9">
      <w:pPr>
        <w:jc w:val="both"/>
        <w:rPr>
          <w:rFonts w:cs="Times New Roman" w:hAnsi="Times New Roman" w:ascii="Times New Roman"/>
          <w:sz w:val="20"/>
          <w:szCs w:val="20"/>
          <w:lang w:val="pl-PL"/>
        </w:rPr>
      </w:pP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Naznačiti radnje koje će se poduzeti u naredom razdoblju od 09. svibnja 2018.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Radnje u daljnjem tijeku stečajnog postupka provodit će se sukladno odlukama skupštine vjerovnika za koje se predlaže: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        1. prihvaćanje izvješća stečajnog upravitelja i odobravanje provedenih radnji,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        2. nema uvjeta za nastavak poslovanja,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        3.  unovč</w:t>
      </w:r>
      <w:r w:rsidR="00DE1BB9">
        <w:rPr>
          <w:rFonts w:cs="Times New Roman" w:hAnsi="Times New Roman" w:ascii="Times New Roman"/>
          <w:sz w:val="24"/>
          <w:szCs w:val="24"/>
        </w:rPr>
        <w:t>iti</w:t>
      </w:r>
      <w:r w:rsidRPr="00D13193">
        <w:rPr>
          <w:rFonts w:cs="Times New Roman" w:hAnsi="Times New Roman" w:ascii="Times New Roman"/>
          <w:sz w:val="24"/>
          <w:szCs w:val="24"/>
        </w:rPr>
        <w:t xml:space="preserve"> pokretnin</w:t>
      </w:r>
      <w:r w:rsidR="00DE1BB9">
        <w:rPr>
          <w:rFonts w:cs="Times New Roman" w:hAnsi="Times New Roman" w:ascii="Times New Roman"/>
          <w:sz w:val="24"/>
          <w:szCs w:val="24"/>
        </w:rPr>
        <w:t>e</w:t>
      </w:r>
      <w:r w:rsidRPr="00D13193">
        <w:rPr>
          <w:rFonts w:cs="Times New Roman" w:hAnsi="Times New Roman" w:ascii="Times New Roman"/>
          <w:sz w:val="24"/>
          <w:szCs w:val="24"/>
        </w:rPr>
        <w:t xml:space="preserve"> prihvatom ponude za iznos procijenjen po sudskom vještaku,  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        4.  ovlašćuje se stečajni upravitelj angažirati odvjetničko društvo za slučaj potrebe,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      5.  pratiti podmirenje obveza sukladno zaključen</w:t>
      </w:r>
      <w:r w:rsidR="003F6770">
        <w:rPr>
          <w:rFonts w:cs="Times New Roman" w:hAnsi="Times New Roman" w:ascii="Times New Roman"/>
          <w:sz w:val="24"/>
          <w:szCs w:val="24"/>
          <w:lang w:val="pl-PL"/>
        </w:rPr>
        <w:t>im Predstečajnim Nagodbama</w:t>
      </w:r>
      <w:r w:rsidRPr="00D13193">
        <w:rPr>
          <w:rFonts w:cs="Times New Roman" w:hAnsi="Times New Roman" w:ascii="Times New Roman"/>
          <w:sz w:val="24"/>
          <w:szCs w:val="24"/>
        </w:rPr>
        <w:t>.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U Zagrebu, 20. travnja 2018.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F6A5B" w:rsidR="00DA2A61" w:rsidRPr="00D1319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Privitak:</w:t>
      </w:r>
    </w:p>
    <w:p w:rsidRDefault="0023136B" w:rsidP="00DA2A61" w:rsidR="00DA2A61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procj.elaborat za pokretnine,</w:t>
      </w:r>
    </w:p>
    <w:p w:rsidRDefault="0023136B" w:rsidP="00DA2A61" w:rsidR="0023136B" w:rsidRPr="00D13193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obavijest o razvrstavanju DZS</w:t>
      </w:r>
    </w:p>
    <w:sectPr w:rsidSect="002F7874" w:rsidR="0023136B" w:rsidRPr="00D131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319F4"/>
    <w:multiLevelType w:val="hybridMultilevel"/>
    <w:tmpl w:val="5D445586"/>
    <w:lvl w:tplc="78167A68" w:ilvl="0">
      <w:start w:val="20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A61"/>
    <w:rsid w:val="00051355"/>
    <w:rsid w:val="001A7609"/>
    <w:rsid w:val="001B170E"/>
    <w:rsid w:val="001E78BA"/>
    <w:rsid w:val="0023136B"/>
    <w:rsid w:val="002B3E51"/>
    <w:rsid w:val="00363C15"/>
    <w:rsid w:val="003F6770"/>
    <w:rsid w:val="004E3365"/>
    <w:rsid w:val="005F47DE"/>
    <w:rsid w:val="006F6A5B"/>
    <w:rsid w:val="008367AC"/>
    <w:rsid w:val="00897C62"/>
    <w:rsid w:val="00BA70C0"/>
    <w:rsid w:val="00BC289D"/>
    <w:rsid w:val="00C406B1"/>
    <w:rsid w:val="00CA4002"/>
    <w:rsid w:val="00D13193"/>
    <w:rsid w:val="00D2462D"/>
    <w:rsid w:val="00D47B81"/>
    <w:rsid w:val="00DA2A61"/>
    <w:rsid w:val="00DA5572"/>
    <w:rsid w:val="00DE1B80"/>
    <w:rsid w:val="00DE1BB9"/>
    <w:rsid w:val="00F14487"/>
    <w:rsid w:val="00FB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5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57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5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5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5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5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57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5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5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1143</properties:Words>
  <properties:Characters>7368</properties:Characters>
  <properties:Lines>157</properties:Lines>
  <properties:Paragraphs>89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2018-04-27T08:01:00Z</dcterms:created>
  <dc:creator>vljuban1</dc:creator>
  <cp:lastModifiedBy>Monika Grbac</cp:lastModifiedBy>
  <dcterms:modified xmlns:xsi="http://www.w3.org/2001/XMLSchema-instance" xsi:type="dcterms:W3CDTF">2018-04-27T08:06:00Z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St-4081/2016-21 / Podnesak - Izvješće stečajnog upravitelja (IZVJEŠĆE STEČ.UPR.III25.4.18_.docx)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