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9cd7" w14:paraId="f959cd7" w:rsidRDefault="008B750C" w:rsidP="008B750C" w:rsidR="008B750C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50C" w:rsidP="008B750C" w:rsidR="008B750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8B750C" w:rsidP="008B750C" w:rsidR="008B750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8B750C" w:rsidP="008B750C" w:rsidR="008B750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8B750C" w:rsidP="008B750C" w:rsidR="008B750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B750C" w:rsidP="008B750C" w:rsidR="008B750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DOPUNSKO RJEŠENJE</w:t>
      </w:r>
    </w:p>
    <w:p w:rsidRDefault="008B750C" w:rsidP="008B750C" w:rsidR="008B750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ind w:firstLine="720"/>
        <w:jc w:val="both"/>
      </w:pPr>
      <w:r>
        <w:rPr>
          <w:szCs w:val="24"/>
        </w:rPr>
        <w:t>TRGOVAČKI SUD U ZAGREBU po sucu tog suda Mirjani Chour Hršak, kao sucu pojedincu, u predstečajnom postupku nad dužnikom CENTAR BRAČ d.o.o. sa sjedištem u Zagrebu, Ksaver 196a, OIB: 71033423032, MBS: 080716249,</w:t>
      </w:r>
      <w:r>
        <w:t xml:space="preserve"> </w:t>
      </w:r>
      <w:r>
        <w:rPr>
          <w:rFonts w:cs="Times New Roman" w:eastAsia="Times New Roman"/>
          <w:szCs w:val="24"/>
          <w:lang w:eastAsia="hr-HR"/>
        </w:rPr>
        <w:t>dana 19. travnja 2018. godine</w:t>
      </w:r>
    </w:p>
    <w:p w:rsidRDefault="008B750C" w:rsidP="008B750C" w:rsidR="008B750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8B750C" w:rsidP="008B750C" w:rsidR="008B750C">
      <w:pPr>
        <w:jc w:val="both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Utvrđuje se da u tablici razlučnih prava na ročištu radi ispitivanja tražbina nije upisano razlučno pravo vjerovnika </w:t>
      </w:r>
      <w:r w:rsidRPr="00C40628">
        <w:rPr>
          <w:szCs w:val="24"/>
        </w:rPr>
        <w:t xml:space="preserve">CREDO BANKA </w:t>
      </w:r>
      <w:r>
        <w:rPr>
          <w:szCs w:val="24"/>
        </w:rPr>
        <w:t>d.d. u stečaju, Split, Zrinsko Frankopanska 58,</w:t>
      </w:r>
      <w:r w:rsidRPr="00C40628">
        <w:rPr>
          <w:szCs w:val="24"/>
        </w:rPr>
        <w:t xml:space="preserve"> OIB: 94141384086,</w:t>
      </w:r>
      <w:r>
        <w:rPr>
          <w:szCs w:val="24"/>
        </w:rPr>
        <w:t xml:space="preserve"> a kojim je osigurana tražbina tog vjerovnika u iznosu od 965.188,18 kn.</w:t>
      </w:r>
    </w:p>
    <w:p w:rsidRDefault="008B750C" w:rsidP="008B750C" w:rsidR="008B750C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B750C" w:rsidP="008B750C" w:rsidR="008B750C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Vjerovnik CREDO BANKA d.d. u stečaju, Split podnijela je protiv rješenja o utvrđenim i osporenim tražbinama od 07. studenog 2017. godine žalbu koja prema svom sadržaju predstavlja prijedlog za dopunu rješenja.</w:t>
      </w:r>
    </w:p>
    <w:p w:rsidRDefault="008B750C" w:rsidP="008B750C" w:rsidR="008B750C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na ročištu radi ispitivanja tražbina u tablicu razlučnih prava nije uvršten predmetni vjerovnik čija tražbina je nesporno osiguranja razlučnim pravom, to je sud, primjenom čl. 49. Stečajnog zakona (NN 71/15 i 104/2017; dalje: SZ), te čl. 339. ZPP-a u vezi čl. 10. SZ-a odlučio kao u izreci.</w:t>
      </w:r>
    </w:p>
    <w:p w:rsidRDefault="008B750C" w:rsidP="008B750C" w:rsidR="008B750C">
      <w:pPr>
        <w:jc w:val="center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 19. travnja 2018..</w:t>
      </w:r>
    </w:p>
    <w:p w:rsidRDefault="008B750C" w:rsidP="008B750C" w:rsidR="008B750C">
      <w:pPr>
        <w:jc w:val="center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8B750C" w:rsidP="008B750C" w:rsidR="008B750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8B750C" w:rsidP="008B750C" w:rsidR="008B750C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A25147">
        <w:rPr>
          <w:rFonts w:cs="Times New Roman" w:eastAsia="Times New Roman"/>
          <w:szCs w:val="24"/>
          <w:lang w:eastAsia="hr-HR"/>
        </w:rPr>
        <w:t>, v.r.</w:t>
      </w:r>
    </w:p>
    <w:p w:rsidRDefault="008B750C" w:rsidP="008B750C" w:rsidR="008B750C">
      <w:pPr>
        <w:jc w:val="right"/>
        <w:rPr>
          <w:rFonts w:cs="Times New Roman" w:eastAsia="Times New Roman"/>
          <w:szCs w:val="24"/>
          <w:lang w:eastAsia="hr-HR"/>
        </w:rPr>
      </w:pPr>
    </w:p>
    <w:p w:rsidRDefault="008B750C" w:rsidP="008B750C" w:rsidR="008B750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8B750C" w:rsidP="008B750C" w:rsidR="008B750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nezadovoljna strana može izjaviti žalbu u roku 8 dana od dana primitka rješenja. Žalba se ulaže u dva primjerka za sud i jedan za protivnu stranu, a putem ovog suda Visokom trgovačkom sudu RH.</w:t>
      </w:r>
    </w:p>
    <w:p w:rsidRDefault="008B750C" w:rsidP="008B750C" w:rsidR="008B750C">
      <w:pPr>
        <w:jc w:val="both"/>
        <w:rPr>
          <w:rFonts w:cs="Times New Roman" w:eastAsia="Times New Roman"/>
          <w:szCs w:val="24"/>
          <w:lang w:eastAsia="hr-HR"/>
        </w:rPr>
      </w:pPr>
    </w:p>
    <w:p w:rsidRDefault="00A25147" w:rsidP="00E40762" w:rsidR="00A25147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A25147" w:rsidP="00E40762" w:rsidR="00A25147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8B750C" w:rsidP="008B750C" w:rsidR="008B750C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50C" w:rsidP="008B750C" w:rsidR="008B750C">
      <w:r>
        <w:separator/>
      </w:r>
    </w:p>
  </w:endnote>
  <w:endnote w:id="0" w:type="continuationSeparator">
    <w:p w:rsidRDefault="008B750C" w:rsidP="008B750C" w:rsidR="008B7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50C" w:rsidP="008B750C" w:rsidR="008B750C">
      <w:r>
        <w:separator/>
      </w:r>
    </w:p>
  </w:footnote>
  <w:footnote w:id="0" w:type="continuationSeparator">
    <w:p w:rsidRDefault="008B750C" w:rsidP="008B750C" w:rsidR="008B7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0021482"/>
      <w:docPartObj>
        <w:docPartGallery w:val="Page Numbers (Top of Page)"/>
        <w:docPartUnique/>
      </w:docPartObj>
    </w:sdtPr>
    <w:sdtEndPr/>
    <w:sdtContent>
      <w:p w:rsidRDefault="008B750C" w:rsidR="008B75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147">
          <w:rPr>
            <w:noProof/>
          </w:rPr>
          <w:t>1</w:t>
        </w:r>
        <w:r>
          <w:fldChar w:fldCharType="end"/>
        </w:r>
      </w:p>
    </w:sdtContent>
  </w:sdt>
  <w:p w:rsidRDefault="008B750C" w:rsidP="008B750C" w:rsidR="008B750C">
    <w:pPr>
      <w:pStyle w:val="Zaglavlje"/>
      <w:jc w:val="right"/>
    </w:pPr>
    <w:r>
      <w:t>34. St-1333/2017-56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E14F4D"/>
    <w:multiLevelType w:val="hybridMultilevel"/>
    <w:tmpl w:val="3C68E5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750C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B750C"/>
    <w:rsid w:val="008E6B30"/>
    <w:rsid w:val="009035D9"/>
    <w:rsid w:val="009461D1"/>
    <w:rsid w:val="00A25147"/>
    <w:rsid w:val="00AF40C4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750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75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B75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5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7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750C"/>
  </w:style>
  <w:style w:styleId="Podnoje" w:type="paragraph">
    <w:name w:val="footer"/>
    <w:basedOn w:val="Normal"/>
    <w:link w:val="PodnojeChar"/>
    <w:uiPriority w:val="99"/>
    <w:unhideWhenUsed/>
    <w:rsid w:val="008B7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750C"/>
  </w:style>
  <w:style w:styleId="Tekstrezerviranogmjesta" w:type="character">
    <w:name w:val="Placeholder Text"/>
    <w:basedOn w:val="Zadanifontodlomka"/>
    <w:uiPriority w:val="99"/>
    <w:semiHidden/>
    <w:rsid w:val="00A25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1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5147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51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51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750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75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B75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5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7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750C"/>
  </w:style>
  <w:style w:styleId="Podnoje" w:type="paragraph">
    <w:name w:val="footer"/>
    <w:basedOn w:val="Normal"/>
    <w:link w:val="PodnojeChar"/>
    <w:uiPriority w:val="99"/>
    <w:unhideWhenUsed/>
    <w:rsid w:val="008B7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750C"/>
  </w:style>
  <w:style w:styleId="Tekstrezerviranogmjesta" w:type="character">
    <w:name w:val="Placeholder Text"/>
    <w:basedOn w:val="Zadanifontodlomka"/>
    <w:uiPriority w:val="99"/>
    <w:semiHidden/>
    <w:rsid w:val="00A25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5147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5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5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21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 zastupanog po punomoćniku Goran Jujnović Lučić</izvorni_sadrzaj>
    <derivirana_varijabla naziv="DomainObject.Predmet.ProtustrankaFormated_1">  CENTAR BRAČ d.o.o. zastupanog po punomoćniku Goran Jujnović Lučić</derivirana_varijabla>
  </DomainObject.Predmet.ProtustrankaFormated>
  <DomainObject.Predmet.ProtustrankaFormatedOIB>
    <izvorni_sadrzaj>  CENTAR BRAČ d.o.o., OIB 71033423032 zastupanog po punomoćniku Goran Jujnović Lučić</izvorni_sadrzaj>
    <derivirana_varijabla naziv="DomainObject.Predmet.ProtustrankaFormatedOIB_1">  CENTAR BRAČ d.o.o., OIB 71033423032 zastupanog po punomoćniku Goran Jujnović Lučić</derivirana_varijabla>
  </DomainObject.Predmet.ProtustrankaFormatedOIB>
  <DomainObject.Predmet.ProtustrankaFormatedWithAdress>
    <izvorni_sadrzaj> CENTAR BRAČ d.o.o., Ksaver 196 A, 10000 Zagreb zastupanog po punomoćniku Goran Jujnović Lučić</izvorni_sadrzaj>
    <derivirana_varijabla naziv="DomainObject.Predmet.ProtustrankaFormatedWithAdress_1"> CENTAR BRAČ d.o.o., Ksaver 196 A, 10000 Zagreb zastupanog po punomoćniku Goran Jujnović Lučić</derivirana_varijabla>
  </DomainObject.Predmet.ProtustrankaFormatedWithAdress>
  <DomainObject.Predmet.ProtustrankaFormatedWithAdressOIB>
    <izvorni_sadrzaj> CENTAR BRAČ d.o.o., OIB 71033423032, Ksaver 196 A, 10000 Zagreb zastupanog po punomoćniku Goran Jujnović Lučić</izvorni_sadrzaj>
    <derivirana_varijabla naziv="DomainObject.Predmet.ProtustrankaFormatedWithAdressOIB_1"> CENTAR BRAČ d.o.o., OIB 71033423032, Ksaver 196 A, 10000 Zagreb zastupanog po punomoćniku Goran Jujnović Lučić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 zastupanog po punomoćniku Goran Jujnović Lučić</item>
    </izvorni_sadrzaj>
    <derivirana_varijabla naziv="DomainObject.Predmet.ProtuStrankaListFormated_1">
      <item>CENTAR BRAČ d.o.o. zastupanog po punomoćniku Goran Jujnović Lučić</item>
    </derivirana_varijabla>
  </DomainObject.Predmet.ProtuStrankaListFormated>
  <DomainObject.Predmet.ProtuStrankaListFormatedOIB>
    <izvorni_sadrzaj>
      <item>CENTAR BRAČ d.o.o., OIB 71033423032 zastupanog po punomoćniku Goran Jujnović Lučić</item>
    </izvorni_sadrzaj>
    <derivirana_varijabla naziv="DomainObject.Predmet.ProtuStrankaListFormatedOIB_1">
      <item>CENTAR BRAČ d.o.o., OIB 71033423032 zastupanog po punomoćniku Goran Jujnović Lučić</item>
    </derivirana_varijabla>
  </DomainObject.Predmet.ProtuStrankaListFormatedOIB>
  <DomainObject.Predmet.ProtuStrankaListFormatedWithAdress>
    <izvorni_sadrzaj>
      <item>CENTAR BRAČ d.o.o., Ksaver 196 A, 10000 Zagreb zastupanog po punomoćniku Goran Jujnović Lučić</item>
    </izvorni_sadrzaj>
    <derivirana_varijabla naziv="DomainObject.Predmet.ProtuStrankaListFormatedWithAdress_1">
      <item>CENTAR BRAČ d.o.o., Ksaver 196 A, 10000 Zagreb zastupanog po punomoćniku Goran Jujnović Lučić</item>
    </derivirana_varijabla>
  </DomainObject.Predmet.ProtuStrankaListFormatedWithAdress>
  <DomainObject.Predmet.ProtuStrankaListFormatedWithAdressOIB>
    <izvorni_sadrzaj>
      <item>CENTAR BRAČ d.o.o., OIB 71033423032, Ksaver 196 A, 10000 Zagreb zastupanog po punomoćniku Goran Jujnović Lučić</item>
    </izvorni_sadrzaj>
    <derivirana_varijabla naziv="DomainObject.Predmet.ProtuStrankaListFormatedWithAdressOIB_1">
      <item>CENTAR BRAČ d.o.o., OIB 71033423032, Ksaver 196 A, 10000 Zagreb zastupanog po punomoćniku Goran Jujnović Lučić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>
      <item>Goran Jujnović Lučić punomoćnik sudionika u postupku CENTAR BRAČ d.o.o.</item>
    </izvorni_sadrzaj>
    <derivirana_varijabla naziv="DomainObject.Predmet.OstaliListFormated_1">
      <item>Goran Jujnović Lučić punomoćnik sudionika u postupku CENTAR BRAČ d.o.o.</item>
    </derivirana_varijabla>
  </DomainObject.Predmet.OstaliListFormated>
  <DomainObject.Predmet.OstaliListFormatedOIB>
    <izvorni_sadrzaj>
      <item>Goran Jujnović Lučić punomoćnik sudionika u postupku CENTAR BRAČ d.o.o.</item>
    </izvorni_sadrzaj>
    <derivirana_varijabla naziv="DomainObject.Predmet.OstaliListFormatedOIB_1">
      <item>Goran Jujnović Lučić punomoćnik sudionika u postupku CENTAR BRAČ d.o.o.</item>
    </derivirana_varijabla>
  </DomainObject.Predmet.OstaliListFormatedOIB>
  <DomainObject.Predmet.OstaliListFormatedWithAdress>
    <izvorni_sadrzaj>
      <item>Goran Jujnović Lučić, Strojarska cesta 20/XXII, 10000 Zagreb punomoćnik sudionika u postupku CENTAR BRAČ d.o.o.</item>
    </izvorni_sadrzaj>
    <derivirana_varijabla naziv="DomainObject.Predmet.OstaliListFormatedWithAdress_1">
      <item>Goran Jujnović Lučić, Strojarska cesta 20/XXII, 10000 Zagreb punomoćnik sudionika u postupku CENTAR BRAČ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CENTAR BRAČ d.o.o.</item>
    </izvorni_sadrzaj>
    <derivirana_varijabla naziv="DomainObject.Predmet.OstaliListFormatedWithAdressOIB_1">
      <item>Goran Jujnović Lučić, Strojarska cesta 20/XXII, 10000 Zagreb punomoćnik sudionika u postupku CENTAR BRAČ d.o.o.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</item>
    </izvorni_sadrzaj>
    <derivirana_varijabla naziv="DomainObject.Predmet.OstaliListNazivFormatedOIB_1"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  <item>Goran Jujnović Lučić</item>
    </izvorni_sadrzaj>
    <derivirana_varijabla naziv="DomainObject.Predmet.SudioniciListNaziv_1">
      <item>Josip Škaro</item>
      <item>CENTAR BRAČ d.o.o.</item>
      <item>Goran Jujnović Lučić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  <item>Goran Jujnović Lučić, Strojarska cesta 20/XXII,10000 Zagreb</item>
    </izvorni_sadrzaj>
    <derivirana_varijabla naziv="DomainObject.Predmet.SudioniciListAdressOIB_1">
      <item>Josip Škaro, OIB 87466802381, Dubrovačka 3a,21000 Split</item>
      <item>CENTAR BRAČ d.o.o., OIB 71033423032, Ksaver 196 A,10000 Zagreb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  <item>, OIB null</item>
    </izvorni_sadrzaj>
    <derivirana_varijabla naziv="DomainObject.Predmet.SudioniciListNazivOIB_1">
      <item>, OIB 87466802381</item>
      <item>, OIB 71033423032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1280</properties:Characters>
  <properties:Lines>45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2018-04-19T08:55:00Z</dcterms:created>
  <dc:creator>Vlasta Bogović Milisavljević</dc:creator>
  <cp:lastModifiedBy>Vlasta Bogović Milisavljević</cp:lastModifiedBy>
  <cp:lastPrinted>2018-04-19T09:05:00Z</cp:lastPrinted>
  <dcterms:modified xmlns:xsi="http://www.w3.org/2001/XMLSchema-instance" xsi:type="dcterms:W3CDTF">2018-04-19T09:05:00Z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(DOPUNSKO RJEŠENJE 19.04.2018..docx)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