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bc020" w14:paraId="53bc020" w:rsidRDefault="000A47D2" w:rsidP="000A47D2" w:rsidR="000A47D2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>
        <w:rPr>
          <w:rFonts w:hAnsi="Times New Roman" w:ascii="Times New Roman"/>
          <w:b/>
          <w:sz w:val="28"/>
        </w:rPr>
        <w:t>Obrazac 20.</w:t>
      </w:r>
    </w:p>
    <w:p w:rsidRDefault="000A47D2" w:rsidP="000A47D2" w:rsidR="000A47D2">
      <w:pPr>
        <w:jc w:val="center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t xml:space="preserve">IZVJEŠĆE </w:t>
      </w:r>
      <w:r>
        <w:rPr>
          <w:rFonts w:hAnsi="Times New Roman" w:ascii="Times New Roman"/>
          <w:b/>
          <w:sz w:val="24"/>
          <w:szCs w:val="24"/>
        </w:rPr>
        <w:t>STEČAJNOGA</w:t>
      </w:r>
      <w:r>
        <w:rPr>
          <w:rFonts w:hAnsi="Times New Roman" w:ascii="Times New Roman"/>
          <w:b/>
          <w:sz w:val="24"/>
        </w:rPr>
        <w:t xml:space="preserve"> UPRAVITELJA O TIJEKU </w:t>
      </w:r>
      <w:r>
        <w:rPr>
          <w:rFonts w:hAnsi="Times New Roman" w:ascii="Times New Roman"/>
          <w:b/>
          <w:sz w:val="24"/>
          <w:szCs w:val="24"/>
        </w:rPr>
        <w:t>STEČAJNOGA</w:t>
      </w:r>
      <w:r>
        <w:rPr>
          <w:rFonts w:hAnsi="Times New Roman" w:ascii="Times New Roman"/>
          <w:b/>
          <w:sz w:val="24"/>
        </w:rPr>
        <w:t xml:space="preserve"> POSTUPKA I STANJU STEČAJNE MASE</w:t>
      </w:r>
    </w:p>
    <w:p w:rsidRDefault="000A47D2" w:rsidP="000A47D2" w:rsidR="000A47D2">
      <w:pPr>
        <w:jc w:val="center"/>
        <w:rPr>
          <w:rFonts w:hAnsi="Times New Roman" w:ascii="Times New Roman"/>
          <w:sz w:val="24"/>
        </w:rPr>
      </w:pPr>
    </w:p>
    <w:p w:rsidRDefault="000A47D2" w:rsidP="000A47D2" w:rsidR="000A47D2">
      <w:pPr>
        <w:jc w:val="center"/>
        <w:rPr>
          <w:rFonts w:hAnsi="Times New Roman" w:ascii="Times New Roman"/>
          <w:sz w:val="24"/>
        </w:rPr>
      </w:pPr>
    </w:p>
    <w:p w:rsidRDefault="000A47D2" w:rsidP="000A47D2" w:rsidR="000A47D2">
      <w:pPr>
        <w:jc w:val="both"/>
        <w:rPr>
          <w:rFonts w:hAnsi="Bookman Old Style" w:ascii="Bookman Old Style"/>
          <w:sz w:val="24"/>
        </w:rPr>
      </w:pPr>
      <w:r>
        <w:rPr>
          <w:rFonts w:hAnsi="Bookman Old Style" w:ascii="Bookman Old Style"/>
          <w:sz w:val="24"/>
          <w:szCs w:val="24"/>
          <w:lang w:val="pl-PL"/>
        </w:rPr>
        <w:t>Nadle</w:t>
      </w:r>
      <w:r>
        <w:rPr>
          <w:rFonts w:hAnsi="Bookman Old Style" w:ascii="Bookman Old Style"/>
          <w:sz w:val="24"/>
        </w:rPr>
        <w:t>ž</w:t>
      </w:r>
      <w:r>
        <w:rPr>
          <w:rFonts w:hAnsi="Bookman Old Style" w:ascii="Bookman Old Style"/>
          <w:sz w:val="24"/>
          <w:szCs w:val="24"/>
          <w:lang w:val="pl-PL"/>
        </w:rPr>
        <w:t>ni</w:t>
      </w:r>
      <w:r>
        <w:rPr>
          <w:rFonts w:hAnsi="Bookman Old Style" w:ascii="Bookman Old Style"/>
          <w:sz w:val="24"/>
          <w:lang w:val="pl-PL"/>
        </w:rPr>
        <w:t xml:space="preserve"> </w:t>
      </w:r>
      <w:r>
        <w:rPr>
          <w:rFonts w:hAnsi="Bookman Old Style" w:ascii="Bookman Old Style"/>
          <w:sz w:val="24"/>
          <w:szCs w:val="24"/>
          <w:lang w:val="pl-PL"/>
        </w:rPr>
        <w:t>trgova</w:t>
      </w:r>
      <w:r>
        <w:rPr>
          <w:rFonts w:hAnsi="Bookman Old Style" w:ascii="Bookman Old Style"/>
          <w:sz w:val="24"/>
        </w:rPr>
        <w:t>č</w:t>
      </w:r>
      <w:r>
        <w:rPr>
          <w:rFonts w:hAnsi="Bookman Old Style" w:ascii="Bookman Old Style"/>
          <w:sz w:val="24"/>
          <w:szCs w:val="24"/>
          <w:lang w:val="pl-PL"/>
        </w:rPr>
        <w:t>ki</w:t>
      </w:r>
      <w:r>
        <w:rPr>
          <w:rFonts w:hAnsi="Bookman Old Style" w:ascii="Bookman Old Style"/>
          <w:sz w:val="24"/>
          <w:lang w:val="pl-PL"/>
        </w:rPr>
        <w:t xml:space="preserve"> </w:t>
      </w:r>
      <w:r>
        <w:rPr>
          <w:rFonts w:hAnsi="Bookman Old Style" w:ascii="Bookman Old Style"/>
          <w:sz w:val="24"/>
          <w:szCs w:val="24"/>
          <w:lang w:val="pl-PL"/>
        </w:rPr>
        <w:t>sud</w:t>
      </w:r>
      <w:r>
        <w:rPr>
          <w:rFonts w:hAnsi="Bookman Old Style" w:ascii="Bookman Old Style"/>
          <w:sz w:val="24"/>
        </w:rPr>
        <w:t xml:space="preserve"> : Zagreb</w:t>
      </w:r>
    </w:p>
    <w:p w:rsidRDefault="000A47D2" w:rsidP="000A47D2" w:rsidR="000A47D2">
      <w:pPr>
        <w:jc w:val="both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>Poslovni broj spisa: St-1559/2015</w:t>
      </w:r>
    </w:p>
    <w:p w:rsidRDefault="000A47D2" w:rsidP="000A47D2" w:rsidR="000A47D2">
      <w:pPr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>Dužnik (ime i prezime / tvrtka ili naziv, OIB, adresa / sjedište):</w:t>
      </w:r>
    </w:p>
    <w:p w:rsidRDefault="000A47D2" w:rsidP="000A47D2" w:rsidR="000A47D2">
      <w:pPr>
        <w:rPr>
          <w:rFonts w:hAnsi="Bookman Old Style" w:ascii="Bookman Old Style"/>
          <w:sz w:val="24"/>
        </w:rPr>
      </w:pPr>
      <w:r w:rsidRPr="000A47D2">
        <w:rPr>
          <w:rFonts w:hAnsi="Bookman Old Style" w:ascii="Bookman Old Style"/>
          <w:b/>
          <w:sz w:val="24"/>
        </w:rPr>
        <w:t>stečajna masa iza tvrtke PROMLI d.o.o.</w:t>
      </w:r>
      <w:r>
        <w:rPr>
          <w:rFonts w:hAnsi="Bookman Old Style" w:ascii="Bookman Old Style"/>
          <w:sz w:val="24"/>
        </w:rPr>
        <w:t xml:space="preserve">, Zagreb, Miramarska 13d, </w:t>
      </w:r>
    </w:p>
    <w:p w:rsidRDefault="000A47D2" w:rsidP="000A47D2" w:rsidR="000A47D2">
      <w:pPr>
        <w:rPr>
          <w:rFonts w:hAnsi="Bookman Old Style" w:ascii="Bookman Old Style"/>
          <w:sz w:val="28"/>
          <w:szCs w:val="24"/>
          <w:lang w:val="pl-PL"/>
        </w:rPr>
      </w:pPr>
      <w:r>
        <w:rPr>
          <w:rFonts w:hAnsi="Bookman Old Style" w:ascii="Bookman Old Style"/>
          <w:sz w:val="24"/>
        </w:rPr>
        <w:t>OIB: 86779778312</w:t>
      </w:r>
    </w:p>
    <w:p w:rsidRDefault="000A47D2" w:rsidP="000A47D2" w:rsidR="000A47D2">
      <w:pPr>
        <w:jc w:val="center"/>
        <w:rPr>
          <w:rFonts w:hAnsi="Bookman Old Style" w:ascii="Bookman Old Style"/>
          <w:sz w:val="24"/>
          <w:szCs w:val="24"/>
          <w:lang w:val="pl-PL"/>
        </w:rPr>
      </w:pPr>
    </w:p>
    <w:p w:rsidRDefault="000A47D2" w:rsidP="000A47D2" w:rsidR="000A47D2">
      <w:pPr>
        <w:jc w:val="center"/>
        <w:rPr>
          <w:rFonts w:hAnsi="Bookman Old Style" w:ascii="Bookman Old Style"/>
          <w:sz w:val="24"/>
          <w:szCs w:val="24"/>
          <w:lang w:val="pl-PL"/>
        </w:rPr>
      </w:pPr>
    </w:p>
    <w:p w:rsidRDefault="000A47D2" w:rsidP="000A47D2" w:rsidR="000A47D2">
      <w:pPr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 xml:space="preserve">I.  </w:t>
      </w:r>
      <w:r w:rsidRPr="000A47D2">
        <w:rPr>
          <w:rFonts w:hAnsi="Bookman Old Style" w:ascii="Bookman Old Style"/>
          <w:b/>
          <w:sz w:val="24"/>
          <w:szCs w:val="24"/>
          <w:lang w:val="pl-PL"/>
        </w:rPr>
        <w:t>TIJEK STEČAJNOGA POSTUPKA</w:t>
      </w:r>
      <w:r>
        <w:rPr>
          <w:rFonts w:hAnsi="Bookman Old Style" w:ascii="Bookman Old Style"/>
          <w:sz w:val="24"/>
          <w:szCs w:val="24"/>
          <w:lang w:val="pl-PL"/>
        </w:rPr>
        <w:t xml:space="preserve"> U RAZDOBLJU OD 15.05.2017. DO 15.08.2017. godine.</w:t>
      </w:r>
    </w:p>
    <w:p w:rsidRDefault="000A47D2" w:rsidP="000A47D2" w:rsidR="000A47D2">
      <w:pPr>
        <w:spacing w:after="0"/>
        <w:rPr>
          <w:rFonts w:hAnsi="Bookman Old Style" w:ascii="Bookman Old Style"/>
          <w:sz w:val="24"/>
          <w:szCs w:val="24"/>
          <w:lang w:val="pl-PL"/>
        </w:rPr>
      </w:pPr>
    </w:p>
    <w:p w:rsidRDefault="00662F93" w:rsidP="000A47D2" w:rsidR="000A47D2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>Poduzimaju se aktivnosti na naplati potraživanja koja čine stečajnu masu, a kako je to podrobnije opisano pod točkom II Izvješća.</w:t>
      </w:r>
    </w:p>
    <w:p w:rsidRDefault="00662F93" w:rsidP="000A47D2" w:rsidR="00662F93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662F93" w:rsidP="000A47D2" w:rsidR="00662F93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>Sačinila sam početnu stečajnu bilancu, dovela u red Očevidnik knjigovodstvenih podataka, te sukladno Izvješću povjerenstva za popis imovine, istu provela kroz poslovne knjige, temeljem čega je sastavljeno početno stanje imovine dužnika.</w:t>
      </w:r>
    </w:p>
    <w:p w:rsidRDefault="00662F93" w:rsidP="000A47D2" w:rsidR="00662F93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0A47D2" w:rsidP="000A47D2" w:rsidR="000A47D2">
      <w:pPr>
        <w:spacing w:after="0"/>
        <w:ind w:hanging="142" w:left="142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 xml:space="preserve"> </w:t>
      </w:r>
    </w:p>
    <w:p w:rsidRDefault="000A47D2" w:rsidP="000A47D2" w:rsidR="000A47D2">
      <w:pPr>
        <w:rPr>
          <w:rFonts w:hAnsi="Bookman Old Style" w:ascii="Bookman Old Style"/>
          <w:b/>
          <w:sz w:val="24"/>
          <w:szCs w:val="24"/>
          <w:lang w:val="pl-PL"/>
        </w:rPr>
      </w:pPr>
      <w:r>
        <w:rPr>
          <w:rFonts w:hAnsi="Bookman Old Style" w:ascii="Bookman Old Style"/>
          <w:b/>
          <w:sz w:val="24"/>
          <w:szCs w:val="24"/>
          <w:lang w:val="pl-PL"/>
        </w:rPr>
        <w:t>II. STANJE STEČAJNE MASE</w:t>
      </w:r>
    </w:p>
    <w:p w:rsidRDefault="000A47D2" w:rsidP="000A47D2" w:rsidR="000A47D2">
      <w:pPr>
        <w:rPr>
          <w:rFonts w:hAnsi="Bookman Old Style" w:ascii="Bookman Old Style"/>
          <w:sz w:val="24"/>
          <w:szCs w:val="24"/>
          <w:lang w:val="pl-PL"/>
        </w:rPr>
      </w:pPr>
    </w:p>
    <w:p w:rsidRDefault="000A47D2" w:rsidP="000A47D2" w:rsidR="000A47D2">
      <w:pPr>
        <w:spacing w:after="0"/>
        <w:jc w:val="both"/>
        <w:rPr>
          <w:rFonts w:eastAsia="Times New Roman" w:hAnsi="Bookman Old Style" w:ascii="Bookman Old Style"/>
          <w:sz w:val="24"/>
          <w:szCs w:val="20"/>
          <w:lang w:eastAsia="hr-HR" w:val="pl-PL"/>
        </w:rPr>
      </w:pPr>
      <w:r>
        <w:rPr>
          <w:rFonts w:eastAsia="Times New Roman" w:hAnsi="Bookman Old Style" w:ascii="Bookman Old Style"/>
          <w:sz w:val="24"/>
          <w:szCs w:val="20"/>
          <w:lang w:eastAsia="hr-HR" w:val="pl-PL"/>
        </w:rPr>
        <w:t>Stečajnu masu čine:</w:t>
      </w:r>
    </w:p>
    <w:p w:rsidRDefault="000A47D2" w:rsidP="000A47D2" w:rsidR="000A47D2">
      <w:pPr>
        <w:spacing w:after="0"/>
        <w:jc w:val="both"/>
        <w:rPr>
          <w:rFonts w:eastAsia="Times New Roman" w:hAnsi="Bookman Old Style" w:ascii="Bookman Old Style"/>
          <w:sz w:val="24"/>
          <w:szCs w:val="20"/>
          <w:lang w:eastAsia="hr-HR" w:val="pl-PL"/>
        </w:rPr>
      </w:pPr>
    </w:p>
    <w:p w:rsidRDefault="000A47D2" w:rsidP="000A47D2" w:rsidR="000A47D2">
      <w:pPr>
        <w:spacing w:after="0"/>
        <w:jc w:val="both"/>
        <w:rPr>
          <w:rFonts w:eastAsia="Times New Roman" w:hAnsi="Bookman Old Style" w:ascii="Bookman Old Style"/>
          <w:sz w:val="24"/>
          <w:szCs w:val="20"/>
          <w:lang w:eastAsia="hr-HR" w:val="pl-PL"/>
        </w:rPr>
      </w:pPr>
      <w:r>
        <w:rPr>
          <w:rFonts w:eastAsia="Times New Roman" w:hAnsi="Bookman Old Style" w:ascii="Bookman Old Style"/>
          <w:sz w:val="24"/>
          <w:szCs w:val="20"/>
          <w:lang w:eastAsia="hr-HR" w:val="pl-PL"/>
        </w:rPr>
        <w:t>- potraživanja po pravomoćnoj presudi Općinskog građanskog suda u Zagrebu broj P-7668/04 u iznosu od 117.957,13 EUR-a od dužnika Jeličić Lovreković Joze sa zateznom kamatom po stopi koju je Zagrebačka banka d.d. Zagreb plaćala na devizne štedne uloge u DEM po viđenju do 31. prosinca 2001. godine, a od 01. siječnja 2002. godine pa do 31. prosinca 2007. godine po stopi koju je navedena banka plaćala na devizna sredstva u eurima, a od 01. siječnja 2008. godine pa do isplate prema eskontnoj stopi Hrvatske narodne banke koja je vrijedila zadnjeg dana polugodišta koje je prethodilo tekućem polugodištvu uvećano za pet postotnih poena i to na iznos od 102.258,37 EUR-a počevši od 29. listopada 1999. godine, te na iznos od 15.338,75 EUR-a počevši od 29. studenog 1999. godine, kao i nadoknaditi trošak parničnog postupka u iznosu od 108.250,00 kn.</w:t>
      </w:r>
    </w:p>
    <w:p w:rsidRDefault="000A47D2" w:rsidP="000A47D2" w:rsidR="000A47D2">
      <w:pPr>
        <w:spacing w:after="0"/>
        <w:jc w:val="both"/>
        <w:rPr>
          <w:rFonts w:eastAsia="Times New Roman" w:hAnsi="Bookman Old Style" w:ascii="Bookman Old Style"/>
          <w:sz w:val="24"/>
          <w:szCs w:val="20"/>
          <w:lang w:eastAsia="hr-HR" w:val="pl-PL"/>
        </w:rPr>
      </w:pPr>
    </w:p>
    <w:p w:rsidRDefault="000A47D2" w:rsidP="000A47D2" w:rsidR="000A47D2">
      <w:pPr>
        <w:spacing w:after="0"/>
        <w:jc w:val="both"/>
        <w:rPr>
          <w:rFonts w:eastAsia="Times New Roman" w:hAnsi="Bookman Old Style" w:ascii="Bookman Old Style"/>
          <w:sz w:val="24"/>
          <w:szCs w:val="20"/>
          <w:lang w:eastAsia="hr-HR" w:val="pl-PL"/>
        </w:rPr>
      </w:pPr>
      <w:r>
        <w:rPr>
          <w:rFonts w:eastAsia="Times New Roman" w:hAnsi="Bookman Old Style" w:ascii="Bookman Old Style"/>
          <w:sz w:val="24"/>
          <w:szCs w:val="20"/>
          <w:lang w:eastAsia="hr-HR" w:val="pl-PL"/>
        </w:rPr>
        <w:t>Sukladno navedenoj presudi poduzete su sljedeće aktivnosti:</w:t>
      </w:r>
    </w:p>
    <w:p w:rsidRDefault="000A47D2" w:rsidP="000A47D2" w:rsidR="000A47D2">
      <w:pPr>
        <w:spacing w:after="0"/>
        <w:jc w:val="both"/>
        <w:rPr>
          <w:rFonts w:eastAsia="Times New Roman" w:hAnsi="Bookman Old Style" w:ascii="Bookman Old Style"/>
          <w:sz w:val="24"/>
          <w:szCs w:val="20"/>
          <w:lang w:eastAsia="hr-HR" w:val="pl-PL"/>
        </w:rPr>
      </w:pPr>
    </w:p>
    <w:p w:rsidRDefault="000A47D2" w:rsidP="000A47D2" w:rsidR="000A47D2">
      <w:pPr>
        <w:spacing w:after="0"/>
        <w:jc w:val="both"/>
        <w:rPr>
          <w:rFonts w:eastAsia="Times New Roman" w:hAnsi="Bookman Old Style" w:ascii="Bookman Old Style"/>
          <w:sz w:val="24"/>
          <w:szCs w:val="20"/>
          <w:lang w:eastAsia="hr-HR" w:val="pl-PL"/>
        </w:rPr>
      </w:pPr>
      <w:r>
        <w:rPr>
          <w:rFonts w:eastAsia="Times New Roman" w:hAnsi="Bookman Old Style" w:ascii="Bookman Old Style"/>
          <w:sz w:val="24"/>
          <w:szCs w:val="20"/>
          <w:lang w:eastAsia="hr-HR" w:val="pl-PL"/>
        </w:rPr>
        <w:t xml:space="preserve">Na temelju pravomoćne i ovršne presude Općinskog građanskog suda u Zagrebu poslovnog broja P-7668/04, dana 29.06. 2016. godine podnijeli smo </w:t>
      </w:r>
      <w:r>
        <w:rPr>
          <w:rFonts w:eastAsia="Times New Roman" w:hAnsi="Bookman Old Style" w:ascii="Bookman Old Style"/>
          <w:sz w:val="24"/>
          <w:szCs w:val="20"/>
          <w:lang w:eastAsia="hr-HR" w:val="pl-PL"/>
        </w:rPr>
        <w:lastRenderedPageBreak/>
        <w:t>Financijskoj agenciji zahtjev za izravnu naplatu, međutim FINA je zbog toga što između prezimena ovršenika Jeličić i Lovreković nije stavljena crtica (iako crtica ne stoji niti u spomenutoj presudi) osnovu za plaćanje vratila. Zahtjev za izravnu naplatu ponovno samo sastavili i dostavili Finacnijskoj agenciji na provedbu, pa je Agencija po primitku zahtjeva blokirala račune ovršenika Joze Jeličića-Lovrekovića, te po isteku roka od 60 dana zapljenjena sredstva prenijela na račun Stečajne mase.</w:t>
      </w:r>
    </w:p>
    <w:p w:rsidRDefault="000A47D2" w:rsidP="000A47D2" w:rsidR="000A47D2">
      <w:pPr>
        <w:spacing w:after="0"/>
        <w:jc w:val="both"/>
        <w:rPr>
          <w:rFonts w:eastAsia="Times New Roman" w:hAnsi="Bookman Old Style" w:ascii="Bookman Old Style"/>
          <w:sz w:val="24"/>
          <w:szCs w:val="20"/>
          <w:lang w:eastAsia="hr-HR" w:val="pl-PL"/>
        </w:rPr>
      </w:pPr>
      <w:r>
        <w:rPr>
          <w:rFonts w:eastAsia="Times New Roman" w:hAnsi="Bookman Old Style" w:ascii="Bookman Old Style"/>
          <w:sz w:val="24"/>
          <w:szCs w:val="20"/>
          <w:lang w:eastAsia="hr-HR" w:val="pl-PL"/>
        </w:rPr>
        <w:t>Do danas je po tom osnovu naplaćen iznos od 183.242,52 kuna.</w:t>
      </w:r>
    </w:p>
    <w:p w:rsidRDefault="000A47D2" w:rsidP="000A47D2" w:rsidR="000A47D2">
      <w:pPr>
        <w:spacing w:after="0"/>
        <w:jc w:val="both"/>
        <w:rPr>
          <w:rFonts w:eastAsia="Times New Roman" w:hAnsi="Bookman Old Style" w:ascii="Bookman Old Style"/>
          <w:sz w:val="24"/>
          <w:szCs w:val="20"/>
          <w:lang w:eastAsia="hr-HR" w:val="pl-PL"/>
        </w:rPr>
      </w:pPr>
    </w:p>
    <w:p w:rsidRDefault="000A47D2" w:rsidP="000A47D2" w:rsidR="000A47D2">
      <w:pPr>
        <w:spacing w:after="0"/>
        <w:jc w:val="both"/>
        <w:rPr>
          <w:rFonts w:eastAsia="Times New Roman" w:hAnsi="Bookman Old Style" w:ascii="Bookman Old Style"/>
          <w:sz w:val="24"/>
          <w:szCs w:val="20"/>
          <w:lang w:eastAsia="hr-HR" w:val="pl-PL"/>
        </w:rPr>
      </w:pPr>
      <w:r>
        <w:rPr>
          <w:rFonts w:eastAsia="Times New Roman" w:hAnsi="Bookman Old Style" w:ascii="Bookman Old Style"/>
          <w:sz w:val="24"/>
          <w:szCs w:val="20"/>
          <w:lang w:eastAsia="hr-HR" w:val="pl-PL"/>
        </w:rPr>
        <w:t>Pored zahtjeva za izravnu naplatu podnijeli smo Općinskog građanskom sudu u Zagrebu prijedlog za ovrhu na ½ dijela nekretnine u vlasništvu ovršenika( stan površine 196,38 m2, zgrada Kneza Mutimira 1, Zagreb) radi naplate novčanog potraživanja, a sud je dana 29.07. 2016. godine donio rješenje o ovrsi posl. broj Ovr-7184/16, te je u zemljišnim knjigama izvršen upis zabilježbe ovrhe.</w:t>
      </w:r>
    </w:p>
    <w:p w:rsidRDefault="000A47D2" w:rsidP="000A47D2" w:rsidR="000A47D2">
      <w:pPr>
        <w:spacing w:after="0"/>
        <w:jc w:val="both"/>
        <w:rPr>
          <w:rFonts w:eastAsia="Times New Roman" w:hAnsi="Bookman Old Style" w:ascii="Bookman Old Style"/>
          <w:sz w:val="24"/>
          <w:szCs w:val="20"/>
          <w:lang w:eastAsia="hr-HR" w:val="pl-PL"/>
        </w:rPr>
      </w:pPr>
    </w:p>
    <w:p w:rsidRDefault="000A47D2" w:rsidP="000A47D2" w:rsidR="00662F93">
      <w:pPr>
        <w:spacing w:after="0"/>
        <w:jc w:val="both"/>
        <w:rPr>
          <w:rFonts w:eastAsia="Times New Roman" w:hAnsi="Bookman Old Style" w:ascii="Bookman Old Style"/>
          <w:sz w:val="24"/>
          <w:szCs w:val="20"/>
          <w:lang w:eastAsia="hr-HR" w:val="pl-PL"/>
        </w:rPr>
      </w:pPr>
      <w:r>
        <w:rPr>
          <w:rFonts w:eastAsia="Times New Roman" w:hAnsi="Bookman Old Style" w:ascii="Bookman Old Style"/>
          <w:sz w:val="24"/>
          <w:szCs w:val="20"/>
          <w:lang w:eastAsia="hr-HR" w:val="pl-PL"/>
        </w:rPr>
        <w:t>Protiv dužnika Joze Jeličića-Lovrekovića i njegove supruge Vide Jeličić Lovreković Trgovačkom sudu u Zagrebu podnijeli smo tužbu radi pobijanja dužnikovih pravnih radnji, jer je Ugovorom o darovanju nekretnine položene u k.o. Živogošće (Općinski sud u Splitu, Stalna služba u Makarskoj) prenio u vlasništvo supruge, a postupak se vodi pod poslovnim brojem P-2849/16. Općinskom sudu u Splitu, Stalna služba u Makarskoj podnijeli smo prijedlog za upis zabilježbe tužbe radi pobijanja dužnikovih pravnih radnji</w:t>
      </w:r>
      <w:r w:rsidR="00BF2A55">
        <w:rPr>
          <w:rFonts w:eastAsia="Times New Roman" w:hAnsi="Bookman Old Style" w:ascii="Bookman Old Style"/>
          <w:sz w:val="24"/>
          <w:szCs w:val="20"/>
          <w:lang w:eastAsia="hr-HR" w:val="pl-PL"/>
        </w:rPr>
        <w:t xml:space="preserve">. </w:t>
      </w:r>
    </w:p>
    <w:p w:rsidRDefault="00BF2A55" w:rsidP="000A47D2" w:rsidR="000A47D2">
      <w:pPr>
        <w:spacing w:after="0"/>
        <w:jc w:val="both"/>
        <w:rPr>
          <w:rFonts w:eastAsia="Times New Roman" w:hAnsi="Bookman Old Style" w:ascii="Bookman Old Style"/>
          <w:sz w:val="24"/>
          <w:szCs w:val="20"/>
          <w:lang w:eastAsia="hr-HR" w:val="pl-PL"/>
        </w:rPr>
      </w:pPr>
      <w:r>
        <w:rPr>
          <w:rFonts w:eastAsia="Times New Roman" w:hAnsi="Bookman Old Style" w:ascii="Bookman Old Style"/>
          <w:sz w:val="24"/>
          <w:szCs w:val="20"/>
          <w:lang w:eastAsia="hr-HR" w:val="pl-PL"/>
        </w:rPr>
        <w:t xml:space="preserve">Dana 07. lipnja 2017. godine, Općinski sud u Splitu, Zemljišnoknjižni odjel Makarska,  rješenjem, pod poslovnim brojem </w:t>
      </w:r>
      <w:r w:rsidR="000A47D2">
        <w:rPr>
          <w:rFonts w:eastAsia="Times New Roman" w:hAnsi="Bookman Old Style" w:ascii="Bookman Old Style"/>
          <w:sz w:val="24"/>
          <w:szCs w:val="20"/>
          <w:lang w:eastAsia="hr-HR" w:val="pl-PL"/>
        </w:rPr>
        <w:t>Z-29328/</w:t>
      </w:r>
      <w:r>
        <w:rPr>
          <w:rFonts w:eastAsia="Times New Roman" w:hAnsi="Bookman Old Style" w:ascii="Bookman Old Style"/>
          <w:sz w:val="24"/>
          <w:szCs w:val="20"/>
          <w:lang w:eastAsia="hr-HR" w:val="pl-PL"/>
        </w:rPr>
        <w:t>16, dopustio je upis zabilježbe tužbe radi pobijanja dužnikovih pravnih radnji na č.zem. 4464/20 dvorište zk.il.1557, č.zgr. 440 zgrada zk.ul. 1590.</w:t>
      </w:r>
    </w:p>
    <w:p w:rsidRDefault="000A47D2" w:rsidP="000A47D2" w:rsidR="000A47D2">
      <w:pPr>
        <w:spacing w:after="0"/>
        <w:jc w:val="both"/>
        <w:rPr>
          <w:rFonts w:eastAsia="Times New Roman" w:hAnsi="Bookman Old Style" w:ascii="Bookman Old Style"/>
          <w:sz w:val="24"/>
          <w:szCs w:val="20"/>
          <w:lang w:eastAsia="hr-HR" w:val="pl-PL"/>
        </w:rPr>
      </w:pPr>
    </w:p>
    <w:p w:rsidRDefault="000A47D2" w:rsidP="000A47D2" w:rsidR="000A47D2">
      <w:pPr>
        <w:spacing w:after="0"/>
        <w:jc w:val="both"/>
        <w:rPr>
          <w:rFonts w:eastAsia="Times New Roman" w:hAnsi="Bookman Old Style" w:ascii="Bookman Old Style"/>
          <w:sz w:val="24"/>
          <w:szCs w:val="20"/>
          <w:lang w:eastAsia="hr-HR" w:val="pl-PL"/>
        </w:rPr>
      </w:pPr>
    </w:p>
    <w:p w:rsidRDefault="000A47D2" w:rsidP="000A47D2" w:rsidR="000A47D2">
      <w:pPr>
        <w:spacing w:after="0"/>
        <w:jc w:val="both"/>
        <w:rPr>
          <w:rFonts w:eastAsia="Times New Roman" w:hAnsi="Bookman Old Style" w:ascii="Bookman Old Style"/>
          <w:sz w:val="24"/>
          <w:szCs w:val="20"/>
          <w:lang w:eastAsia="hr-HR" w:val="pl-PL"/>
        </w:rPr>
      </w:pPr>
      <w:r>
        <w:rPr>
          <w:rFonts w:eastAsia="Times New Roman" w:hAnsi="Bookman Old Style" w:ascii="Bookman Old Style"/>
          <w:sz w:val="24"/>
          <w:szCs w:val="20"/>
          <w:lang w:eastAsia="hr-HR" w:val="pl-PL"/>
        </w:rPr>
        <w:t>- Stečajni dužnik nema zaposlenih radnika.</w:t>
      </w:r>
    </w:p>
    <w:p w:rsidRDefault="000A47D2" w:rsidP="000A47D2" w:rsidR="000A47D2">
      <w:pPr>
        <w:spacing w:after="0"/>
        <w:jc w:val="both"/>
        <w:rPr>
          <w:rFonts w:eastAsia="Times New Roman" w:hAnsi="Bookman Old Style" w:ascii="Bookman Old Style"/>
          <w:sz w:val="24"/>
          <w:szCs w:val="20"/>
          <w:lang w:eastAsia="hr-HR" w:val="pl-PL"/>
        </w:rPr>
      </w:pPr>
    </w:p>
    <w:p w:rsidRDefault="000A47D2" w:rsidP="000A47D2" w:rsidR="000A47D2">
      <w:pPr>
        <w:widowControl w:val="false"/>
        <w:autoSpaceDE w:val="false"/>
        <w:autoSpaceDN w:val="false"/>
        <w:adjustRightInd w:val="false"/>
        <w:spacing w:after="0"/>
        <w:rPr>
          <w:rFonts w:eastAsia="Times New Roman" w:hAnsi="Bookman Old Style" w:ascii="Bookman Old Style"/>
          <w:color w:val="000000"/>
          <w:spacing w:val="5"/>
          <w:sz w:val="24"/>
          <w:szCs w:val="24"/>
          <w:lang w:eastAsia="hr-HR"/>
        </w:rPr>
      </w:pPr>
    </w:p>
    <w:p w:rsidRDefault="000A47D2" w:rsidP="000A47D2" w:rsidR="000A47D2">
      <w:pPr>
        <w:shd w:fill="FFFFFF" w:color="auto" w:val="clear"/>
        <w:spacing w:after="0"/>
        <w:jc w:val="both"/>
        <w:rPr>
          <w:rFonts w:eastAsia="Times New Roman" w:hAnsi="Bookman Old Style" w:ascii="Bookman Old Style"/>
          <w:sz w:val="24"/>
          <w:szCs w:val="24"/>
          <w:lang w:eastAsia="hr-HR" w:val="en-US"/>
        </w:rPr>
      </w:pPr>
    </w:p>
    <w:p w:rsidRDefault="000A47D2" w:rsidP="00691CEB" w:rsidR="00691CEB">
      <w:pPr>
        <w:shd w:fill="FFFFFF" w:color="auto" w:val="clear"/>
        <w:spacing w:after="0"/>
        <w:jc w:val="both"/>
        <w:rPr>
          <w:rFonts w:eastAsia="Times New Roman" w:hAnsi="Bookman Old Style" w:ascii="Bookman Old Style"/>
          <w:b/>
          <w:sz w:val="24"/>
          <w:szCs w:val="24"/>
          <w:lang w:eastAsia="hr-HR"/>
        </w:rPr>
      </w:pPr>
      <w:r>
        <w:rPr>
          <w:rFonts w:eastAsia="Times New Roman" w:hAnsi="Bookman Old Style" w:ascii="Bookman Old Style"/>
          <w:sz w:val="24"/>
          <w:szCs w:val="24"/>
          <w:lang w:eastAsia="hr-HR" w:val="en-US"/>
        </w:rPr>
        <w:tab/>
      </w:r>
    </w:p>
    <w:p w:rsidRDefault="00691CEB" w:rsidP="00691CEB" w:rsidR="000A47D2" w:rsidRPr="00691CEB">
      <w:pPr>
        <w:shd w:fill="FFFFFF" w:color="auto" w:val="clear"/>
        <w:spacing w:after="0"/>
        <w:jc w:val="both"/>
        <w:rPr>
          <w:rFonts w:eastAsia="Times New Roman" w:hAnsi="Bookman Old Style" w:ascii="Bookman Old Style"/>
          <w:b/>
          <w:sz w:val="24"/>
          <w:szCs w:val="24"/>
          <w:lang w:eastAsia="hr-HR"/>
        </w:rPr>
      </w:pPr>
      <w:r>
        <w:rPr>
          <w:rFonts w:hAnsi="Bookman Old Style" w:ascii="Bookman Old Style"/>
          <w:sz w:val="24"/>
          <w:szCs w:val="24"/>
          <w:lang w:val="pl-PL"/>
        </w:rPr>
        <w:t>Stanje računa od 15.05.2017. do 15.08</w:t>
      </w:r>
      <w:r w:rsidR="000A47D2">
        <w:rPr>
          <w:rFonts w:hAnsi="Bookman Old Style" w:ascii="Bookman Old Style"/>
          <w:sz w:val="24"/>
          <w:szCs w:val="24"/>
          <w:lang w:val="pl-PL"/>
        </w:rPr>
        <w:t xml:space="preserve">.2017. </w:t>
      </w:r>
    </w:p>
    <w:p w:rsidRDefault="000A47D2" w:rsidP="000A47D2" w:rsidR="000A47D2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</w:p>
    <w:tbl>
      <w:tblPr>
        <w:tblW w:type="dxa" w:w="8122"/>
        <w:tblInd w:type="dxa" w:w="108"/>
        <w:tblLook w:val="04A0" w:noVBand="1" w:noHBand="0" w:lastColumn="0" w:firstColumn="1" w:lastRow="0" w:firstRow="1"/>
      </w:tblPr>
      <w:tblGrid>
        <w:gridCol w:w="700"/>
        <w:gridCol w:w="700"/>
        <w:gridCol w:w="960"/>
        <w:gridCol w:w="960"/>
        <w:gridCol w:w="3220"/>
        <w:gridCol w:w="222"/>
        <w:gridCol w:w="1360"/>
      </w:tblGrid>
      <w:tr w:rsidTr="00691CEB" w:rsidR="000A47D2">
        <w:trPr>
          <w:trHeight w:val="255"/>
        </w:trPr>
        <w:tc>
          <w:tcPr>
            <w:tcW w:type="dxa" w:w="700"/>
            <w:noWrap/>
            <w:vAlign w:val="bottom"/>
            <w:hideMark/>
          </w:tcPr>
          <w:p w:rsidRDefault="000A47D2" w:rsidR="000A47D2">
            <w:pPr>
              <w:spacing w:after="0"/>
              <w:rPr>
                <w:rFonts w:cstheme="minorBidi" w:eastAsiaTheme="minorEastAsia" w:hAnsiTheme="minorHAnsi" w:asciiTheme="minorHAnsi"/>
                <w:lang w:eastAsia="hr-HR"/>
              </w:rPr>
            </w:pPr>
          </w:p>
        </w:tc>
        <w:tc>
          <w:tcPr>
            <w:tcW w:type="dxa" w:w="700"/>
            <w:noWrap/>
            <w:vAlign w:val="bottom"/>
            <w:hideMark/>
          </w:tcPr>
          <w:p w:rsidRDefault="000A47D2" w:rsidR="000A47D2">
            <w:pPr>
              <w:spacing w:after="0"/>
              <w:rPr>
                <w:rFonts w:cstheme="minorBidi" w:eastAsiaTheme="minorEastAsia" w:hAnsiTheme="minorHAnsi" w:asciiTheme="minorHAnsi"/>
                <w:lang w:eastAsia="hr-HR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0A47D2" w:rsidR="000A47D2">
            <w:pPr>
              <w:spacing w:after="0"/>
              <w:rPr>
                <w:rFonts w:cstheme="minorBidi" w:eastAsiaTheme="minorEastAsia" w:hAnsiTheme="minorHAnsi" w:asciiTheme="minorHAnsi"/>
                <w:lang w:eastAsia="hr-HR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0A47D2" w:rsidR="000A47D2">
            <w:pPr>
              <w:spacing w:after="0"/>
              <w:rPr>
                <w:rFonts w:cstheme="minorBidi" w:eastAsiaTheme="minorEastAsia" w:hAnsiTheme="minorHAnsi" w:asciiTheme="minorHAnsi"/>
                <w:lang w:eastAsia="hr-HR"/>
              </w:rPr>
            </w:pPr>
          </w:p>
        </w:tc>
        <w:tc>
          <w:tcPr>
            <w:tcW w:type="dxa" w:w="3220"/>
            <w:noWrap/>
            <w:vAlign w:val="bottom"/>
            <w:hideMark/>
          </w:tcPr>
          <w:p w:rsidRDefault="000A47D2" w:rsidR="000A47D2">
            <w:pPr>
              <w:spacing w:after="0"/>
              <w:rPr>
                <w:rFonts w:cstheme="minorBidi" w:eastAsiaTheme="minorEastAsia" w:hAnsiTheme="minorHAnsi" w:asciiTheme="minorHAnsi"/>
                <w:lang w:eastAsia="hr-HR"/>
              </w:rPr>
            </w:pPr>
          </w:p>
        </w:tc>
        <w:tc>
          <w:tcPr>
            <w:tcW w:type="dxa" w:w="222"/>
            <w:noWrap/>
            <w:vAlign w:val="bottom"/>
            <w:hideMark/>
          </w:tcPr>
          <w:p w:rsidRDefault="000A47D2" w:rsidR="000A47D2">
            <w:pPr>
              <w:spacing w:after="0"/>
              <w:rPr>
                <w:rFonts w:cstheme="minorBidi" w:eastAsiaTheme="minorEastAsia" w:hAnsiTheme="minorHAnsi" w:asciiTheme="minorHAnsi"/>
                <w:lang w:eastAsia="hr-HR"/>
              </w:rPr>
            </w:pPr>
          </w:p>
        </w:tc>
        <w:tc>
          <w:tcPr>
            <w:tcW w:type="dxa" w:w="1360"/>
            <w:noWrap/>
            <w:vAlign w:val="bottom"/>
            <w:hideMark/>
          </w:tcPr>
          <w:p w:rsidRDefault="000A47D2" w:rsidR="000A47D2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Red. žiro račun</w:t>
            </w:r>
          </w:p>
        </w:tc>
      </w:tr>
      <w:tr w:rsidTr="00691CEB" w:rsidR="000A47D2">
        <w:trPr>
          <w:trHeight w:val="255"/>
        </w:trPr>
        <w:tc>
          <w:tcPr>
            <w:tcW w:type="dxa" w:w="700"/>
            <w:noWrap/>
            <w:vAlign w:val="bottom"/>
            <w:hideMark/>
          </w:tcPr>
          <w:p w:rsidRDefault="000A47D2" w:rsidR="000A47D2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1.</w:t>
            </w:r>
          </w:p>
        </w:tc>
        <w:tc>
          <w:tcPr>
            <w:tcW w:type="dxa" w:w="5840"/>
            <w:gridSpan w:val="4"/>
            <w:noWrap/>
            <w:vAlign w:val="bottom"/>
            <w:hideMark/>
          </w:tcPr>
          <w:p w:rsidRDefault="000A47D2" w:rsidR="000A47D2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STANJE NA RAČUNU NA DAN</w:t>
            </w:r>
            <w:r w:rsidR="00691CEB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 xml:space="preserve"> 15.05.2017</w:t>
            </w:r>
            <w:r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. GODINE</w:t>
            </w:r>
          </w:p>
        </w:tc>
        <w:tc>
          <w:tcPr>
            <w:tcW w:type="dxa" w:w="222"/>
            <w:noWrap/>
            <w:vAlign w:val="bottom"/>
            <w:hideMark/>
          </w:tcPr>
          <w:p w:rsidRDefault="000A47D2" w:rsidR="000A47D2">
            <w:pPr>
              <w:spacing w:after="0"/>
              <w:rPr>
                <w:rFonts w:cstheme="minorBidi" w:eastAsiaTheme="minorEastAsia" w:hAnsiTheme="minorHAnsi" w:asciiTheme="minorHAnsi"/>
                <w:lang w:eastAsia="hr-HR"/>
              </w:rPr>
            </w:pPr>
          </w:p>
        </w:tc>
        <w:tc>
          <w:tcPr>
            <w:tcW w:type="dxa" w:w="1360"/>
            <w:noWrap/>
            <w:vAlign w:val="bottom"/>
            <w:hideMark/>
          </w:tcPr>
          <w:p w:rsidRDefault="00691CEB" w:rsidR="000A47D2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137.980</w:t>
            </w:r>
            <w:r w:rsidR="000A47D2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,</w:t>
            </w:r>
            <w:r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16</w:t>
            </w:r>
          </w:p>
        </w:tc>
      </w:tr>
      <w:tr w:rsidTr="00691CEB" w:rsidR="000A47D2">
        <w:trPr>
          <w:trHeight w:val="255"/>
        </w:trPr>
        <w:tc>
          <w:tcPr>
            <w:tcW w:type="dxa" w:w="700"/>
            <w:noWrap/>
            <w:vAlign w:val="bottom"/>
            <w:hideMark/>
          </w:tcPr>
          <w:p w:rsidRDefault="000A47D2" w:rsidR="000A47D2">
            <w:pPr>
              <w:spacing w:after="0"/>
              <w:rPr>
                <w:rFonts w:cstheme="minorBidi" w:eastAsiaTheme="minorEastAsia" w:hAnsiTheme="minorHAnsi" w:asciiTheme="minorHAnsi"/>
                <w:lang w:eastAsia="hr-HR"/>
              </w:rPr>
            </w:pPr>
          </w:p>
        </w:tc>
        <w:tc>
          <w:tcPr>
            <w:tcW w:type="dxa" w:w="1660"/>
            <w:gridSpan w:val="2"/>
            <w:noWrap/>
            <w:vAlign w:val="bottom"/>
            <w:hideMark/>
          </w:tcPr>
          <w:p w:rsidRDefault="000A47D2" w:rsidR="000A47D2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žiro račun</w:t>
            </w:r>
          </w:p>
        </w:tc>
        <w:tc>
          <w:tcPr>
            <w:tcW w:type="dxa" w:w="960"/>
            <w:noWrap/>
            <w:vAlign w:val="bottom"/>
            <w:hideMark/>
          </w:tcPr>
          <w:p w:rsidRDefault="000A47D2" w:rsidR="000A47D2">
            <w:pPr>
              <w:spacing w:after="0"/>
              <w:rPr>
                <w:rFonts w:cstheme="minorBidi" w:eastAsiaTheme="minorEastAsia" w:hAnsiTheme="minorHAnsi" w:asciiTheme="minorHAnsi"/>
                <w:lang w:eastAsia="hr-HR"/>
              </w:rPr>
            </w:pPr>
          </w:p>
        </w:tc>
        <w:tc>
          <w:tcPr>
            <w:tcW w:type="dxa" w:w="3220"/>
            <w:noWrap/>
            <w:vAlign w:val="bottom"/>
            <w:hideMark/>
          </w:tcPr>
          <w:p w:rsidRDefault="000A47D2" w:rsidR="000A47D2">
            <w:pPr>
              <w:spacing w:after="0"/>
              <w:rPr>
                <w:rFonts w:cstheme="minorBidi" w:eastAsiaTheme="minorEastAsia" w:hAnsiTheme="minorHAnsi" w:asciiTheme="minorHAnsi"/>
                <w:lang w:eastAsia="hr-HR"/>
              </w:rPr>
            </w:pPr>
          </w:p>
        </w:tc>
        <w:tc>
          <w:tcPr>
            <w:tcW w:type="dxa" w:w="222"/>
            <w:noWrap/>
            <w:vAlign w:val="bottom"/>
            <w:hideMark/>
          </w:tcPr>
          <w:p w:rsidRDefault="000A47D2" w:rsidR="000A47D2">
            <w:pPr>
              <w:spacing w:after="0"/>
              <w:rPr>
                <w:rFonts w:cstheme="minorBidi" w:eastAsiaTheme="minorEastAsia" w:hAnsiTheme="minorHAnsi" w:asciiTheme="minorHAnsi"/>
                <w:lang w:eastAsia="hr-HR"/>
              </w:rPr>
            </w:pPr>
          </w:p>
        </w:tc>
        <w:tc>
          <w:tcPr>
            <w:tcW w:type="dxa" w:w="1360"/>
            <w:noWrap/>
            <w:vAlign w:val="bottom"/>
            <w:hideMark/>
          </w:tcPr>
          <w:p w:rsidRDefault="00691CEB" w:rsidR="000A47D2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137.820</w:t>
            </w:r>
            <w:r w:rsidR="000A47D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,</w:t>
            </w: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16</w:t>
            </w:r>
          </w:p>
        </w:tc>
      </w:tr>
      <w:tr w:rsidTr="00691CEB" w:rsidR="000A47D2">
        <w:trPr>
          <w:trHeight w:val="255"/>
        </w:trPr>
        <w:tc>
          <w:tcPr>
            <w:tcW w:type="dxa" w:w="700"/>
            <w:noWrap/>
            <w:vAlign w:val="bottom"/>
            <w:hideMark/>
          </w:tcPr>
          <w:p w:rsidRDefault="000A47D2" w:rsidR="000A47D2">
            <w:pPr>
              <w:spacing w:after="0"/>
              <w:rPr>
                <w:rFonts w:cstheme="minorBidi" w:eastAsiaTheme="minorEastAsia" w:hAnsiTheme="minorHAnsi" w:asciiTheme="minorHAnsi"/>
                <w:lang w:eastAsia="hr-HR"/>
              </w:rPr>
            </w:pPr>
          </w:p>
        </w:tc>
        <w:tc>
          <w:tcPr>
            <w:tcW w:type="dxa" w:w="1660"/>
            <w:gridSpan w:val="2"/>
            <w:noWrap/>
            <w:vAlign w:val="bottom"/>
            <w:hideMark/>
          </w:tcPr>
          <w:p w:rsidRDefault="000A47D2" w:rsidR="000A47D2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blagajna </w:t>
            </w:r>
          </w:p>
        </w:tc>
        <w:tc>
          <w:tcPr>
            <w:tcW w:type="dxa" w:w="960"/>
            <w:noWrap/>
            <w:vAlign w:val="bottom"/>
            <w:hideMark/>
          </w:tcPr>
          <w:p w:rsidRDefault="000A47D2" w:rsidR="000A47D2">
            <w:pPr>
              <w:spacing w:after="0"/>
              <w:rPr>
                <w:rFonts w:cstheme="minorBidi" w:eastAsiaTheme="minorEastAsia" w:hAnsiTheme="minorHAnsi" w:asciiTheme="minorHAnsi"/>
                <w:lang w:eastAsia="hr-HR"/>
              </w:rPr>
            </w:pPr>
          </w:p>
        </w:tc>
        <w:tc>
          <w:tcPr>
            <w:tcW w:type="dxa" w:w="3220"/>
            <w:noWrap/>
            <w:vAlign w:val="bottom"/>
            <w:hideMark/>
          </w:tcPr>
          <w:p w:rsidRDefault="000A47D2" w:rsidR="000A47D2">
            <w:pPr>
              <w:spacing w:after="0"/>
              <w:rPr>
                <w:rFonts w:cstheme="minorBidi" w:eastAsiaTheme="minorEastAsia" w:hAnsiTheme="minorHAnsi" w:asciiTheme="minorHAnsi"/>
                <w:lang w:eastAsia="hr-HR"/>
              </w:rPr>
            </w:pPr>
          </w:p>
        </w:tc>
        <w:tc>
          <w:tcPr>
            <w:tcW w:type="dxa" w:w="222"/>
            <w:noWrap/>
            <w:vAlign w:val="bottom"/>
            <w:hideMark/>
          </w:tcPr>
          <w:p w:rsidRDefault="000A47D2" w:rsidR="000A47D2">
            <w:pPr>
              <w:spacing w:after="0"/>
              <w:rPr>
                <w:rFonts w:cstheme="minorBidi" w:eastAsiaTheme="minorEastAsia" w:hAnsiTheme="minorHAnsi" w:asciiTheme="minorHAnsi"/>
                <w:lang w:eastAsia="hr-HR"/>
              </w:rPr>
            </w:pPr>
          </w:p>
        </w:tc>
        <w:tc>
          <w:tcPr>
            <w:tcW w:type="dxa" w:w="1360"/>
            <w:noWrap/>
            <w:vAlign w:val="bottom"/>
            <w:hideMark/>
          </w:tcPr>
          <w:p w:rsidRDefault="00691CEB" w:rsidR="000A47D2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160</w:t>
            </w:r>
            <w:r w:rsidR="000A47D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,00</w:t>
            </w:r>
          </w:p>
        </w:tc>
      </w:tr>
      <w:tr w:rsidTr="00691CEB" w:rsidR="000A47D2">
        <w:trPr>
          <w:trHeight w:val="255"/>
        </w:trPr>
        <w:tc>
          <w:tcPr>
            <w:tcW w:type="dxa" w:w="700"/>
            <w:noWrap/>
            <w:vAlign w:val="bottom"/>
            <w:hideMark/>
          </w:tcPr>
          <w:p w:rsidRDefault="000A47D2" w:rsidR="000A47D2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2.</w:t>
            </w:r>
          </w:p>
        </w:tc>
        <w:tc>
          <w:tcPr>
            <w:tcW w:type="dxa" w:w="2620"/>
            <w:gridSpan w:val="3"/>
            <w:noWrap/>
            <w:vAlign w:val="bottom"/>
            <w:hideMark/>
          </w:tcPr>
          <w:p w:rsidRDefault="000A47D2" w:rsidR="000A47D2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 xml:space="preserve">PRILJEV SREDSTAVA </w:t>
            </w:r>
          </w:p>
        </w:tc>
        <w:tc>
          <w:tcPr>
            <w:tcW w:type="dxa" w:w="3220"/>
            <w:noWrap/>
            <w:vAlign w:val="bottom"/>
            <w:hideMark/>
          </w:tcPr>
          <w:p w:rsidRDefault="000A47D2" w:rsidR="000A47D2">
            <w:pPr>
              <w:spacing w:after="0"/>
              <w:rPr>
                <w:rFonts w:cstheme="minorBidi" w:eastAsiaTheme="minorEastAsia" w:hAnsiTheme="minorHAnsi" w:asciiTheme="minorHAnsi"/>
                <w:lang w:eastAsia="hr-HR"/>
              </w:rPr>
            </w:pPr>
          </w:p>
        </w:tc>
        <w:tc>
          <w:tcPr>
            <w:tcW w:type="dxa" w:w="222"/>
            <w:noWrap/>
            <w:vAlign w:val="bottom"/>
            <w:hideMark/>
          </w:tcPr>
          <w:p w:rsidRDefault="000A47D2" w:rsidR="000A47D2">
            <w:pPr>
              <w:spacing w:after="0"/>
              <w:rPr>
                <w:rFonts w:cstheme="minorBidi" w:eastAsiaTheme="minorEastAsia" w:hAnsiTheme="minorHAnsi" w:asciiTheme="minorHAnsi"/>
                <w:lang w:eastAsia="hr-HR"/>
              </w:rPr>
            </w:pPr>
          </w:p>
        </w:tc>
        <w:tc>
          <w:tcPr>
            <w:tcW w:type="dxa" w:w="1360"/>
            <w:noWrap/>
            <w:vAlign w:val="bottom"/>
            <w:hideMark/>
          </w:tcPr>
          <w:p w:rsidRDefault="00691CEB" w:rsidR="000A47D2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2</w:t>
            </w:r>
            <w:r w:rsidR="000A47D2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,</w:t>
            </w:r>
            <w:r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30</w:t>
            </w:r>
          </w:p>
        </w:tc>
      </w:tr>
      <w:tr w:rsidTr="00691CEB" w:rsidR="000A47D2">
        <w:trPr>
          <w:trHeight w:val="255"/>
        </w:trPr>
        <w:tc>
          <w:tcPr>
            <w:tcW w:type="dxa" w:w="700"/>
            <w:noWrap/>
            <w:vAlign w:val="bottom"/>
            <w:hideMark/>
          </w:tcPr>
          <w:p w:rsidRDefault="000A47D2" w:rsidR="000A47D2">
            <w:pPr>
              <w:spacing w:after="0"/>
              <w:rPr>
                <w:rFonts w:cstheme="minorBidi" w:eastAsiaTheme="minorEastAsia" w:hAnsiTheme="minorHAnsi" w:asciiTheme="minorHAnsi"/>
                <w:lang w:eastAsia="hr-HR"/>
              </w:rPr>
            </w:pPr>
          </w:p>
        </w:tc>
        <w:tc>
          <w:tcPr>
            <w:tcW w:type="dxa" w:w="1660"/>
            <w:gridSpan w:val="2"/>
            <w:noWrap/>
            <w:vAlign w:val="bottom"/>
            <w:hideMark/>
          </w:tcPr>
          <w:p w:rsidRDefault="000A47D2" w:rsidR="000A47D2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HPB-kamate</w:t>
            </w:r>
          </w:p>
        </w:tc>
        <w:tc>
          <w:tcPr>
            <w:tcW w:type="dxa" w:w="960"/>
            <w:noWrap/>
            <w:vAlign w:val="bottom"/>
            <w:hideMark/>
          </w:tcPr>
          <w:p w:rsidRDefault="000A47D2" w:rsidR="000A47D2">
            <w:pPr>
              <w:spacing w:after="0"/>
              <w:rPr>
                <w:rFonts w:cstheme="minorBidi" w:eastAsiaTheme="minorEastAsia" w:hAnsiTheme="minorHAnsi" w:asciiTheme="minorHAnsi"/>
                <w:lang w:eastAsia="hr-HR"/>
              </w:rPr>
            </w:pPr>
          </w:p>
        </w:tc>
        <w:tc>
          <w:tcPr>
            <w:tcW w:type="dxa" w:w="3220"/>
            <w:noWrap/>
            <w:vAlign w:val="bottom"/>
            <w:hideMark/>
          </w:tcPr>
          <w:p w:rsidRDefault="000A47D2" w:rsidR="000A47D2">
            <w:pPr>
              <w:spacing w:after="0"/>
              <w:rPr>
                <w:rFonts w:cstheme="minorBidi" w:eastAsiaTheme="minorEastAsia" w:hAnsiTheme="minorHAnsi" w:asciiTheme="minorHAnsi"/>
                <w:lang w:eastAsia="hr-HR"/>
              </w:rPr>
            </w:pPr>
          </w:p>
        </w:tc>
        <w:tc>
          <w:tcPr>
            <w:tcW w:type="dxa" w:w="222"/>
            <w:noWrap/>
            <w:vAlign w:val="bottom"/>
            <w:hideMark/>
          </w:tcPr>
          <w:p w:rsidRDefault="000A47D2" w:rsidR="000A47D2">
            <w:pPr>
              <w:spacing w:after="0"/>
              <w:rPr>
                <w:rFonts w:cstheme="minorBidi" w:eastAsiaTheme="minorEastAsia" w:hAnsiTheme="minorHAnsi" w:asciiTheme="minorHAnsi"/>
                <w:lang w:eastAsia="hr-HR"/>
              </w:rPr>
            </w:pPr>
          </w:p>
        </w:tc>
        <w:tc>
          <w:tcPr>
            <w:tcW w:type="dxa" w:w="1360"/>
            <w:noWrap/>
            <w:vAlign w:val="bottom"/>
            <w:hideMark/>
          </w:tcPr>
          <w:p w:rsidRDefault="00691CEB" w:rsidR="000A47D2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</w:t>
            </w:r>
            <w:r w:rsidR="000A47D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,</w:t>
            </w: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30</w:t>
            </w:r>
          </w:p>
        </w:tc>
      </w:tr>
      <w:tr w:rsidTr="00691CEB" w:rsidR="000A47D2">
        <w:trPr>
          <w:trHeight w:val="255"/>
        </w:trPr>
        <w:tc>
          <w:tcPr>
            <w:tcW w:type="dxa" w:w="700"/>
            <w:noWrap/>
            <w:vAlign w:val="bottom"/>
            <w:hideMark/>
          </w:tcPr>
          <w:p w:rsidRDefault="000A47D2" w:rsidR="000A47D2">
            <w:pPr>
              <w:spacing w:after="0"/>
              <w:rPr>
                <w:rFonts w:cstheme="minorBidi" w:eastAsiaTheme="minorEastAsia" w:hAnsiTheme="minorHAnsi" w:asciiTheme="minorHAnsi"/>
                <w:lang w:eastAsia="hr-HR"/>
              </w:rPr>
            </w:pPr>
          </w:p>
        </w:tc>
        <w:tc>
          <w:tcPr>
            <w:tcW w:type="dxa" w:w="2620"/>
            <w:gridSpan w:val="3"/>
            <w:noWrap/>
            <w:vAlign w:val="bottom"/>
            <w:hideMark/>
          </w:tcPr>
          <w:p w:rsidRDefault="000A47D2" w:rsidR="000A47D2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Priliv s drugih računa</w:t>
            </w:r>
          </w:p>
        </w:tc>
        <w:tc>
          <w:tcPr>
            <w:tcW w:type="dxa" w:w="3220"/>
            <w:noWrap/>
            <w:vAlign w:val="bottom"/>
            <w:hideMark/>
          </w:tcPr>
          <w:p w:rsidRDefault="000A47D2" w:rsidR="000A47D2">
            <w:pPr>
              <w:spacing w:after="0"/>
              <w:rPr>
                <w:rFonts w:cstheme="minorBidi" w:eastAsiaTheme="minorEastAsia" w:hAnsiTheme="minorHAnsi" w:asciiTheme="minorHAnsi"/>
                <w:lang w:eastAsia="hr-HR"/>
              </w:rPr>
            </w:pPr>
          </w:p>
        </w:tc>
        <w:tc>
          <w:tcPr>
            <w:tcW w:type="dxa" w:w="222"/>
            <w:noWrap/>
            <w:vAlign w:val="bottom"/>
            <w:hideMark/>
          </w:tcPr>
          <w:p w:rsidRDefault="000A47D2" w:rsidR="000A47D2">
            <w:pPr>
              <w:spacing w:after="0"/>
              <w:rPr>
                <w:rFonts w:cstheme="minorBidi" w:eastAsiaTheme="minorEastAsia" w:hAnsiTheme="minorHAnsi" w:asciiTheme="minorHAnsi"/>
                <w:lang w:eastAsia="hr-HR"/>
              </w:rPr>
            </w:pPr>
          </w:p>
        </w:tc>
        <w:tc>
          <w:tcPr>
            <w:tcW w:type="dxa" w:w="1360"/>
            <w:noWrap/>
            <w:vAlign w:val="bottom"/>
            <w:hideMark/>
          </w:tcPr>
          <w:p w:rsidRDefault="000A47D2" w:rsidR="000A47D2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691CEB" w:rsidR="000A47D2">
        <w:trPr>
          <w:trHeight w:val="255"/>
        </w:trPr>
        <w:tc>
          <w:tcPr>
            <w:tcW w:type="dxa" w:w="700"/>
            <w:noWrap/>
            <w:vAlign w:val="bottom"/>
            <w:hideMark/>
          </w:tcPr>
          <w:p w:rsidRDefault="000A47D2" w:rsidR="000A47D2">
            <w:pPr>
              <w:spacing w:after="0"/>
              <w:rPr>
                <w:rFonts w:cstheme="minorBidi" w:eastAsiaTheme="minorEastAsia" w:hAnsiTheme="minorHAnsi" w:asciiTheme="minorHAnsi"/>
                <w:lang w:eastAsia="hr-HR"/>
              </w:rPr>
            </w:pPr>
          </w:p>
        </w:tc>
        <w:tc>
          <w:tcPr>
            <w:tcW w:type="dxa" w:w="2620"/>
            <w:gridSpan w:val="3"/>
            <w:noWrap/>
            <w:vAlign w:val="bottom"/>
            <w:hideMark/>
          </w:tcPr>
          <w:p w:rsidRDefault="000A47D2" w:rsidR="000A47D2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Priliv od prodaje imovine</w:t>
            </w:r>
          </w:p>
        </w:tc>
        <w:tc>
          <w:tcPr>
            <w:tcW w:type="dxa" w:w="3220"/>
            <w:noWrap/>
            <w:vAlign w:val="bottom"/>
            <w:hideMark/>
          </w:tcPr>
          <w:p w:rsidRDefault="000A47D2" w:rsidR="000A47D2">
            <w:pPr>
              <w:spacing w:after="0"/>
              <w:rPr>
                <w:rFonts w:cstheme="minorBidi" w:eastAsiaTheme="minorEastAsia" w:hAnsiTheme="minorHAnsi" w:asciiTheme="minorHAnsi"/>
                <w:lang w:eastAsia="hr-HR"/>
              </w:rPr>
            </w:pPr>
          </w:p>
        </w:tc>
        <w:tc>
          <w:tcPr>
            <w:tcW w:type="dxa" w:w="222"/>
            <w:noWrap/>
            <w:vAlign w:val="bottom"/>
            <w:hideMark/>
          </w:tcPr>
          <w:p w:rsidRDefault="000A47D2" w:rsidR="000A47D2">
            <w:pPr>
              <w:spacing w:after="0"/>
              <w:rPr>
                <w:rFonts w:cstheme="minorBidi" w:eastAsiaTheme="minorEastAsia" w:hAnsiTheme="minorHAnsi" w:asciiTheme="minorHAnsi"/>
                <w:lang w:eastAsia="hr-HR"/>
              </w:rPr>
            </w:pPr>
          </w:p>
        </w:tc>
        <w:tc>
          <w:tcPr>
            <w:tcW w:type="dxa" w:w="1360"/>
            <w:noWrap/>
            <w:vAlign w:val="bottom"/>
            <w:hideMark/>
          </w:tcPr>
          <w:p w:rsidRDefault="000A47D2" w:rsidR="000A47D2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691CEB" w:rsidR="000A47D2">
        <w:trPr>
          <w:trHeight w:val="255"/>
        </w:trPr>
        <w:tc>
          <w:tcPr>
            <w:tcW w:type="dxa" w:w="700"/>
            <w:noWrap/>
            <w:vAlign w:val="bottom"/>
            <w:hideMark/>
          </w:tcPr>
          <w:p w:rsidRDefault="000A47D2" w:rsidR="000A47D2">
            <w:pPr>
              <w:spacing w:after="0"/>
              <w:rPr>
                <w:rFonts w:cstheme="minorBidi" w:eastAsiaTheme="minorEastAsia" w:hAnsiTheme="minorHAnsi" w:asciiTheme="minorHAnsi"/>
                <w:lang w:eastAsia="hr-HR"/>
              </w:rPr>
            </w:pPr>
          </w:p>
        </w:tc>
        <w:tc>
          <w:tcPr>
            <w:tcW w:type="dxa" w:w="5840"/>
            <w:gridSpan w:val="4"/>
            <w:noWrap/>
            <w:vAlign w:val="bottom"/>
            <w:hideMark/>
          </w:tcPr>
          <w:p w:rsidRDefault="000A47D2" w:rsidR="000A47D2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Priliv  po presudi P-2849/2016-2</w:t>
            </w:r>
          </w:p>
        </w:tc>
        <w:tc>
          <w:tcPr>
            <w:tcW w:type="dxa" w:w="222"/>
            <w:noWrap/>
            <w:vAlign w:val="bottom"/>
            <w:hideMark/>
          </w:tcPr>
          <w:p w:rsidRDefault="000A47D2" w:rsidR="000A47D2">
            <w:pPr>
              <w:spacing w:after="0"/>
              <w:rPr>
                <w:rFonts w:cstheme="minorBidi" w:eastAsiaTheme="minorEastAsia" w:hAnsiTheme="minorHAnsi" w:asciiTheme="minorHAnsi"/>
                <w:lang w:eastAsia="hr-HR"/>
              </w:rPr>
            </w:pPr>
          </w:p>
        </w:tc>
        <w:tc>
          <w:tcPr>
            <w:tcW w:type="dxa" w:w="1360"/>
            <w:noWrap/>
            <w:vAlign w:val="bottom"/>
            <w:hideMark/>
          </w:tcPr>
          <w:p w:rsidRDefault="00691CEB" w:rsidR="000A47D2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</w:t>
            </w:r>
            <w:r w:rsidR="000A47D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,</w:t>
            </w: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00</w:t>
            </w:r>
          </w:p>
        </w:tc>
      </w:tr>
      <w:tr w:rsidTr="00691CEB" w:rsidR="000A47D2">
        <w:trPr>
          <w:trHeight w:val="255"/>
        </w:trPr>
        <w:tc>
          <w:tcPr>
            <w:tcW w:type="dxa" w:w="700"/>
            <w:noWrap/>
            <w:vAlign w:val="bottom"/>
            <w:hideMark/>
          </w:tcPr>
          <w:p w:rsidRDefault="000A47D2" w:rsidR="000A47D2">
            <w:pPr>
              <w:spacing w:after="0"/>
              <w:rPr>
                <w:rFonts w:cstheme="minorBidi" w:eastAsiaTheme="minorEastAsia" w:hAnsiTheme="minorHAnsi" w:asciiTheme="minorHAnsi"/>
                <w:lang w:eastAsia="hr-HR"/>
              </w:rPr>
            </w:pPr>
          </w:p>
        </w:tc>
        <w:tc>
          <w:tcPr>
            <w:tcW w:type="dxa" w:w="2620"/>
            <w:gridSpan w:val="3"/>
            <w:noWrap/>
            <w:vAlign w:val="bottom"/>
            <w:hideMark/>
          </w:tcPr>
          <w:p w:rsidRDefault="000A47D2" w:rsidR="000A47D2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Povrat od pozajmica</w:t>
            </w:r>
          </w:p>
        </w:tc>
        <w:tc>
          <w:tcPr>
            <w:tcW w:type="dxa" w:w="3220"/>
            <w:noWrap/>
            <w:vAlign w:val="bottom"/>
            <w:hideMark/>
          </w:tcPr>
          <w:p w:rsidRDefault="000A47D2" w:rsidR="000A47D2">
            <w:pPr>
              <w:spacing w:after="0"/>
              <w:rPr>
                <w:rFonts w:cstheme="minorBidi" w:eastAsiaTheme="minorEastAsia" w:hAnsiTheme="minorHAnsi" w:asciiTheme="minorHAnsi"/>
                <w:lang w:eastAsia="hr-HR"/>
              </w:rPr>
            </w:pPr>
          </w:p>
        </w:tc>
        <w:tc>
          <w:tcPr>
            <w:tcW w:type="dxa" w:w="222"/>
            <w:noWrap/>
            <w:vAlign w:val="bottom"/>
            <w:hideMark/>
          </w:tcPr>
          <w:p w:rsidRDefault="000A47D2" w:rsidR="000A47D2">
            <w:pPr>
              <w:spacing w:after="0"/>
              <w:rPr>
                <w:rFonts w:cstheme="minorBidi" w:eastAsiaTheme="minorEastAsia" w:hAnsiTheme="minorHAnsi" w:asciiTheme="minorHAnsi"/>
                <w:lang w:eastAsia="hr-HR"/>
              </w:rPr>
            </w:pPr>
          </w:p>
        </w:tc>
        <w:tc>
          <w:tcPr>
            <w:tcW w:type="dxa" w:w="1360"/>
            <w:noWrap/>
            <w:vAlign w:val="bottom"/>
            <w:hideMark/>
          </w:tcPr>
          <w:p w:rsidRDefault="00691CEB" w:rsidR="000A47D2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</w:t>
            </w:r>
            <w:r w:rsidR="000A47D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,00</w:t>
            </w:r>
          </w:p>
        </w:tc>
      </w:tr>
      <w:tr w:rsidTr="00691CEB" w:rsidR="000A47D2">
        <w:trPr>
          <w:trHeight w:val="255"/>
        </w:trPr>
        <w:tc>
          <w:tcPr>
            <w:tcW w:type="dxa" w:w="700"/>
            <w:noWrap/>
            <w:vAlign w:val="bottom"/>
            <w:hideMark/>
          </w:tcPr>
          <w:p w:rsidRDefault="000A47D2" w:rsidR="000A47D2">
            <w:pPr>
              <w:spacing w:after="0"/>
              <w:rPr>
                <w:rFonts w:cstheme="minorBidi" w:eastAsiaTheme="minorEastAsia" w:hAnsiTheme="minorHAnsi" w:asciiTheme="minorHAnsi"/>
                <w:lang w:eastAsia="hr-HR"/>
              </w:rPr>
            </w:pPr>
          </w:p>
        </w:tc>
        <w:tc>
          <w:tcPr>
            <w:tcW w:type="dxa" w:w="2620"/>
            <w:gridSpan w:val="3"/>
            <w:noWrap/>
            <w:vAlign w:val="bottom"/>
            <w:hideMark/>
          </w:tcPr>
          <w:p w:rsidRDefault="000A47D2" w:rsidR="000A47D2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Priljev od jamčevina</w:t>
            </w:r>
          </w:p>
        </w:tc>
        <w:tc>
          <w:tcPr>
            <w:tcW w:type="dxa" w:w="3220"/>
            <w:noWrap/>
            <w:vAlign w:val="bottom"/>
            <w:hideMark/>
          </w:tcPr>
          <w:p w:rsidRDefault="000A47D2" w:rsidR="000A47D2">
            <w:pPr>
              <w:spacing w:after="0"/>
              <w:rPr>
                <w:rFonts w:cstheme="minorBidi" w:eastAsiaTheme="minorEastAsia" w:hAnsiTheme="minorHAnsi" w:asciiTheme="minorHAnsi"/>
                <w:lang w:eastAsia="hr-HR"/>
              </w:rPr>
            </w:pPr>
          </w:p>
        </w:tc>
        <w:tc>
          <w:tcPr>
            <w:tcW w:type="dxa" w:w="222"/>
            <w:noWrap/>
            <w:vAlign w:val="bottom"/>
            <w:hideMark/>
          </w:tcPr>
          <w:p w:rsidRDefault="000A47D2" w:rsidR="000A47D2">
            <w:pPr>
              <w:spacing w:after="0"/>
              <w:rPr>
                <w:rFonts w:cstheme="minorBidi" w:eastAsiaTheme="minorEastAsia" w:hAnsiTheme="minorHAnsi" w:asciiTheme="minorHAnsi"/>
                <w:lang w:eastAsia="hr-HR"/>
              </w:rPr>
            </w:pPr>
          </w:p>
        </w:tc>
        <w:tc>
          <w:tcPr>
            <w:tcW w:type="dxa" w:w="1360"/>
            <w:noWrap/>
            <w:vAlign w:val="bottom"/>
            <w:hideMark/>
          </w:tcPr>
          <w:p w:rsidRDefault="000A47D2" w:rsidR="000A47D2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691CEB" w:rsidR="000A47D2">
        <w:trPr>
          <w:trHeight w:val="255"/>
        </w:trPr>
        <w:tc>
          <w:tcPr>
            <w:tcW w:type="dxa" w:w="700"/>
            <w:noWrap/>
            <w:vAlign w:val="bottom"/>
            <w:hideMark/>
          </w:tcPr>
          <w:p w:rsidRDefault="000A47D2" w:rsidR="000A47D2">
            <w:pPr>
              <w:spacing w:after="0"/>
              <w:rPr>
                <w:rFonts w:cstheme="minorBidi" w:eastAsiaTheme="minorEastAsia" w:hAnsiTheme="minorHAnsi" w:asciiTheme="minorHAnsi"/>
                <w:lang w:eastAsia="hr-HR"/>
              </w:rPr>
            </w:pPr>
          </w:p>
        </w:tc>
        <w:tc>
          <w:tcPr>
            <w:tcW w:type="dxa" w:w="2620"/>
            <w:gridSpan w:val="3"/>
            <w:noWrap/>
            <w:vAlign w:val="bottom"/>
            <w:hideMark/>
          </w:tcPr>
          <w:p w:rsidRDefault="000A47D2" w:rsidR="000A47D2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Priliv od kupaca prije stečaja</w:t>
            </w:r>
          </w:p>
        </w:tc>
        <w:tc>
          <w:tcPr>
            <w:tcW w:type="dxa" w:w="3220"/>
            <w:noWrap/>
            <w:vAlign w:val="bottom"/>
            <w:hideMark/>
          </w:tcPr>
          <w:p w:rsidRDefault="000A47D2" w:rsidR="000A47D2">
            <w:pPr>
              <w:spacing w:after="0"/>
              <w:rPr>
                <w:rFonts w:cstheme="minorBidi" w:eastAsiaTheme="minorEastAsia" w:hAnsiTheme="minorHAnsi" w:asciiTheme="minorHAnsi"/>
                <w:lang w:eastAsia="hr-HR"/>
              </w:rPr>
            </w:pPr>
          </w:p>
        </w:tc>
        <w:tc>
          <w:tcPr>
            <w:tcW w:type="dxa" w:w="222"/>
            <w:noWrap/>
            <w:vAlign w:val="bottom"/>
            <w:hideMark/>
          </w:tcPr>
          <w:p w:rsidRDefault="000A47D2" w:rsidR="000A47D2">
            <w:pPr>
              <w:spacing w:after="0"/>
              <w:rPr>
                <w:rFonts w:cstheme="minorBidi" w:eastAsiaTheme="minorEastAsia" w:hAnsiTheme="minorHAnsi" w:asciiTheme="minorHAnsi"/>
                <w:lang w:eastAsia="hr-HR"/>
              </w:rPr>
            </w:pPr>
          </w:p>
        </w:tc>
        <w:tc>
          <w:tcPr>
            <w:tcW w:type="dxa" w:w="1360"/>
            <w:noWrap/>
            <w:vAlign w:val="bottom"/>
            <w:hideMark/>
          </w:tcPr>
          <w:p w:rsidRDefault="000A47D2" w:rsidR="000A47D2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691CEB" w:rsidR="000A47D2">
        <w:trPr>
          <w:trHeight w:val="255"/>
        </w:trPr>
        <w:tc>
          <w:tcPr>
            <w:tcW w:type="dxa" w:w="700"/>
            <w:noWrap/>
            <w:vAlign w:val="bottom"/>
            <w:hideMark/>
          </w:tcPr>
          <w:p w:rsidRDefault="000A47D2" w:rsidR="000A47D2">
            <w:pPr>
              <w:spacing w:after="0"/>
              <w:rPr>
                <w:rFonts w:cstheme="minorBidi" w:eastAsiaTheme="minorEastAsia" w:hAnsiTheme="minorHAnsi" w:asciiTheme="minorHAnsi"/>
                <w:lang w:eastAsia="hr-HR"/>
              </w:rPr>
            </w:pPr>
          </w:p>
        </w:tc>
        <w:tc>
          <w:tcPr>
            <w:tcW w:type="dxa" w:w="5840"/>
            <w:gridSpan w:val="4"/>
            <w:noWrap/>
            <w:vAlign w:val="bottom"/>
            <w:hideMark/>
          </w:tcPr>
          <w:p w:rsidRDefault="000A47D2" w:rsidR="000A47D2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Priliv od prodaje dionica INGR-a</w:t>
            </w:r>
          </w:p>
        </w:tc>
        <w:tc>
          <w:tcPr>
            <w:tcW w:type="dxa" w:w="222"/>
            <w:noWrap/>
            <w:vAlign w:val="bottom"/>
            <w:hideMark/>
          </w:tcPr>
          <w:p w:rsidRDefault="000A47D2" w:rsidR="000A47D2">
            <w:pPr>
              <w:spacing w:after="0"/>
              <w:rPr>
                <w:rFonts w:cstheme="minorBidi" w:eastAsiaTheme="minorEastAsia" w:hAnsiTheme="minorHAnsi" w:asciiTheme="minorHAnsi"/>
                <w:lang w:eastAsia="hr-HR"/>
              </w:rPr>
            </w:pPr>
          </w:p>
        </w:tc>
        <w:tc>
          <w:tcPr>
            <w:tcW w:type="dxa" w:w="1360"/>
            <w:noWrap/>
            <w:vAlign w:val="bottom"/>
            <w:hideMark/>
          </w:tcPr>
          <w:p w:rsidRDefault="000A47D2" w:rsidR="000A47D2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691CEB" w:rsidR="000A47D2">
        <w:trPr>
          <w:trHeight w:val="255"/>
        </w:trPr>
        <w:tc>
          <w:tcPr>
            <w:tcW w:type="dxa" w:w="700"/>
            <w:noWrap/>
            <w:vAlign w:val="bottom"/>
            <w:hideMark/>
          </w:tcPr>
          <w:p w:rsidRDefault="000A47D2" w:rsidR="000A47D2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lastRenderedPageBreak/>
              <w:t>3.</w:t>
            </w:r>
          </w:p>
        </w:tc>
        <w:tc>
          <w:tcPr>
            <w:tcW w:type="dxa" w:w="2620"/>
            <w:gridSpan w:val="3"/>
            <w:noWrap/>
            <w:vAlign w:val="bottom"/>
            <w:hideMark/>
          </w:tcPr>
          <w:p w:rsidRDefault="000A47D2" w:rsidR="000A47D2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KONTROLNI ZBROJ (1+2)</w:t>
            </w:r>
          </w:p>
        </w:tc>
        <w:tc>
          <w:tcPr>
            <w:tcW w:type="dxa" w:w="3220"/>
            <w:noWrap/>
            <w:vAlign w:val="bottom"/>
            <w:hideMark/>
          </w:tcPr>
          <w:p w:rsidRDefault="000A47D2" w:rsidR="000A47D2">
            <w:pPr>
              <w:spacing w:after="0"/>
              <w:rPr>
                <w:rFonts w:cstheme="minorBidi" w:eastAsiaTheme="minorEastAsia" w:hAnsiTheme="minorHAnsi" w:asciiTheme="minorHAnsi"/>
                <w:lang w:eastAsia="hr-HR"/>
              </w:rPr>
            </w:pPr>
          </w:p>
        </w:tc>
        <w:tc>
          <w:tcPr>
            <w:tcW w:type="dxa" w:w="222"/>
            <w:noWrap/>
            <w:vAlign w:val="bottom"/>
            <w:hideMark/>
          </w:tcPr>
          <w:p w:rsidRDefault="000A47D2" w:rsidR="000A47D2">
            <w:pPr>
              <w:spacing w:after="0"/>
              <w:rPr>
                <w:rFonts w:cstheme="minorBidi" w:eastAsiaTheme="minorEastAsia" w:hAnsiTheme="minorHAnsi" w:asciiTheme="minorHAnsi"/>
                <w:lang w:eastAsia="hr-HR"/>
              </w:rPr>
            </w:pPr>
          </w:p>
        </w:tc>
        <w:tc>
          <w:tcPr>
            <w:tcW w:type="dxa" w:w="1360"/>
            <w:noWrap/>
            <w:vAlign w:val="bottom"/>
            <w:hideMark/>
          </w:tcPr>
          <w:p w:rsidRDefault="00691CEB" w:rsidR="000A47D2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137.982,4</w:t>
            </w:r>
            <w:r w:rsidR="000A47D2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6</w:t>
            </w:r>
          </w:p>
        </w:tc>
      </w:tr>
      <w:tr w:rsidTr="00691CEB" w:rsidR="000A47D2">
        <w:trPr>
          <w:trHeight w:val="255"/>
        </w:trPr>
        <w:tc>
          <w:tcPr>
            <w:tcW w:type="dxa" w:w="700"/>
            <w:noWrap/>
            <w:vAlign w:val="bottom"/>
            <w:hideMark/>
          </w:tcPr>
          <w:p w:rsidRDefault="000A47D2" w:rsidR="000A47D2">
            <w:pPr>
              <w:spacing w:after="0"/>
              <w:rPr>
                <w:rFonts w:cstheme="minorBidi" w:eastAsiaTheme="minorEastAsia" w:hAnsiTheme="minorHAnsi" w:asciiTheme="minorHAnsi"/>
                <w:lang w:eastAsia="hr-HR"/>
              </w:rPr>
            </w:pPr>
          </w:p>
        </w:tc>
        <w:tc>
          <w:tcPr>
            <w:tcW w:type="dxa" w:w="700"/>
            <w:noWrap/>
            <w:vAlign w:val="bottom"/>
            <w:hideMark/>
          </w:tcPr>
          <w:p w:rsidRDefault="000A47D2" w:rsidR="000A47D2">
            <w:pPr>
              <w:spacing w:after="0"/>
              <w:rPr>
                <w:rFonts w:cstheme="minorBidi" w:eastAsiaTheme="minorEastAsia" w:hAnsiTheme="minorHAnsi" w:asciiTheme="minorHAnsi"/>
                <w:lang w:eastAsia="hr-HR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0A47D2" w:rsidR="000A47D2">
            <w:pPr>
              <w:spacing w:after="0"/>
              <w:rPr>
                <w:rFonts w:cstheme="minorBidi" w:eastAsiaTheme="minorEastAsia" w:hAnsiTheme="minorHAnsi" w:asciiTheme="minorHAnsi"/>
                <w:lang w:eastAsia="hr-HR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0A47D2" w:rsidR="000A47D2">
            <w:pPr>
              <w:spacing w:after="0"/>
              <w:rPr>
                <w:rFonts w:cstheme="minorBidi" w:eastAsiaTheme="minorEastAsia" w:hAnsiTheme="minorHAnsi" w:asciiTheme="minorHAnsi"/>
                <w:lang w:eastAsia="hr-HR"/>
              </w:rPr>
            </w:pPr>
          </w:p>
        </w:tc>
        <w:tc>
          <w:tcPr>
            <w:tcW w:type="dxa" w:w="3220"/>
            <w:noWrap/>
            <w:vAlign w:val="bottom"/>
            <w:hideMark/>
          </w:tcPr>
          <w:p w:rsidRDefault="000A47D2" w:rsidR="000A47D2">
            <w:pPr>
              <w:spacing w:after="0"/>
              <w:rPr>
                <w:rFonts w:cstheme="minorBidi" w:eastAsiaTheme="minorEastAsia" w:hAnsiTheme="minorHAnsi" w:asciiTheme="minorHAnsi"/>
                <w:lang w:eastAsia="hr-HR"/>
              </w:rPr>
            </w:pPr>
          </w:p>
        </w:tc>
        <w:tc>
          <w:tcPr>
            <w:tcW w:type="dxa" w:w="222"/>
            <w:noWrap/>
            <w:vAlign w:val="bottom"/>
            <w:hideMark/>
          </w:tcPr>
          <w:p w:rsidRDefault="000A47D2" w:rsidR="000A47D2">
            <w:pPr>
              <w:spacing w:after="0"/>
              <w:rPr>
                <w:rFonts w:cstheme="minorBidi" w:eastAsiaTheme="minorEastAsia" w:hAnsiTheme="minorHAnsi" w:asciiTheme="minorHAnsi"/>
                <w:lang w:eastAsia="hr-HR"/>
              </w:rPr>
            </w:pPr>
          </w:p>
        </w:tc>
        <w:tc>
          <w:tcPr>
            <w:tcW w:type="dxa" w:w="1360"/>
            <w:noWrap/>
            <w:vAlign w:val="bottom"/>
            <w:hideMark/>
          </w:tcPr>
          <w:p w:rsidRDefault="000A47D2" w:rsidR="000A47D2">
            <w:pPr>
              <w:spacing w:after="0"/>
              <w:rPr>
                <w:rFonts w:cstheme="minorBidi" w:eastAsiaTheme="minorEastAsia" w:hAnsiTheme="minorHAnsi" w:asciiTheme="minorHAnsi"/>
                <w:lang w:eastAsia="hr-HR"/>
              </w:rPr>
            </w:pPr>
          </w:p>
        </w:tc>
      </w:tr>
      <w:tr w:rsidTr="00691CEB" w:rsidR="000A47D2">
        <w:trPr>
          <w:trHeight w:val="255"/>
        </w:trPr>
        <w:tc>
          <w:tcPr>
            <w:tcW w:type="dxa" w:w="700"/>
            <w:noWrap/>
            <w:vAlign w:val="bottom"/>
            <w:hideMark/>
          </w:tcPr>
          <w:p w:rsidRDefault="000A47D2" w:rsidR="000A47D2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4.</w:t>
            </w:r>
          </w:p>
        </w:tc>
        <w:tc>
          <w:tcPr>
            <w:tcW w:type="dxa" w:w="2620"/>
            <w:gridSpan w:val="3"/>
            <w:noWrap/>
            <w:vAlign w:val="bottom"/>
            <w:hideMark/>
          </w:tcPr>
          <w:p w:rsidRDefault="000A47D2" w:rsidR="000A47D2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ODLJEV SREDSTAVA</w:t>
            </w:r>
          </w:p>
        </w:tc>
        <w:tc>
          <w:tcPr>
            <w:tcW w:type="dxa" w:w="3220"/>
            <w:noWrap/>
            <w:vAlign w:val="bottom"/>
            <w:hideMark/>
          </w:tcPr>
          <w:p w:rsidRDefault="000A47D2" w:rsidR="000A47D2">
            <w:pPr>
              <w:spacing w:after="0"/>
              <w:rPr>
                <w:rFonts w:cstheme="minorBidi" w:eastAsiaTheme="minorEastAsia" w:hAnsiTheme="minorHAnsi" w:asciiTheme="minorHAnsi"/>
                <w:lang w:eastAsia="hr-HR"/>
              </w:rPr>
            </w:pPr>
          </w:p>
        </w:tc>
        <w:tc>
          <w:tcPr>
            <w:tcW w:type="dxa" w:w="222"/>
            <w:noWrap/>
            <w:vAlign w:val="bottom"/>
            <w:hideMark/>
          </w:tcPr>
          <w:p w:rsidRDefault="000A47D2" w:rsidR="000A47D2">
            <w:pPr>
              <w:spacing w:after="0"/>
              <w:rPr>
                <w:rFonts w:cstheme="minorBidi" w:eastAsiaTheme="minorEastAsia" w:hAnsiTheme="minorHAnsi" w:asciiTheme="minorHAnsi"/>
                <w:lang w:eastAsia="hr-HR"/>
              </w:rPr>
            </w:pPr>
          </w:p>
        </w:tc>
        <w:tc>
          <w:tcPr>
            <w:tcW w:type="dxa" w:w="1360"/>
            <w:noWrap/>
            <w:vAlign w:val="bottom"/>
            <w:hideMark/>
          </w:tcPr>
          <w:p w:rsidRDefault="00691CEB" w:rsidR="000A47D2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1.480</w:t>
            </w:r>
            <w:r w:rsidR="000A47D2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,50</w:t>
            </w:r>
          </w:p>
        </w:tc>
      </w:tr>
      <w:tr w:rsidTr="00691CEB" w:rsidR="000A47D2">
        <w:trPr>
          <w:trHeight w:val="255"/>
        </w:trPr>
        <w:tc>
          <w:tcPr>
            <w:tcW w:type="dxa" w:w="700"/>
            <w:noWrap/>
            <w:vAlign w:val="bottom"/>
            <w:hideMark/>
          </w:tcPr>
          <w:p w:rsidRDefault="000A47D2" w:rsidR="000A47D2">
            <w:pPr>
              <w:spacing w:after="0"/>
              <w:rPr>
                <w:rFonts w:cstheme="minorBidi" w:eastAsiaTheme="minorEastAsia" w:hAnsiTheme="minorHAnsi" w:asciiTheme="minorHAnsi"/>
                <w:lang w:eastAsia="hr-HR"/>
              </w:rPr>
            </w:pPr>
          </w:p>
        </w:tc>
        <w:tc>
          <w:tcPr>
            <w:tcW w:type="dxa" w:w="2620"/>
            <w:gridSpan w:val="3"/>
            <w:noWrap/>
            <w:vAlign w:val="bottom"/>
            <w:hideMark/>
          </w:tcPr>
          <w:p w:rsidRDefault="000A47D2" w:rsidR="000A47D2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Troškovi poštarine </w:t>
            </w:r>
          </w:p>
        </w:tc>
        <w:tc>
          <w:tcPr>
            <w:tcW w:type="dxa" w:w="3220"/>
            <w:noWrap/>
            <w:vAlign w:val="bottom"/>
            <w:hideMark/>
          </w:tcPr>
          <w:p w:rsidRDefault="000A47D2" w:rsidR="000A47D2">
            <w:pPr>
              <w:spacing w:after="0"/>
              <w:rPr>
                <w:rFonts w:cstheme="minorBidi" w:eastAsiaTheme="minorEastAsia" w:hAnsiTheme="minorHAnsi" w:asciiTheme="minorHAnsi"/>
                <w:lang w:eastAsia="hr-HR"/>
              </w:rPr>
            </w:pPr>
          </w:p>
        </w:tc>
        <w:tc>
          <w:tcPr>
            <w:tcW w:type="dxa" w:w="222"/>
            <w:noWrap/>
            <w:vAlign w:val="bottom"/>
            <w:hideMark/>
          </w:tcPr>
          <w:p w:rsidRDefault="000A47D2" w:rsidR="000A47D2">
            <w:pPr>
              <w:spacing w:after="0"/>
              <w:rPr>
                <w:rFonts w:cstheme="minorBidi" w:eastAsiaTheme="minorEastAsia" w:hAnsiTheme="minorHAnsi" w:asciiTheme="minorHAnsi"/>
                <w:lang w:eastAsia="hr-HR"/>
              </w:rPr>
            </w:pPr>
          </w:p>
        </w:tc>
        <w:tc>
          <w:tcPr>
            <w:tcW w:type="dxa" w:w="1360"/>
            <w:noWrap/>
            <w:vAlign w:val="bottom"/>
            <w:hideMark/>
          </w:tcPr>
          <w:p w:rsidRDefault="000A47D2" w:rsidR="000A47D2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691CEB" w:rsidR="000A47D2">
        <w:trPr>
          <w:trHeight w:val="255"/>
        </w:trPr>
        <w:tc>
          <w:tcPr>
            <w:tcW w:type="dxa" w:w="700"/>
            <w:noWrap/>
            <w:vAlign w:val="bottom"/>
            <w:hideMark/>
          </w:tcPr>
          <w:p w:rsidRDefault="000A47D2" w:rsidR="000A47D2">
            <w:pPr>
              <w:spacing w:after="0"/>
              <w:rPr>
                <w:rFonts w:cstheme="minorBidi" w:eastAsiaTheme="minorEastAsia" w:hAnsiTheme="minorHAnsi" w:asciiTheme="minorHAnsi"/>
                <w:lang w:eastAsia="hr-HR"/>
              </w:rPr>
            </w:pPr>
          </w:p>
        </w:tc>
        <w:tc>
          <w:tcPr>
            <w:tcW w:type="dxa" w:w="2620"/>
            <w:gridSpan w:val="3"/>
            <w:noWrap/>
            <w:vAlign w:val="bottom"/>
            <w:hideMark/>
          </w:tcPr>
          <w:p w:rsidRDefault="000A47D2" w:rsidR="000A47D2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Materijalni troškovi</w:t>
            </w:r>
          </w:p>
        </w:tc>
        <w:tc>
          <w:tcPr>
            <w:tcW w:type="dxa" w:w="3220"/>
            <w:noWrap/>
            <w:vAlign w:val="bottom"/>
            <w:hideMark/>
          </w:tcPr>
          <w:p w:rsidRDefault="000A47D2" w:rsidR="000A47D2">
            <w:pPr>
              <w:spacing w:after="0"/>
              <w:rPr>
                <w:rFonts w:cstheme="minorBidi" w:eastAsiaTheme="minorEastAsia" w:hAnsiTheme="minorHAnsi" w:asciiTheme="minorHAnsi"/>
                <w:lang w:eastAsia="hr-HR"/>
              </w:rPr>
            </w:pPr>
          </w:p>
        </w:tc>
        <w:tc>
          <w:tcPr>
            <w:tcW w:type="dxa" w:w="222"/>
            <w:noWrap/>
            <w:vAlign w:val="bottom"/>
            <w:hideMark/>
          </w:tcPr>
          <w:p w:rsidRDefault="000A47D2" w:rsidR="000A47D2">
            <w:pPr>
              <w:spacing w:after="0"/>
              <w:rPr>
                <w:rFonts w:cstheme="minorBidi" w:eastAsiaTheme="minorEastAsia" w:hAnsiTheme="minorHAnsi" w:asciiTheme="minorHAnsi"/>
                <w:lang w:eastAsia="hr-HR"/>
              </w:rPr>
            </w:pPr>
          </w:p>
        </w:tc>
        <w:tc>
          <w:tcPr>
            <w:tcW w:type="dxa" w:w="1360"/>
            <w:noWrap/>
            <w:vAlign w:val="bottom"/>
            <w:hideMark/>
          </w:tcPr>
          <w:p w:rsidRDefault="00691CEB" w:rsidR="000A47D2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</w:t>
            </w:r>
            <w:r w:rsidR="000A47D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,00</w:t>
            </w:r>
          </w:p>
        </w:tc>
      </w:tr>
      <w:tr w:rsidTr="00691CEB" w:rsidR="000A47D2">
        <w:trPr>
          <w:trHeight w:val="255"/>
        </w:trPr>
        <w:tc>
          <w:tcPr>
            <w:tcW w:type="dxa" w:w="700"/>
            <w:noWrap/>
            <w:vAlign w:val="bottom"/>
            <w:hideMark/>
          </w:tcPr>
          <w:p w:rsidRDefault="000A47D2" w:rsidR="000A47D2">
            <w:pPr>
              <w:spacing w:after="0"/>
              <w:rPr>
                <w:rFonts w:cstheme="minorBidi" w:eastAsiaTheme="minorEastAsia" w:hAnsiTheme="minorHAnsi" w:asciiTheme="minorHAnsi"/>
                <w:lang w:eastAsia="hr-HR"/>
              </w:rPr>
            </w:pPr>
          </w:p>
        </w:tc>
        <w:tc>
          <w:tcPr>
            <w:tcW w:type="dxa" w:w="2620"/>
            <w:gridSpan w:val="3"/>
            <w:noWrap/>
            <w:vAlign w:val="bottom"/>
            <w:hideMark/>
          </w:tcPr>
          <w:p w:rsidRDefault="000A47D2" w:rsidR="000A47D2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Administrativni troškovi</w:t>
            </w:r>
          </w:p>
        </w:tc>
        <w:tc>
          <w:tcPr>
            <w:tcW w:type="dxa" w:w="3220"/>
            <w:noWrap/>
            <w:vAlign w:val="bottom"/>
            <w:hideMark/>
          </w:tcPr>
          <w:p w:rsidRDefault="000A47D2" w:rsidR="000A47D2">
            <w:pPr>
              <w:spacing w:after="0"/>
              <w:rPr>
                <w:rFonts w:cstheme="minorBidi" w:eastAsiaTheme="minorEastAsia" w:hAnsiTheme="minorHAnsi" w:asciiTheme="minorHAnsi"/>
                <w:lang w:eastAsia="hr-HR"/>
              </w:rPr>
            </w:pPr>
          </w:p>
        </w:tc>
        <w:tc>
          <w:tcPr>
            <w:tcW w:type="dxa" w:w="222"/>
            <w:noWrap/>
            <w:vAlign w:val="bottom"/>
            <w:hideMark/>
          </w:tcPr>
          <w:p w:rsidRDefault="000A47D2" w:rsidR="000A47D2">
            <w:pPr>
              <w:spacing w:after="0"/>
              <w:rPr>
                <w:rFonts w:cstheme="minorBidi" w:eastAsiaTheme="minorEastAsia" w:hAnsiTheme="minorHAnsi" w:asciiTheme="minorHAnsi"/>
                <w:lang w:eastAsia="hr-HR"/>
              </w:rPr>
            </w:pPr>
          </w:p>
        </w:tc>
        <w:tc>
          <w:tcPr>
            <w:tcW w:type="dxa" w:w="1360"/>
            <w:noWrap/>
            <w:vAlign w:val="bottom"/>
            <w:hideMark/>
          </w:tcPr>
          <w:p w:rsidRDefault="000A47D2" w:rsidR="000A47D2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691CEB" w:rsidR="000A47D2">
        <w:trPr>
          <w:trHeight w:val="255"/>
        </w:trPr>
        <w:tc>
          <w:tcPr>
            <w:tcW w:type="dxa" w:w="700"/>
            <w:noWrap/>
            <w:vAlign w:val="bottom"/>
            <w:hideMark/>
          </w:tcPr>
          <w:p w:rsidRDefault="000A47D2" w:rsidR="000A47D2">
            <w:pPr>
              <w:spacing w:after="0"/>
              <w:rPr>
                <w:rFonts w:cstheme="minorBidi" w:eastAsiaTheme="minorEastAsia" w:hAnsiTheme="minorHAnsi" w:asciiTheme="minorHAnsi"/>
                <w:lang w:eastAsia="hr-HR"/>
              </w:rPr>
            </w:pPr>
          </w:p>
        </w:tc>
        <w:tc>
          <w:tcPr>
            <w:tcW w:type="dxa" w:w="2620"/>
            <w:gridSpan w:val="3"/>
            <w:noWrap/>
            <w:vAlign w:val="bottom"/>
            <w:hideMark/>
          </w:tcPr>
          <w:p w:rsidRDefault="000A47D2" w:rsidR="000A47D2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FINE i statistike</w:t>
            </w:r>
          </w:p>
        </w:tc>
        <w:tc>
          <w:tcPr>
            <w:tcW w:type="dxa" w:w="3220"/>
            <w:noWrap/>
            <w:vAlign w:val="bottom"/>
            <w:hideMark/>
          </w:tcPr>
          <w:p w:rsidRDefault="000A47D2" w:rsidR="000A47D2">
            <w:pPr>
              <w:spacing w:after="0"/>
              <w:rPr>
                <w:rFonts w:cstheme="minorBidi" w:eastAsiaTheme="minorEastAsia" w:hAnsiTheme="minorHAnsi" w:asciiTheme="minorHAnsi"/>
                <w:lang w:eastAsia="hr-HR"/>
              </w:rPr>
            </w:pPr>
          </w:p>
        </w:tc>
        <w:tc>
          <w:tcPr>
            <w:tcW w:type="dxa" w:w="222"/>
            <w:noWrap/>
            <w:vAlign w:val="bottom"/>
            <w:hideMark/>
          </w:tcPr>
          <w:p w:rsidRDefault="000A47D2" w:rsidR="000A47D2">
            <w:pPr>
              <w:spacing w:after="0"/>
              <w:rPr>
                <w:rFonts w:cstheme="minorBidi" w:eastAsiaTheme="minorEastAsia" w:hAnsiTheme="minorHAnsi" w:asciiTheme="minorHAnsi"/>
                <w:lang w:eastAsia="hr-HR"/>
              </w:rPr>
            </w:pPr>
          </w:p>
        </w:tc>
        <w:tc>
          <w:tcPr>
            <w:tcW w:type="dxa" w:w="1360"/>
            <w:noWrap/>
            <w:vAlign w:val="bottom"/>
            <w:hideMark/>
          </w:tcPr>
          <w:p w:rsidRDefault="00691CEB" w:rsidR="000A47D2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30</w:t>
            </w:r>
            <w:r w:rsidR="000A47D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,50</w:t>
            </w:r>
          </w:p>
        </w:tc>
      </w:tr>
      <w:tr w:rsidTr="00691CEB" w:rsidR="000A47D2">
        <w:trPr>
          <w:trHeight w:val="255"/>
        </w:trPr>
        <w:tc>
          <w:tcPr>
            <w:tcW w:type="dxa" w:w="700"/>
            <w:noWrap/>
            <w:vAlign w:val="bottom"/>
            <w:hideMark/>
          </w:tcPr>
          <w:p w:rsidRDefault="000A47D2" w:rsidR="000A47D2">
            <w:pPr>
              <w:spacing w:after="0"/>
              <w:rPr>
                <w:rFonts w:cstheme="minorBidi" w:eastAsiaTheme="minorEastAsia" w:hAnsiTheme="minorHAnsi" w:asciiTheme="minorHAnsi"/>
                <w:lang w:eastAsia="hr-HR"/>
              </w:rPr>
            </w:pPr>
          </w:p>
        </w:tc>
        <w:tc>
          <w:tcPr>
            <w:tcW w:type="dxa" w:w="5840"/>
            <w:gridSpan w:val="4"/>
            <w:noWrap/>
            <w:vAlign w:val="bottom"/>
            <w:hideMark/>
          </w:tcPr>
          <w:p w:rsidRDefault="000A47D2" w:rsidR="000A47D2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vođenja knjigovodstva</w:t>
            </w:r>
          </w:p>
        </w:tc>
        <w:tc>
          <w:tcPr>
            <w:tcW w:type="dxa" w:w="222"/>
            <w:noWrap/>
            <w:vAlign w:val="bottom"/>
            <w:hideMark/>
          </w:tcPr>
          <w:p w:rsidRDefault="000A47D2" w:rsidR="000A47D2">
            <w:pPr>
              <w:spacing w:after="0"/>
              <w:rPr>
                <w:rFonts w:cstheme="minorBidi" w:eastAsiaTheme="minorEastAsia" w:hAnsiTheme="minorHAnsi" w:asciiTheme="minorHAnsi"/>
                <w:lang w:eastAsia="hr-HR"/>
              </w:rPr>
            </w:pPr>
          </w:p>
        </w:tc>
        <w:tc>
          <w:tcPr>
            <w:tcW w:type="dxa" w:w="1360"/>
            <w:noWrap/>
            <w:vAlign w:val="bottom"/>
            <w:hideMark/>
          </w:tcPr>
          <w:p w:rsidRDefault="00691CEB" w:rsidR="000A47D2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1.2</w:t>
            </w:r>
            <w:r w:rsidR="000A47D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50,00</w:t>
            </w:r>
          </w:p>
        </w:tc>
      </w:tr>
      <w:tr w:rsidTr="00691CEB" w:rsidR="000A47D2">
        <w:trPr>
          <w:trHeight w:val="255"/>
        </w:trPr>
        <w:tc>
          <w:tcPr>
            <w:tcW w:type="dxa" w:w="700"/>
            <w:noWrap/>
            <w:vAlign w:val="bottom"/>
            <w:hideMark/>
          </w:tcPr>
          <w:p w:rsidRDefault="000A47D2" w:rsidR="000A47D2">
            <w:pPr>
              <w:spacing w:after="0"/>
              <w:rPr>
                <w:rFonts w:cstheme="minorBidi" w:eastAsiaTheme="minorEastAsia" w:hAnsiTheme="minorHAnsi" w:asciiTheme="minorHAnsi"/>
                <w:lang w:eastAsia="hr-HR"/>
              </w:rPr>
            </w:pPr>
          </w:p>
        </w:tc>
        <w:tc>
          <w:tcPr>
            <w:tcW w:type="dxa" w:w="5840"/>
            <w:gridSpan w:val="4"/>
            <w:noWrap/>
            <w:vAlign w:val="bottom"/>
            <w:hideMark/>
          </w:tcPr>
          <w:p w:rsidRDefault="000A47D2" w:rsidR="000A47D2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Sudske pristojbe u predmetu P-2849/2016</w:t>
            </w:r>
          </w:p>
        </w:tc>
        <w:tc>
          <w:tcPr>
            <w:tcW w:type="dxa" w:w="222"/>
            <w:noWrap/>
            <w:vAlign w:val="bottom"/>
            <w:hideMark/>
          </w:tcPr>
          <w:p w:rsidRDefault="000A47D2" w:rsidR="000A47D2">
            <w:pPr>
              <w:spacing w:after="0"/>
              <w:rPr>
                <w:rFonts w:cstheme="minorBidi" w:eastAsiaTheme="minorEastAsia" w:hAnsiTheme="minorHAnsi" w:asciiTheme="minorHAnsi"/>
                <w:lang w:eastAsia="hr-HR"/>
              </w:rPr>
            </w:pPr>
          </w:p>
        </w:tc>
        <w:tc>
          <w:tcPr>
            <w:tcW w:type="dxa" w:w="1360"/>
            <w:noWrap/>
            <w:vAlign w:val="bottom"/>
            <w:hideMark/>
          </w:tcPr>
          <w:p w:rsidRDefault="000A47D2" w:rsidR="000A47D2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691CEB" w:rsidR="000A47D2">
        <w:trPr>
          <w:trHeight w:val="255"/>
        </w:trPr>
        <w:tc>
          <w:tcPr>
            <w:tcW w:type="dxa" w:w="700"/>
            <w:noWrap/>
            <w:vAlign w:val="bottom"/>
            <w:hideMark/>
          </w:tcPr>
          <w:p w:rsidRDefault="000A47D2" w:rsidR="000A47D2">
            <w:pPr>
              <w:spacing w:after="0"/>
              <w:rPr>
                <w:rFonts w:cstheme="minorBidi" w:eastAsiaTheme="minorEastAsia" w:hAnsiTheme="minorHAnsi" w:asciiTheme="minorHAnsi"/>
                <w:lang w:eastAsia="hr-HR"/>
              </w:rPr>
            </w:pPr>
          </w:p>
        </w:tc>
        <w:tc>
          <w:tcPr>
            <w:tcW w:type="dxa" w:w="2620"/>
            <w:gridSpan w:val="3"/>
            <w:noWrap/>
            <w:vAlign w:val="bottom"/>
            <w:hideMark/>
          </w:tcPr>
          <w:p w:rsidRDefault="000A47D2" w:rsidR="000A47D2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odvjetnika</w:t>
            </w:r>
          </w:p>
        </w:tc>
        <w:tc>
          <w:tcPr>
            <w:tcW w:type="dxa" w:w="3220"/>
            <w:noWrap/>
            <w:vAlign w:val="bottom"/>
            <w:hideMark/>
          </w:tcPr>
          <w:p w:rsidRDefault="000A47D2" w:rsidR="000A47D2">
            <w:pPr>
              <w:spacing w:after="0"/>
              <w:rPr>
                <w:rFonts w:cstheme="minorBidi" w:eastAsiaTheme="minorEastAsia" w:hAnsiTheme="minorHAnsi" w:asciiTheme="minorHAnsi"/>
                <w:lang w:eastAsia="hr-HR"/>
              </w:rPr>
            </w:pPr>
          </w:p>
        </w:tc>
        <w:tc>
          <w:tcPr>
            <w:tcW w:type="dxa" w:w="222"/>
            <w:noWrap/>
            <w:vAlign w:val="bottom"/>
            <w:hideMark/>
          </w:tcPr>
          <w:p w:rsidRDefault="000A47D2" w:rsidR="000A47D2">
            <w:pPr>
              <w:spacing w:after="0"/>
              <w:rPr>
                <w:rFonts w:cstheme="minorBidi" w:eastAsiaTheme="minorEastAsia" w:hAnsiTheme="minorHAnsi" w:asciiTheme="minorHAnsi"/>
                <w:lang w:eastAsia="hr-HR"/>
              </w:rPr>
            </w:pPr>
          </w:p>
        </w:tc>
        <w:tc>
          <w:tcPr>
            <w:tcW w:type="dxa" w:w="1360"/>
            <w:noWrap/>
            <w:vAlign w:val="bottom"/>
            <w:hideMark/>
          </w:tcPr>
          <w:p w:rsidRDefault="000A47D2" w:rsidR="000A47D2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691CEB" w:rsidR="000A47D2">
        <w:trPr>
          <w:trHeight w:val="255"/>
        </w:trPr>
        <w:tc>
          <w:tcPr>
            <w:tcW w:type="dxa" w:w="700"/>
            <w:noWrap/>
            <w:vAlign w:val="bottom"/>
            <w:hideMark/>
          </w:tcPr>
          <w:p w:rsidRDefault="000A47D2" w:rsidR="000A47D2">
            <w:pPr>
              <w:spacing w:after="0"/>
              <w:rPr>
                <w:rFonts w:cstheme="minorBidi" w:eastAsiaTheme="minorEastAsia" w:hAnsiTheme="minorHAnsi" w:asciiTheme="minorHAnsi"/>
                <w:lang w:eastAsia="hr-HR"/>
              </w:rPr>
            </w:pPr>
          </w:p>
        </w:tc>
        <w:tc>
          <w:tcPr>
            <w:tcW w:type="dxa" w:w="1660"/>
            <w:gridSpan w:val="2"/>
            <w:noWrap/>
            <w:vAlign w:val="bottom"/>
            <w:hideMark/>
          </w:tcPr>
          <w:p w:rsidRDefault="000A47D2" w:rsidR="000A47D2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Povrat pozajmica</w:t>
            </w:r>
          </w:p>
        </w:tc>
        <w:tc>
          <w:tcPr>
            <w:tcW w:type="dxa" w:w="960"/>
            <w:noWrap/>
            <w:vAlign w:val="bottom"/>
            <w:hideMark/>
          </w:tcPr>
          <w:p w:rsidRDefault="000A47D2" w:rsidR="000A47D2">
            <w:pPr>
              <w:spacing w:after="0"/>
              <w:rPr>
                <w:rFonts w:cstheme="minorBidi" w:eastAsiaTheme="minorEastAsia" w:hAnsiTheme="minorHAnsi" w:asciiTheme="minorHAnsi"/>
                <w:lang w:eastAsia="hr-HR"/>
              </w:rPr>
            </w:pPr>
          </w:p>
        </w:tc>
        <w:tc>
          <w:tcPr>
            <w:tcW w:type="dxa" w:w="3220"/>
            <w:noWrap/>
            <w:vAlign w:val="bottom"/>
            <w:hideMark/>
          </w:tcPr>
          <w:p w:rsidRDefault="000A47D2" w:rsidR="000A47D2">
            <w:pPr>
              <w:spacing w:after="0"/>
              <w:rPr>
                <w:rFonts w:cstheme="minorBidi" w:eastAsiaTheme="minorEastAsia" w:hAnsiTheme="minorHAnsi" w:asciiTheme="minorHAnsi"/>
                <w:lang w:eastAsia="hr-HR"/>
              </w:rPr>
            </w:pPr>
          </w:p>
        </w:tc>
        <w:tc>
          <w:tcPr>
            <w:tcW w:type="dxa" w:w="222"/>
            <w:noWrap/>
            <w:vAlign w:val="bottom"/>
            <w:hideMark/>
          </w:tcPr>
          <w:p w:rsidRDefault="000A47D2" w:rsidR="000A47D2">
            <w:pPr>
              <w:spacing w:after="0"/>
              <w:rPr>
                <w:rFonts w:cstheme="minorBidi" w:eastAsiaTheme="minorEastAsia" w:hAnsiTheme="minorHAnsi" w:asciiTheme="minorHAnsi"/>
                <w:lang w:eastAsia="hr-HR"/>
              </w:rPr>
            </w:pPr>
          </w:p>
        </w:tc>
        <w:tc>
          <w:tcPr>
            <w:tcW w:type="dxa" w:w="1360"/>
            <w:noWrap/>
            <w:vAlign w:val="bottom"/>
            <w:hideMark/>
          </w:tcPr>
          <w:p w:rsidRDefault="00691CEB" w:rsidR="000A47D2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20</w:t>
            </w:r>
            <w:r w:rsidR="000A47D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691CEB" w:rsidR="000A47D2">
        <w:trPr>
          <w:trHeight w:val="255"/>
        </w:trPr>
        <w:tc>
          <w:tcPr>
            <w:tcW w:type="dxa" w:w="700"/>
            <w:noWrap/>
            <w:vAlign w:val="bottom"/>
            <w:hideMark/>
          </w:tcPr>
          <w:p w:rsidRDefault="000A47D2" w:rsidR="000A47D2">
            <w:pPr>
              <w:spacing w:after="0"/>
              <w:rPr>
                <w:rFonts w:cstheme="minorBidi" w:eastAsiaTheme="minorEastAsia" w:hAnsiTheme="minorHAnsi" w:asciiTheme="minorHAnsi"/>
                <w:lang w:eastAsia="hr-HR"/>
              </w:rPr>
            </w:pPr>
          </w:p>
        </w:tc>
        <w:tc>
          <w:tcPr>
            <w:tcW w:type="dxa" w:w="2620"/>
            <w:gridSpan w:val="3"/>
            <w:noWrap/>
            <w:vAlign w:val="bottom"/>
            <w:hideMark/>
          </w:tcPr>
          <w:p w:rsidRDefault="000A47D2" w:rsidR="000A47D2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Prijenos na namjenski račun</w:t>
            </w:r>
          </w:p>
        </w:tc>
        <w:tc>
          <w:tcPr>
            <w:tcW w:type="dxa" w:w="3220"/>
            <w:noWrap/>
            <w:vAlign w:val="bottom"/>
            <w:hideMark/>
          </w:tcPr>
          <w:p w:rsidRDefault="000A47D2" w:rsidR="000A47D2">
            <w:pPr>
              <w:spacing w:after="0"/>
              <w:rPr>
                <w:rFonts w:cstheme="minorBidi" w:eastAsiaTheme="minorEastAsia" w:hAnsiTheme="minorHAnsi" w:asciiTheme="minorHAnsi"/>
                <w:lang w:eastAsia="hr-HR"/>
              </w:rPr>
            </w:pPr>
          </w:p>
        </w:tc>
        <w:tc>
          <w:tcPr>
            <w:tcW w:type="dxa" w:w="222"/>
            <w:noWrap/>
            <w:vAlign w:val="bottom"/>
            <w:hideMark/>
          </w:tcPr>
          <w:p w:rsidRDefault="000A47D2" w:rsidR="000A47D2">
            <w:pPr>
              <w:spacing w:after="0"/>
              <w:rPr>
                <w:rFonts w:cstheme="minorBidi" w:eastAsiaTheme="minorEastAsia" w:hAnsiTheme="minorHAnsi" w:asciiTheme="minorHAnsi"/>
                <w:lang w:eastAsia="hr-HR"/>
              </w:rPr>
            </w:pPr>
          </w:p>
        </w:tc>
        <w:tc>
          <w:tcPr>
            <w:tcW w:type="dxa" w:w="1360"/>
            <w:noWrap/>
            <w:vAlign w:val="bottom"/>
            <w:hideMark/>
          </w:tcPr>
          <w:p w:rsidRDefault="000A47D2" w:rsidR="000A47D2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691CEB" w:rsidR="000A47D2">
        <w:trPr>
          <w:trHeight w:val="255"/>
        </w:trPr>
        <w:tc>
          <w:tcPr>
            <w:tcW w:type="dxa" w:w="700"/>
            <w:noWrap/>
            <w:vAlign w:val="bottom"/>
            <w:hideMark/>
          </w:tcPr>
          <w:p w:rsidRDefault="000A47D2" w:rsidR="000A47D2">
            <w:pPr>
              <w:spacing w:after="0"/>
              <w:rPr>
                <w:rFonts w:cstheme="minorBidi" w:eastAsiaTheme="minorEastAsia" w:hAnsiTheme="minorHAnsi" w:asciiTheme="minorHAnsi"/>
                <w:lang w:eastAsia="hr-HR"/>
              </w:rPr>
            </w:pPr>
          </w:p>
        </w:tc>
        <w:tc>
          <w:tcPr>
            <w:tcW w:type="dxa" w:w="5840"/>
            <w:gridSpan w:val="4"/>
            <w:noWrap/>
            <w:vAlign w:val="bottom"/>
            <w:hideMark/>
          </w:tcPr>
          <w:p w:rsidRDefault="000A47D2" w:rsidR="000A47D2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Ostali troškovi (biljezi, kopiranje i sl.)</w:t>
            </w:r>
          </w:p>
        </w:tc>
        <w:tc>
          <w:tcPr>
            <w:tcW w:type="dxa" w:w="222"/>
            <w:noWrap/>
            <w:vAlign w:val="bottom"/>
            <w:hideMark/>
          </w:tcPr>
          <w:p w:rsidRDefault="000A47D2" w:rsidR="000A47D2">
            <w:pPr>
              <w:spacing w:after="0"/>
              <w:rPr>
                <w:rFonts w:cstheme="minorBidi" w:eastAsiaTheme="minorEastAsia" w:hAnsiTheme="minorHAnsi" w:asciiTheme="minorHAnsi"/>
                <w:lang w:eastAsia="hr-HR"/>
              </w:rPr>
            </w:pPr>
          </w:p>
        </w:tc>
        <w:tc>
          <w:tcPr>
            <w:tcW w:type="dxa" w:w="1360"/>
            <w:noWrap/>
            <w:vAlign w:val="bottom"/>
            <w:hideMark/>
          </w:tcPr>
          <w:p w:rsidRDefault="000A47D2" w:rsidR="000A47D2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691CEB" w:rsidR="000A47D2">
        <w:trPr>
          <w:trHeight w:val="255"/>
        </w:trPr>
        <w:tc>
          <w:tcPr>
            <w:tcW w:type="dxa" w:w="700"/>
            <w:noWrap/>
            <w:vAlign w:val="bottom"/>
            <w:hideMark/>
          </w:tcPr>
          <w:p w:rsidRDefault="000A47D2" w:rsidR="000A47D2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5.</w:t>
            </w:r>
          </w:p>
        </w:tc>
        <w:tc>
          <w:tcPr>
            <w:tcW w:type="dxa" w:w="5840"/>
            <w:gridSpan w:val="4"/>
            <w:noWrap/>
            <w:vAlign w:val="bottom"/>
            <w:hideMark/>
          </w:tcPr>
          <w:p w:rsidRDefault="00691CEB" w:rsidR="000A47D2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STANJE NA RAČUNU NA DAN 15.08</w:t>
            </w:r>
            <w:r w:rsidR="000A47D2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.2017.GODINE</w:t>
            </w:r>
          </w:p>
        </w:tc>
        <w:tc>
          <w:tcPr>
            <w:tcW w:type="dxa" w:w="222"/>
            <w:noWrap/>
            <w:vAlign w:val="bottom"/>
            <w:hideMark/>
          </w:tcPr>
          <w:p w:rsidRDefault="000A47D2" w:rsidR="000A47D2">
            <w:pPr>
              <w:spacing w:after="0"/>
              <w:rPr>
                <w:rFonts w:cstheme="minorBidi" w:eastAsiaTheme="minorEastAsia" w:hAnsiTheme="minorHAnsi" w:asciiTheme="minorHAnsi"/>
                <w:lang w:eastAsia="hr-HR"/>
              </w:rPr>
            </w:pPr>
          </w:p>
        </w:tc>
        <w:tc>
          <w:tcPr>
            <w:tcW w:type="dxa" w:w="1360"/>
            <w:noWrap/>
            <w:vAlign w:val="bottom"/>
            <w:hideMark/>
          </w:tcPr>
          <w:p w:rsidRDefault="00691CEB" w:rsidR="000A47D2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136.501,9</w:t>
            </w:r>
            <w:r w:rsidR="000A47D2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6</w:t>
            </w:r>
          </w:p>
        </w:tc>
      </w:tr>
      <w:tr w:rsidTr="00691CEB" w:rsidR="000A47D2">
        <w:trPr>
          <w:trHeight w:val="255"/>
        </w:trPr>
        <w:tc>
          <w:tcPr>
            <w:tcW w:type="dxa" w:w="700"/>
            <w:noWrap/>
            <w:vAlign w:val="bottom"/>
            <w:hideMark/>
          </w:tcPr>
          <w:p w:rsidRDefault="000A47D2" w:rsidR="000A47D2">
            <w:pPr>
              <w:spacing w:after="0"/>
              <w:rPr>
                <w:rFonts w:cstheme="minorBidi" w:eastAsiaTheme="minorEastAsia" w:hAnsiTheme="minorHAnsi" w:asciiTheme="minorHAnsi"/>
                <w:lang w:eastAsia="hr-HR"/>
              </w:rPr>
            </w:pPr>
          </w:p>
        </w:tc>
        <w:tc>
          <w:tcPr>
            <w:tcW w:type="dxa" w:w="1660"/>
            <w:gridSpan w:val="2"/>
            <w:noWrap/>
            <w:vAlign w:val="bottom"/>
            <w:hideMark/>
          </w:tcPr>
          <w:p w:rsidRDefault="000A47D2" w:rsidR="000A47D2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žiro račun</w:t>
            </w:r>
          </w:p>
        </w:tc>
        <w:tc>
          <w:tcPr>
            <w:tcW w:type="dxa" w:w="960"/>
            <w:noWrap/>
            <w:vAlign w:val="bottom"/>
            <w:hideMark/>
          </w:tcPr>
          <w:p w:rsidRDefault="000A47D2" w:rsidR="000A47D2">
            <w:pPr>
              <w:spacing w:after="0"/>
              <w:rPr>
                <w:rFonts w:cstheme="minorBidi" w:eastAsiaTheme="minorEastAsia" w:hAnsiTheme="minorHAnsi" w:asciiTheme="minorHAnsi"/>
                <w:lang w:eastAsia="hr-HR"/>
              </w:rPr>
            </w:pPr>
          </w:p>
        </w:tc>
        <w:tc>
          <w:tcPr>
            <w:tcW w:type="dxa" w:w="3220"/>
            <w:noWrap/>
            <w:vAlign w:val="bottom"/>
            <w:hideMark/>
          </w:tcPr>
          <w:p w:rsidRDefault="000A47D2" w:rsidR="000A47D2">
            <w:pPr>
              <w:spacing w:after="0"/>
              <w:rPr>
                <w:rFonts w:cstheme="minorBidi" w:eastAsiaTheme="minorEastAsia" w:hAnsiTheme="minorHAnsi" w:asciiTheme="minorHAnsi"/>
                <w:lang w:eastAsia="hr-HR"/>
              </w:rPr>
            </w:pPr>
          </w:p>
        </w:tc>
        <w:tc>
          <w:tcPr>
            <w:tcW w:type="dxa" w:w="222"/>
            <w:noWrap/>
            <w:vAlign w:val="bottom"/>
            <w:hideMark/>
          </w:tcPr>
          <w:p w:rsidRDefault="000A47D2" w:rsidR="000A47D2">
            <w:pPr>
              <w:spacing w:after="0"/>
              <w:rPr>
                <w:rFonts w:cstheme="minorBidi" w:eastAsiaTheme="minorEastAsia" w:hAnsiTheme="minorHAnsi" w:asciiTheme="minorHAnsi"/>
                <w:lang w:eastAsia="hr-HR"/>
              </w:rPr>
            </w:pPr>
          </w:p>
        </w:tc>
        <w:tc>
          <w:tcPr>
            <w:tcW w:type="dxa" w:w="1360"/>
            <w:noWrap/>
            <w:vAlign w:val="bottom"/>
            <w:hideMark/>
          </w:tcPr>
          <w:p w:rsidRDefault="00691CEB" w:rsidR="000A47D2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136.341,9</w:t>
            </w:r>
            <w:r w:rsidR="000A47D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6</w:t>
            </w:r>
          </w:p>
        </w:tc>
      </w:tr>
      <w:tr w:rsidTr="00691CEB" w:rsidR="000A47D2">
        <w:trPr>
          <w:trHeight w:val="255"/>
        </w:trPr>
        <w:tc>
          <w:tcPr>
            <w:tcW w:type="dxa" w:w="700"/>
            <w:noWrap/>
            <w:vAlign w:val="bottom"/>
            <w:hideMark/>
          </w:tcPr>
          <w:p w:rsidRDefault="000A47D2" w:rsidR="000A47D2">
            <w:pPr>
              <w:spacing w:after="0"/>
              <w:rPr>
                <w:rFonts w:cstheme="minorBidi" w:eastAsiaTheme="minorEastAsia" w:hAnsiTheme="minorHAnsi" w:asciiTheme="minorHAnsi"/>
                <w:lang w:eastAsia="hr-HR"/>
              </w:rPr>
            </w:pPr>
          </w:p>
        </w:tc>
        <w:tc>
          <w:tcPr>
            <w:tcW w:type="dxa" w:w="1660"/>
            <w:gridSpan w:val="2"/>
            <w:noWrap/>
            <w:vAlign w:val="bottom"/>
            <w:hideMark/>
          </w:tcPr>
          <w:p w:rsidRDefault="000A47D2" w:rsidR="000A47D2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blagajna</w:t>
            </w:r>
          </w:p>
        </w:tc>
        <w:tc>
          <w:tcPr>
            <w:tcW w:type="dxa" w:w="960"/>
            <w:noWrap/>
            <w:vAlign w:val="bottom"/>
            <w:hideMark/>
          </w:tcPr>
          <w:p w:rsidRDefault="000A47D2" w:rsidR="000A47D2">
            <w:pPr>
              <w:spacing w:after="0"/>
              <w:rPr>
                <w:rFonts w:cstheme="minorBidi" w:eastAsiaTheme="minorEastAsia" w:hAnsiTheme="minorHAnsi" w:asciiTheme="minorHAnsi"/>
                <w:lang w:eastAsia="hr-HR"/>
              </w:rPr>
            </w:pPr>
          </w:p>
        </w:tc>
        <w:tc>
          <w:tcPr>
            <w:tcW w:type="dxa" w:w="3220"/>
            <w:noWrap/>
            <w:vAlign w:val="bottom"/>
            <w:hideMark/>
          </w:tcPr>
          <w:p w:rsidRDefault="000A47D2" w:rsidR="000A47D2">
            <w:pPr>
              <w:spacing w:after="0"/>
              <w:rPr>
                <w:rFonts w:cstheme="minorBidi" w:eastAsiaTheme="minorEastAsia" w:hAnsiTheme="minorHAnsi" w:asciiTheme="minorHAnsi"/>
                <w:lang w:eastAsia="hr-HR"/>
              </w:rPr>
            </w:pPr>
          </w:p>
        </w:tc>
        <w:tc>
          <w:tcPr>
            <w:tcW w:type="dxa" w:w="222"/>
            <w:noWrap/>
            <w:vAlign w:val="bottom"/>
            <w:hideMark/>
          </w:tcPr>
          <w:p w:rsidRDefault="000A47D2" w:rsidR="000A47D2">
            <w:pPr>
              <w:spacing w:after="0"/>
              <w:rPr>
                <w:rFonts w:cstheme="minorBidi" w:eastAsiaTheme="minorEastAsia" w:hAnsiTheme="minorHAnsi" w:asciiTheme="minorHAnsi"/>
                <w:lang w:eastAsia="hr-HR"/>
              </w:rPr>
            </w:pPr>
          </w:p>
        </w:tc>
        <w:tc>
          <w:tcPr>
            <w:tcW w:type="dxa" w:w="1360"/>
            <w:noWrap/>
            <w:vAlign w:val="bottom"/>
            <w:hideMark/>
          </w:tcPr>
          <w:p w:rsidRDefault="000A47D2" w:rsidR="000A47D2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160,00</w:t>
            </w:r>
          </w:p>
        </w:tc>
      </w:tr>
      <w:tr w:rsidTr="00691CEB" w:rsidR="000A47D2">
        <w:trPr>
          <w:trHeight w:val="255"/>
        </w:trPr>
        <w:tc>
          <w:tcPr>
            <w:tcW w:type="dxa" w:w="700"/>
            <w:noWrap/>
            <w:vAlign w:val="bottom"/>
            <w:hideMark/>
          </w:tcPr>
          <w:p w:rsidRDefault="000A47D2" w:rsidR="000A47D2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6.</w:t>
            </w:r>
          </w:p>
        </w:tc>
        <w:tc>
          <w:tcPr>
            <w:tcW w:type="dxa" w:w="2620"/>
            <w:gridSpan w:val="3"/>
            <w:noWrap/>
            <w:vAlign w:val="bottom"/>
            <w:hideMark/>
          </w:tcPr>
          <w:p w:rsidRDefault="000A47D2" w:rsidR="000A47D2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KONTROLNI ZBROJ (4+5)</w:t>
            </w:r>
          </w:p>
        </w:tc>
        <w:tc>
          <w:tcPr>
            <w:tcW w:type="dxa" w:w="3220"/>
            <w:noWrap/>
            <w:vAlign w:val="bottom"/>
            <w:hideMark/>
          </w:tcPr>
          <w:p w:rsidRDefault="000A47D2" w:rsidR="000A47D2">
            <w:pPr>
              <w:spacing w:after="0"/>
              <w:rPr>
                <w:rFonts w:cstheme="minorBidi" w:eastAsiaTheme="minorEastAsia" w:hAnsiTheme="minorHAnsi" w:asciiTheme="minorHAnsi"/>
                <w:lang w:eastAsia="hr-HR"/>
              </w:rPr>
            </w:pPr>
          </w:p>
        </w:tc>
        <w:tc>
          <w:tcPr>
            <w:tcW w:type="dxa" w:w="222"/>
            <w:noWrap/>
            <w:vAlign w:val="bottom"/>
            <w:hideMark/>
          </w:tcPr>
          <w:p w:rsidRDefault="000A47D2" w:rsidR="000A47D2">
            <w:pPr>
              <w:spacing w:after="0"/>
              <w:rPr>
                <w:rFonts w:cstheme="minorBidi" w:eastAsiaTheme="minorEastAsia" w:hAnsiTheme="minorHAnsi" w:asciiTheme="minorHAnsi"/>
                <w:lang w:eastAsia="hr-HR"/>
              </w:rPr>
            </w:pPr>
          </w:p>
        </w:tc>
        <w:tc>
          <w:tcPr>
            <w:tcW w:type="dxa" w:w="1360"/>
            <w:noWrap/>
            <w:vAlign w:val="bottom"/>
            <w:hideMark/>
          </w:tcPr>
          <w:p w:rsidRDefault="009C4C57" w:rsidR="000A47D2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13</w:t>
            </w:r>
            <w:r w:rsidR="00691CEB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7.982,4</w:t>
            </w:r>
            <w:r w:rsidR="000A47D2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6</w:t>
            </w:r>
          </w:p>
        </w:tc>
      </w:tr>
    </w:tbl>
    <w:p w:rsidRDefault="000A47D2" w:rsidP="000A47D2" w:rsidR="000A47D2">
      <w:pPr>
        <w:spacing w:after="0"/>
        <w:jc w:val="both"/>
        <w:rPr>
          <w:rFonts w:hAnsi="Bookman Old Style" w:ascii="Bookman Old Style"/>
          <w:b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ab/>
      </w:r>
    </w:p>
    <w:p w:rsidRDefault="000A47D2" w:rsidP="000A47D2" w:rsidR="000A47D2">
      <w:pPr>
        <w:spacing w:after="0"/>
        <w:jc w:val="both"/>
        <w:rPr>
          <w:rFonts w:hAnsi="Bookman Old Style" w:ascii="Bookman Old Style"/>
          <w:szCs w:val="24"/>
          <w:lang w:val="pl-PL"/>
        </w:rPr>
      </w:pPr>
    </w:p>
    <w:p w:rsidRDefault="000A47D2" w:rsidP="000A47D2" w:rsidR="000A47D2">
      <w:pPr>
        <w:spacing w:after="0"/>
        <w:jc w:val="both"/>
        <w:rPr>
          <w:rFonts w:hAnsi="Bookman Old Style" w:ascii="Bookman Old Style"/>
          <w:szCs w:val="24"/>
          <w:lang w:val="pl-PL"/>
        </w:rPr>
      </w:pPr>
    </w:p>
    <w:p w:rsidRDefault="000A47D2" w:rsidP="000A47D2" w:rsidR="000A47D2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0A47D2" w:rsidP="000A47D2" w:rsidR="000A47D2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0A47D2" w:rsidP="000A47D2" w:rsidR="000A47D2" w:rsidRPr="00691CEB">
      <w:pPr>
        <w:spacing w:after="0"/>
        <w:jc w:val="both"/>
        <w:rPr>
          <w:rFonts w:hAnsi="Bookman Old Style" w:ascii="Bookman Old Style"/>
          <w:b/>
          <w:sz w:val="24"/>
          <w:szCs w:val="24"/>
          <w:lang w:val="pl-PL"/>
        </w:rPr>
      </w:pPr>
      <w:r w:rsidRPr="00691CEB">
        <w:rPr>
          <w:rFonts w:hAnsi="Bookman Old Style" w:ascii="Bookman Old Style"/>
          <w:b/>
          <w:sz w:val="24"/>
          <w:szCs w:val="24"/>
          <w:lang w:val="pl-PL"/>
        </w:rPr>
        <w:t>III. RADNJE  KOJE ĆE SE PODUZETI U NAREDNOM RAZDOBLJU</w:t>
      </w:r>
    </w:p>
    <w:p w:rsidRDefault="000A47D2" w:rsidP="000A47D2" w:rsidR="000A47D2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0A47D2" w:rsidP="000A47D2" w:rsidR="000A47D2">
      <w:pPr>
        <w:jc w:val="both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>U narednom periodu će se nastaviti aktivnosti na naplati potraživanja koja stečajnom dužniku pripadaju temeljem pravomoćne i ovršne presude opisa</w:t>
      </w:r>
      <w:r w:rsidR="00662F93">
        <w:rPr>
          <w:rFonts w:hAnsi="Bookman Old Style" w:ascii="Bookman Old Style"/>
          <w:sz w:val="24"/>
          <w:szCs w:val="24"/>
          <w:lang w:val="pl-PL"/>
        </w:rPr>
        <w:t>ne pod točkom II. ovog Izvješća, a koja čine jedinu imovinu stečajnog dužnika.</w:t>
      </w:r>
    </w:p>
    <w:p w:rsidRDefault="000A47D2" w:rsidP="000A47D2" w:rsidR="000A47D2">
      <w:pPr>
        <w:rPr>
          <w:rFonts w:hAnsi="Bookman Old Style" w:ascii="Bookman Old Style"/>
          <w:sz w:val="24"/>
          <w:szCs w:val="24"/>
          <w:lang w:val="pl-PL"/>
        </w:rPr>
      </w:pPr>
    </w:p>
    <w:p w:rsidRDefault="000A47D2" w:rsidP="000A47D2" w:rsidR="000A47D2">
      <w:pPr>
        <w:rPr>
          <w:rFonts w:hAnsi="Bookman Old Style" w:ascii="Bookman Old Style"/>
          <w:sz w:val="24"/>
          <w:szCs w:val="24"/>
          <w:lang w:val="pl-PL"/>
        </w:rPr>
      </w:pPr>
    </w:p>
    <w:p w:rsidRDefault="000A47D2" w:rsidP="000A47D2" w:rsidR="000A47D2">
      <w:pPr>
        <w:rPr>
          <w:rFonts w:hAnsi="Bookman Old Style" w:ascii="Bookman Old Style"/>
          <w:sz w:val="24"/>
          <w:szCs w:val="24"/>
          <w:lang w:val="pl-PL"/>
        </w:rPr>
      </w:pPr>
    </w:p>
    <w:p w:rsidRDefault="000A47D2" w:rsidP="000A47D2" w:rsidR="000A47D2">
      <w:pPr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 xml:space="preserve">Mjesto i datum </w:t>
      </w:r>
      <w:r>
        <w:rPr>
          <w:rFonts w:hAnsi="Bookman Old Style" w:ascii="Bookman Old Style"/>
          <w:sz w:val="24"/>
          <w:szCs w:val="24"/>
          <w:lang w:val="pl-PL"/>
        </w:rPr>
        <w:tab/>
      </w:r>
      <w:r>
        <w:rPr>
          <w:rFonts w:hAnsi="Bookman Old Style" w:ascii="Bookman Old Style"/>
          <w:sz w:val="24"/>
          <w:szCs w:val="24"/>
          <w:lang w:val="pl-PL"/>
        </w:rPr>
        <w:tab/>
      </w:r>
      <w:r>
        <w:rPr>
          <w:rFonts w:hAnsi="Bookman Old Style" w:ascii="Bookman Old Style"/>
          <w:sz w:val="24"/>
          <w:szCs w:val="24"/>
          <w:lang w:val="pl-PL"/>
        </w:rPr>
        <w:tab/>
      </w:r>
      <w:r>
        <w:rPr>
          <w:rFonts w:hAnsi="Bookman Old Style" w:ascii="Bookman Old Style"/>
          <w:sz w:val="24"/>
          <w:szCs w:val="24"/>
          <w:lang w:val="pl-PL"/>
        </w:rPr>
        <w:tab/>
      </w:r>
      <w:r>
        <w:rPr>
          <w:rFonts w:hAnsi="Bookman Old Style" w:ascii="Bookman Old Style"/>
          <w:sz w:val="24"/>
          <w:szCs w:val="24"/>
          <w:lang w:val="pl-PL"/>
        </w:rPr>
        <w:tab/>
      </w:r>
      <w:r>
        <w:rPr>
          <w:rFonts w:hAnsi="Bookman Old Style" w:ascii="Bookman Old Style"/>
          <w:sz w:val="24"/>
          <w:szCs w:val="24"/>
          <w:lang w:val="pl-PL"/>
        </w:rPr>
        <w:tab/>
        <w:t>Stečajni upravitelj</w:t>
      </w:r>
    </w:p>
    <w:p w:rsidRDefault="00691CEB" w:rsidP="000A47D2" w:rsidR="000A47D2">
      <w:pPr>
        <w:rPr>
          <w:rFonts w:hAnsi="Bookman Old Style" w:ascii="Bookman Old Style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>Zagreb, 15.08</w:t>
      </w:r>
      <w:r w:rsidR="000A47D2">
        <w:rPr>
          <w:rFonts w:hAnsi="Bookman Old Style" w:ascii="Bookman Old Style"/>
          <w:sz w:val="24"/>
          <w:szCs w:val="24"/>
          <w:lang w:val="pl-PL"/>
        </w:rPr>
        <w:t>.2017.                                             Davorka Huljev</w:t>
      </w:r>
    </w:p>
    <w:p w:rsidRDefault="00791B26" w:rsidR="00791B26"/>
    <w:sectPr w:rsidSect="00791B26" w:rsidR="00791B2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A47D2"/>
    <w:rsid w:val="000A47D2"/>
    <w:rsid w:val="00662F93"/>
    <w:rsid w:val="00691CEB"/>
    <w:rsid w:val="00791B26"/>
    <w:rsid w:val="009C4C57"/>
    <w:rsid w:val="00BF2A55"/>
    <w:rsid w:val="00D14291"/>
    <w:rsid w:val="00D71841"/>
    <w:rsid w:val="00F41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A47D2"/>
    <w:pPr>
      <w:spacing w:lineRule="auto" w:line="240" w:after="80"/>
    </w:pPr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0A47D2"/>
    <w:pPr>
      <w:spacing w:after="0"/>
      <w:jc w:val="both"/>
    </w:pPr>
    <w:rPr>
      <w:rFonts w:eastAsia="Times New Roman" w:hAnsi="Bookman Old Style" w:ascii="Bookman Old Style"/>
      <w:sz w:val="24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semiHidden/>
    <w:rsid w:val="000A47D2"/>
    <w:rPr>
      <w:rFonts w:cs="Times New Roman" w:eastAsia="Times New Roman" w:hAnsi="Bookman Old Style" w:ascii="Bookman Old Style"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142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429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4291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4291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4291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A47D2"/>
    <w:pPr>
      <w:spacing w:after="80" w:line="240" w:lineRule="auto"/>
    </w:pPr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0A47D2"/>
    <w:pPr>
      <w:spacing w:after="0"/>
      <w:jc w:val="both"/>
    </w:pPr>
    <w:rPr>
      <w:rFonts w:ascii="Bookman Old Style" w:eastAsia="Times New Roman" w:hAnsi="Bookman Old Style"/>
      <w:sz w:val="24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semiHidden/>
    <w:rsid w:val="000A47D2"/>
    <w:rPr>
      <w:rFonts w:ascii="Bookman Old Style" w:cs="Times New Roman" w:eastAsia="Times New Roman" w:hAnsi="Bookman Old Style"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142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429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4291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4291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4291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041157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St-1559/2015-24</izvorni_sadrzaj>
    <derivirana_varijabla naziv="DomainObject.Oznaka_1">St-1559/2015-24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1559</izvorni_sadrzaj>
    <derivirana_varijabla naziv="DomainObject.Predmet.Broj_1">1559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listopada 2015.</izvorni_sadrzaj>
    <derivirana_varijabla naziv="DomainObject.Predmet.DatumOsnivanja_1">13.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St-1559/2015</izvorni_sadrzaj>
    <derivirana_varijabla naziv="DomainObject.Predmet.OznakaBroj_1">St-1559/2015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PROMLI uvoz-izvoz i trgovina d.o.o.</izvorni_sadrzaj>
    <derivirana_varijabla naziv="DomainObject.Predmet.ProtustrankaFormated_1">  Stečajna masa iza PROMLI uvoz-izvoz i trgovina d.o.o.</derivirana_varijabla>
  </DomainObject.Predmet.ProtustrankaFormated>
  <DomainObject.Predmet.ProtustrankaFormatedOIB>
    <izvorni_sadrzaj>  Stečajna masa iza PROMLI uvoz-izvoz i trgovina d.o.o., OIB 86779778312</izvorni_sadrzaj>
    <derivirana_varijabla naziv="DomainObject.Predmet.ProtustrankaFormatedOIB_1">  Stečajna masa iza PROMLI uvoz-izvoz i trgovina d.o.o., OIB 86779778312</derivirana_varijabla>
  </DomainObject.Predmet.ProtustrankaFormatedOIB>
  <DomainObject.Predmet.ProtustrankaFormatedWithAdress>
    <izvorni_sadrzaj> Stečajna masa iza PROMLI uvoz-izvoz i trgovina d.o.o., Miramarska 13d, 10000 Zagreb</izvorni_sadrzaj>
    <derivirana_varijabla naziv="DomainObject.Predmet.ProtustrankaFormatedWithAdress_1"> Stečajna masa iza PROMLI uvoz-izvoz i trgovina d.o.o., Miramarska 13d, 10000 Zagreb</derivirana_varijabla>
  </DomainObject.Predmet.ProtustrankaFormatedWithAdress>
  <DomainObject.Predmet.ProtustrankaFormatedWithAdressOIB>
    <izvorni_sadrzaj> Stečajna masa iza PROMLI uvoz-izvoz i trgovina d.o.o., OIB 86779778312, Miramarska 13d, 10000 Zagreb</izvorni_sadrzaj>
    <derivirana_varijabla naziv="DomainObject.Predmet.ProtustrankaFormatedWithAdressOIB_1"> Stečajna masa iza PROMLI uvoz-izvoz i trgovina d.o.o., OIB 86779778312, Miramarska 13d, 10000 Zagreb</derivirana_varijabla>
  </DomainObject.Predmet.ProtustrankaFormatedWithAdressOIB>
  <DomainObject.Predmet.ProtustrankaWithAdress>
    <izvorni_sadrzaj>Stečajna masa iza PROMLI uvoz-izvoz i trgovina d.o.o. Miramarska 13d, 10000 Zagreb</izvorni_sadrzaj>
    <derivirana_varijabla naziv="DomainObject.Predmet.ProtustrankaWithAdress_1">Stečajna masa iza PROMLI uvoz-izvoz i trgovina d.o.o. Miramarska 13d, 10000 Zagreb</derivirana_varijabla>
  </DomainObject.Predmet.ProtustrankaWithAdress>
  <DomainObject.Predmet.ProtustrankaWithAdressOIB>
    <izvorni_sadrzaj>Stečajna masa iza PROMLI uvoz-izvoz i trgovina d.o.o., OIB 86779778312, Miramarska 13d, 10000 Zagreb</izvorni_sadrzaj>
    <derivirana_varijabla naziv="DomainObject.Predmet.ProtustrankaWithAdressOIB_1">Stečajna masa iza PROMLI uvoz-izvoz i trgovina d.o.o., OIB 86779778312, Miramarska 13d, 10000 Zagreb</derivirana_varijabla>
  </DomainObject.Predmet.ProtustrankaWithAdressOIB>
  <DomainObject.Predmet.ProtustrankaNazivFormated>
    <izvorni_sadrzaj>Stečajna masa iza PROMLI uvoz-izvoz i trgovina d.o.o.</izvorni_sadrzaj>
    <derivirana_varijabla naziv="DomainObject.Predmet.ProtustrankaNazivFormated_1">Stečajna masa iza PROMLI uvoz-izvoz i trgovina d.o.o.</derivirana_varijabla>
  </DomainObject.Predmet.ProtustrankaNazivFormated>
  <DomainObject.Predmet.ProtustrankaNazivFormatedOIB>
    <izvorni_sadrzaj>Stečajna masa iza PROMLI uvoz-izvoz i trgovina d.o.o., OIB 86779778312</izvorni_sadrzaj>
    <derivirana_varijabla naziv="DomainObject.Predmet.ProtustrankaNazivFormatedOIB_1">Stečajna masa iza PROMLI uvoz-izvoz i trgovina d.o.o., OIB 86779778312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Davorka Huljev</izvorni_sadrzaj>
    <derivirana_varijabla naziv="DomainObject.Predmet.StrankaFormated_1">  Davorka Huljev</derivirana_varijabla>
  </DomainObject.Predmet.StrankaFormated>
  <DomainObject.Predmet.StrankaFormatedOIB>
    <izvorni_sadrzaj>  Davorka Huljev, OIB 34743014377</izvorni_sadrzaj>
    <derivirana_varijabla naziv="DomainObject.Predmet.StrankaFormatedOIB_1">  Davorka Huljev, OIB 34743014377</derivirana_varijabla>
  </DomainObject.Predmet.StrankaFormatedOIB>
  <DomainObject.Predmet.StrankaFormatedWithAdress>
    <izvorni_sadrzaj> Davorka Huljev, Miramarska 13D, 10000 Zagreb</izvorni_sadrzaj>
    <derivirana_varijabla naziv="DomainObject.Predmet.StrankaFormatedWithAdress_1"> Davorka Huljev, Miramarska 13D, 10000 Zagreb</derivirana_varijabla>
  </DomainObject.Predmet.StrankaFormatedWithAdress>
  <DomainObject.Predmet.StrankaFormatedWithAdressOIB>
    <izvorni_sadrzaj> Davorka Huljev, OIB 34743014377, Miramarska 13D, 10000 Zagreb</izvorni_sadrzaj>
    <derivirana_varijabla naziv="DomainObject.Predmet.StrankaFormatedWithAdressOIB_1"> Davorka Huljev, OIB 34743014377, Miramarska 13D, 10000 Zagreb</derivirana_varijabla>
  </DomainObject.Predmet.StrankaFormatedWithAdressOIB>
  <DomainObject.Predmet.StrankaWithAdress>
    <izvorni_sadrzaj>Davorka Huljev Miramarska 13D,10000 Zagreb</izvorni_sadrzaj>
    <derivirana_varijabla naziv="DomainObject.Predmet.StrankaWithAdress_1">Davorka Huljev Miramarska 13D,10000 Zagreb</derivirana_varijabla>
  </DomainObject.Predmet.StrankaWithAdress>
  <DomainObject.Predmet.StrankaWithAdressOIB>
    <izvorni_sadrzaj>Davorka Huljev, OIB 34743014377, Miramarska 13D,10000 Zagreb</izvorni_sadrzaj>
    <derivirana_varijabla naziv="DomainObject.Predmet.StrankaWithAdressOIB_1">Davorka Huljev, OIB 34743014377, Miramarska 13D,10000 Zagreb</derivirana_varijabla>
  </DomainObject.Predmet.StrankaWithAdressOIB>
  <DomainObject.Predmet.StrankaNazivFormated>
    <izvorni_sadrzaj>Davorka Huljev</izvorni_sadrzaj>
    <derivirana_varijabla naziv="DomainObject.Predmet.StrankaNazivFormated_1">Davorka Huljev</derivirana_varijabla>
  </DomainObject.Predmet.StrankaNazivFormated>
  <DomainObject.Predmet.StrankaNazivFormatedOIB>
    <izvorni_sadrzaj>Davorka Huljev, OIB 34743014377</izvorni_sadrzaj>
    <derivirana_varijabla naziv="DomainObject.Predmet.StrankaNazivFormatedOIB_1">Davorka Huljev, OIB 34743014377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Davorka Huljev</item>
    </izvorni_sadrzaj>
    <derivirana_varijabla naziv="DomainObject.Predmet.StrankaListFormated_1">
      <item>Davorka Huljev</item>
    </derivirana_varijabla>
  </DomainObject.Predmet.StrankaListFormated>
  <DomainObject.Predmet.StrankaListFormatedOIB>
    <izvorni_sadrzaj>
      <item>Davorka Huljev, OIB 34743014377</item>
    </izvorni_sadrzaj>
    <derivirana_varijabla naziv="DomainObject.Predmet.StrankaListFormatedOIB_1">
      <item>Davorka Huljev, OIB 34743014377</item>
    </derivirana_varijabla>
  </DomainObject.Predmet.StrankaListFormatedOIB>
  <DomainObject.Predmet.StrankaListFormatedWithAdress>
    <izvorni_sadrzaj>
      <item>Davorka Huljev, Miramarska 13D, 10000 Zagreb</item>
    </izvorni_sadrzaj>
    <derivirana_varijabla naziv="DomainObject.Predmet.StrankaListFormatedWithAdress_1">
      <item>Davorka Huljev, Miramarska 13D, 10000 Zagreb</item>
    </derivirana_varijabla>
  </DomainObject.Predmet.StrankaListFormatedWithAdress>
  <DomainObject.Predmet.StrankaListFormatedWithAdressOIB>
    <izvorni_sadrzaj>
      <item>Davorka Huljev, OIB 34743014377, Miramarska 13D, 10000 Zagreb</item>
    </izvorni_sadrzaj>
    <derivirana_varijabla naziv="DomainObject.Predmet.StrankaListFormatedWithAdressOIB_1">
      <item>Davorka Huljev, OIB 34743014377, Miramarska 13D, 10000 Zagreb</item>
    </derivirana_varijabla>
  </DomainObject.Predmet.StrankaListFormatedWithAdressOIB>
  <DomainObject.Predmet.StrankaListNazivFormated>
    <izvorni_sadrzaj>
      <item>Davorka Huljev</item>
    </izvorni_sadrzaj>
    <derivirana_varijabla naziv="DomainObject.Predmet.StrankaListNazivFormated_1">
      <item>Davorka Huljev</item>
    </derivirana_varijabla>
  </DomainObject.Predmet.StrankaListNazivFormated>
  <DomainObject.Predmet.StrankaListNazivFormatedOIB>
    <izvorni_sadrzaj>
      <item>Davorka Huljev, OIB 34743014377</item>
    </izvorni_sadrzaj>
    <derivirana_varijabla naziv="DomainObject.Predmet.StrankaListNazivFormatedOIB_1">
      <item>Davorka Huljev, OIB 34743014377</item>
    </derivirana_varijabla>
  </DomainObject.Predmet.StrankaListNazivFormatedOIB>
  <DomainObject.Predmet.ProtuStrankaListFormated>
    <izvorni_sadrzaj>
      <item>Stečajna masa iza PROMLI uvoz-izvoz i trgovina d.o.o.</item>
    </izvorni_sadrzaj>
    <derivirana_varijabla naziv="DomainObject.Predmet.ProtuStrankaListFormated_1">
      <item>Stečajna masa iza PROMLI uvoz-izvoz i trgovina d.o.o.</item>
    </derivirana_varijabla>
  </DomainObject.Predmet.ProtuStrankaListFormated>
  <DomainObject.Predmet.ProtuStrankaListFormatedOIB>
    <izvorni_sadrzaj>
      <item>Stečajna masa iza PROMLI uvoz-izvoz i trgovina d.o.o., OIB 86779778312</item>
    </izvorni_sadrzaj>
    <derivirana_varijabla naziv="DomainObject.Predmet.ProtuStrankaListFormatedOIB_1">
      <item>Stečajna masa iza PROMLI uvoz-izvoz i trgovina d.o.o., OIB 86779778312</item>
    </derivirana_varijabla>
  </DomainObject.Predmet.ProtuStrankaListFormatedOIB>
  <DomainObject.Predmet.ProtuStrankaListFormatedWithAdress>
    <izvorni_sadrzaj>
      <item>Stečajna masa iza PROMLI uvoz-izvoz i trgovina d.o.o., Miramarska 13d, 10000 Zagreb</item>
    </izvorni_sadrzaj>
    <derivirana_varijabla naziv="DomainObject.Predmet.ProtuStrankaListFormatedWithAdress_1">
      <item>Stečajna masa iza PROMLI uvoz-izvoz i trgovina d.o.o., Miramarska 13d, 10000 Zagreb</item>
    </derivirana_varijabla>
  </DomainObject.Predmet.ProtuStrankaListFormatedWithAdress>
  <DomainObject.Predmet.ProtuStrankaListFormatedWithAdressOIB>
    <izvorni_sadrzaj>
      <item>Stečajna masa iza PROMLI uvoz-izvoz i trgovina d.o.o., OIB 86779778312, Miramarska 13d, 10000 Zagreb</item>
    </izvorni_sadrzaj>
    <derivirana_varijabla naziv="DomainObject.Predmet.ProtuStrankaListFormatedWithAdressOIB_1">
      <item>Stečajna masa iza PROMLI uvoz-izvoz i trgovina d.o.o., OIB 86779778312, Miramarska 13d, 10000 Zagreb</item>
    </derivirana_varijabla>
  </DomainObject.Predmet.ProtuStrankaListFormatedWithAdressOIB>
  <DomainObject.Predmet.ProtuStrankaListNazivFormated>
    <izvorni_sadrzaj>
      <item>Stečajna masa iza PROMLI uvoz-izvoz i trgovina d.o.o.</item>
    </izvorni_sadrzaj>
    <derivirana_varijabla naziv="DomainObject.Predmet.ProtuStrankaListNazivFormated_1">
      <item>Stečajna masa iza PROMLI uvoz-izvoz i trgovina d.o.o.</item>
    </derivirana_varijabla>
  </DomainObject.Predmet.ProtuStrankaListNazivFormated>
  <DomainObject.Predmet.ProtuStrankaListNazivFormatedOIB>
    <izvorni_sadrzaj>
      <item>Stečajna masa iza PROMLI uvoz-izvoz i trgovina d.o.o., OIB 86779778312</item>
    </izvorni_sadrzaj>
    <derivirana_varijabla naziv="DomainObject.Predmet.ProtuStrankaListNazivFormatedOIB_1">
      <item>Stečajna masa iza PROMLI uvoz-izvoz i trgovina d.o.o., OIB 86779778312</item>
    </derivirana_varijabla>
  </DomainObject.Predmet.ProtuStrankaListNazivFormatedOIB>
  <DomainObject.Predmet.OstaliListFormated>
    <izvorni_sadrzaj>
      <item>Davorka Huljev</item>
    </izvorni_sadrzaj>
    <derivirana_varijabla naziv="DomainObject.Predmet.OstaliListFormated_1">
      <item>Davorka Huljev</item>
    </derivirana_varijabla>
  </DomainObject.Predmet.OstaliListFormated>
  <DomainObject.Predmet.OstaliListFormatedOIB>
    <izvorni_sadrzaj>
      <item>Davorka Huljev, OIB 34743014377</item>
    </izvorni_sadrzaj>
    <derivirana_varijabla naziv="DomainObject.Predmet.OstaliListFormatedOIB_1">
      <item>Davorka Huljev, OIB 34743014377</item>
    </derivirana_varijabla>
  </DomainObject.Predmet.OstaliListFormatedOIB>
  <DomainObject.Predmet.OstaliListFormatedWithAdress>
    <izvorni_sadrzaj>
      <item>Davorka Huljev, Miramarska 13d, 10000 Zagreb</item>
    </izvorni_sadrzaj>
    <derivirana_varijabla naziv="DomainObject.Predmet.OstaliListFormatedWithAdress_1">
      <item>Davorka Huljev, Miramarska 13d, 10000 Zagreb</item>
    </derivirana_varijabla>
  </DomainObject.Predmet.OstaliListFormatedWithAdress>
  <DomainObject.Predmet.OstaliListFormatedWithAdressOIB>
    <izvorni_sadrzaj>
      <item>Davorka Huljev, OIB 34743014377, Miramarska 13d, 10000 Zagreb</item>
    </izvorni_sadrzaj>
    <derivirana_varijabla naziv="DomainObject.Predmet.OstaliListFormatedWithAdressOIB_1">
      <item>Davorka Huljev, OIB 34743014377, Miramarska 13d, 10000 Zagreb</item>
    </derivirana_varijabla>
  </DomainObject.Predmet.OstaliListFormatedWithAdressOIB>
  <DomainObject.Predmet.OstaliListNazivFormated>
    <izvorni_sadrzaj>
      <item>Davorka Huljev</item>
    </izvorni_sadrzaj>
    <derivirana_varijabla naziv="DomainObject.Predmet.OstaliListNazivFormated_1">
      <item>Davorka Huljev</item>
    </derivirana_varijabla>
  </DomainObject.Predmet.OstaliListNazivFormated>
  <DomainObject.Predmet.OstaliListNazivFormatedOIB>
    <izvorni_sadrzaj>
      <item>Davorka Huljev, OIB 34743014377</item>
    </izvorni_sadrzaj>
    <derivirana_varijabla naziv="DomainObject.Predmet.OstaliListNazivFormatedOIB_1">
      <item>Davorka Huljev, OIB 34743014377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kolovoza 2017.</izvorni_sadrzaj>
    <derivirana_varijabla naziv="DomainObject.Datum_1">17.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Davorka Huljev</izvorni_sadrzaj>
    <derivirana_varijabla naziv="DomainObject.Predmet.StrankaIDrugi_1">Davorka Huljev</derivirana_varijabla>
  </DomainObject.Predmet.StrankaIDrugi>
  <DomainObject.Predmet.ProtustrankaIDrugi>
    <izvorni_sadrzaj>Stečajna masa iza PROMLI uvoz-izvoz i trgovina d.o.o.</izvorni_sadrzaj>
    <derivirana_varijabla naziv="DomainObject.Predmet.ProtustrankaIDrugi_1">Stečajna masa iza PROMLI uvoz-izvoz i trgovina d.o.o.</derivirana_varijabla>
  </DomainObject.Predmet.ProtustrankaIDrugi>
  <DomainObject.Predmet.StrankaIDrugiAdressOIB>
    <izvorni_sadrzaj>Davorka Huljev, OIB 34743014377, Miramarska 13D, 10000 Zagreb</izvorni_sadrzaj>
    <derivirana_varijabla naziv="DomainObject.Predmet.StrankaIDrugiAdressOIB_1">Davorka Huljev, OIB 34743014377, Miramarska 13D, 10000 Zagreb</derivirana_varijabla>
  </DomainObject.Predmet.StrankaIDrugiAdressOIB>
  <DomainObject.Predmet.ProtustrankaIDrugiAdressOIB>
    <izvorni_sadrzaj>Stečajna masa iza PROMLI uvoz-izvoz i trgovina d.o.o., OIB 86779778312, Miramarska 13d, 10000 Zagreb</izvorni_sadrzaj>
    <derivirana_varijabla naziv="DomainObject.Predmet.ProtustrankaIDrugiAdressOIB_1">Stečajna masa iza PROMLI uvoz-izvoz i trgovina d.o.o., OIB 86779778312, Miramarska 13d,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Davorka Huljev</item>
      <item>Stečajna masa iza PROMLI uvoz-izvoz i trgovina d.o.o.</item>
      <item>Davorka Huljev</item>
    </izvorni_sadrzaj>
    <derivirana_varijabla naziv="DomainObject.Predmet.SudioniciListNaziv_1">
      <item>Davorka Huljev</item>
      <item>Stečajna masa iza PROMLI uvoz-izvoz i trgovina d.o.o.</item>
      <item>Davorka Huljev</item>
    </derivirana_varijabla>
  </DomainObject.Predmet.SudioniciListNaziv>
  <DomainObject.Predmet.SudioniciListAdressOIB>
    <izvorni_sadrzaj>
      <item>Davorka Huljev, OIB 34743014377, Miramarska 13D,10000 Zagreb</item>
      <item>Stečajna masa iza PROMLI uvoz-izvoz i trgovina d.o.o., OIB 86779778312, Miramarska 13d,10000 Zagreb</item>
      <item>Davorka Huljev, OIB 34743014377, Miramarska 13d,10000 Zagreb</item>
    </izvorni_sadrzaj>
    <derivirana_varijabla naziv="DomainObject.Predmet.SudioniciListAdressOIB_1">
      <item>Davorka Huljev, OIB 34743014377, Miramarska 13D,10000 Zagreb</item>
      <item>Stečajna masa iza PROMLI uvoz-izvoz i trgovina d.o.o., OIB 86779778312, Miramarska 13d,10000 Zagreb</item>
      <item>Davorka Huljev, OIB 34743014377, Miramarska 13d,10000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34743014377</item>
      <item>, OIB 86779778312</item>
      <item>, OIB 34743014377</item>
    </izvorni_sadrzaj>
    <derivirana_varijabla naziv="DomainObject.Predmet.SudioniciListNazivOIB_1">
      <item>, OIB 34743014377</item>
      <item>, OIB 86779778312</item>
      <item>, OIB 34743014377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Davorka Huljev, OIB 34743014377, Miramarska 13 d Zagreb</item>
    </izvorni_sadrzaj>
    <derivirana_varijabla naziv="DomainObject.Predmet.StecajniUpraviteljiListAddressOIB_1">
      <item>Davorka Huljev, OIB 34743014377, Miramarska 13 d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717</properties:Words>
  <properties:Characters>4191</properties:Characters>
  <properties:Lines>256</properties:Lines>
  <properties:Paragraphs>88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4883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2017-08-17T11:24:00Z</dcterms:created>
  <dc:creator>natalija</dc:creator>
  <cp:lastModifiedBy>Kristina Švajger</cp:lastModifiedBy>
  <cp:lastPrinted>2017-07-14T08:26:00Z</cp:lastPrinted>
  <dcterms:modified xmlns:xsi="http://www.w3.org/2001/XMLSchema-instance" xsi:type="dcterms:W3CDTF">2017-08-17T11:24:00Z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St-1559/2015-24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