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7e826" w14:paraId="d07e826" w:rsidRDefault="00E86760" w:rsidP="007311D8" w:rsidR="00415C79" w:rsidRPr="0055627A">
      <w:pPr>
        <w:ind w:left="360"/>
        <w:jc w:val="both"/>
        <w15:collapsed w:val="false"/>
      </w:pPr>
      <w:bookmarkStart w:name="_GoBack" w:id="0"/>
      <w:bookmarkEnd w:id="0"/>
      <w:r w:rsidRPr="0055627A">
        <w:tab/>
      </w:r>
      <w:r w:rsidRPr="0055627A">
        <w:tab/>
        <w:t xml:space="preserve">   </w:t>
      </w:r>
      <w:r w:rsidRPr="0055627A">
        <w:tab/>
      </w:r>
      <w:r w:rsidRPr="0055627A">
        <w:tab/>
      </w:r>
      <w:r w:rsidR="005416AC" w:rsidRPr="0055627A">
        <w:tab/>
      </w:r>
    </w:p>
    <w:p w:rsidRDefault="005416AC" w:rsidP="007311D8" w:rsidR="00415C79" w:rsidRPr="0055627A">
      <w:pPr>
        <w:jc w:val="both"/>
      </w:pPr>
      <w:r w:rsidRPr="0055627A">
        <w:tab/>
      </w:r>
      <w:r w:rsidRPr="0055627A">
        <w:tab/>
      </w:r>
      <w:r w:rsidR="00415C79" w:rsidRPr="0055627A">
        <w:tab/>
      </w:r>
      <w:r w:rsidR="007311D8" w:rsidRPr="0055627A">
        <w:t xml:space="preserve">U   I M E   R E P U B L I K E   H R V A T S K E </w:t>
      </w:r>
    </w:p>
    <w:p w:rsidRDefault="007311D8" w:rsidP="007311D8" w:rsidR="007311D8" w:rsidRPr="0055627A">
      <w:pPr>
        <w:jc w:val="both"/>
      </w:pPr>
    </w:p>
    <w:p w:rsidRDefault="00415C79" w:rsidP="007311D8" w:rsidR="00415C79" w:rsidRPr="0055627A">
      <w:pPr>
        <w:jc w:val="center"/>
      </w:pPr>
      <w:r w:rsidRPr="0055627A">
        <w:t>R J E Š E N J E</w:t>
      </w:r>
    </w:p>
    <w:p w:rsidRDefault="00415C79" w:rsidP="007311D8" w:rsidR="00415C79" w:rsidRPr="0055627A">
      <w:pPr>
        <w:jc w:val="both"/>
      </w:pPr>
    </w:p>
    <w:p w:rsidRDefault="00415C79" w:rsidP="007311D8" w:rsidR="008D1092" w:rsidRPr="0055627A">
      <w:pPr>
        <w:jc w:val="both"/>
      </w:pPr>
      <w:r w:rsidRPr="0055627A">
        <w:tab/>
        <w:t xml:space="preserve">Trgovački sud u Zagrebu, </w:t>
      </w:r>
      <w:r w:rsidR="008C540B">
        <w:t xml:space="preserve">po sucu pojedincu Nevenki Siladi </w:t>
      </w:r>
      <w:r w:rsidRPr="0055627A">
        <w:t xml:space="preserve">Rstić, </w:t>
      </w:r>
      <w:r w:rsidR="00AF3AFA" w:rsidRPr="0055627A">
        <w:t xml:space="preserve">u postupku predstečajne nagodbe kod </w:t>
      </w:r>
      <w:r w:rsidRPr="0055627A">
        <w:t>dužnika</w:t>
      </w:r>
      <w:r w:rsidR="00E86760" w:rsidRPr="0055627A">
        <w:rPr>
          <w:b/>
          <w:noProof/>
        </w:rPr>
        <w:t xml:space="preserve"> </w:t>
      </w:r>
      <w:r w:rsidR="007311D8" w:rsidRPr="0055627A">
        <w:t>EPH media d.o.o., Zagreb, Koranska 2, OIB: 07813238579</w:t>
      </w:r>
      <w:r w:rsidR="003C61DF" w:rsidRPr="0055627A">
        <w:t>,</w:t>
      </w:r>
      <w:r w:rsidR="00AF3AFA" w:rsidRPr="0055627A">
        <w:t xml:space="preserve"> odlučujući o prijedlogu vjerovnika Hrvoja Šimića iz Zagreba, Bleiwiesova 27, OIB: 45735250142, za ponavljanjem </w:t>
      </w:r>
      <w:r w:rsidR="00543FAF">
        <w:t xml:space="preserve">pravomoćno dovršenog </w:t>
      </w:r>
      <w:r w:rsidR="00AF3AFA" w:rsidRPr="0055627A">
        <w:t>postupka</w:t>
      </w:r>
      <w:r w:rsidR="00D54B32">
        <w:t xml:space="preserve"> predstečajne nagodbe</w:t>
      </w:r>
      <w:r w:rsidR="00AF3AFA" w:rsidRPr="0055627A">
        <w:t>,</w:t>
      </w:r>
      <w:r w:rsidRPr="0055627A">
        <w:t xml:space="preserve"> </w:t>
      </w:r>
      <w:r w:rsidR="00AF3AFA" w:rsidRPr="0055627A">
        <w:t>dana</w:t>
      </w:r>
      <w:r w:rsidR="003D2A30" w:rsidRPr="0055627A">
        <w:t xml:space="preserve"> </w:t>
      </w:r>
      <w:r w:rsidR="00A0340B">
        <w:t>19</w:t>
      </w:r>
      <w:r w:rsidRPr="0055627A">
        <w:t xml:space="preserve">. </w:t>
      </w:r>
      <w:r w:rsidR="008C540B">
        <w:t>listop</w:t>
      </w:r>
      <w:r w:rsidR="00A0340B">
        <w:t>a</w:t>
      </w:r>
      <w:r w:rsidR="008C540B">
        <w:t>da</w:t>
      </w:r>
      <w:r w:rsidR="003C61DF" w:rsidRPr="0055627A">
        <w:t xml:space="preserve"> </w:t>
      </w:r>
      <w:r w:rsidRPr="0055627A">
        <w:t xml:space="preserve"> </w:t>
      </w:r>
      <w:r w:rsidR="00AF3AFA" w:rsidRPr="0055627A">
        <w:t>2015.</w:t>
      </w:r>
    </w:p>
    <w:p w:rsidRDefault="00415C79" w:rsidP="007311D8" w:rsidR="00415C79" w:rsidRPr="0055627A">
      <w:pPr>
        <w:jc w:val="center"/>
      </w:pPr>
      <w:r w:rsidRPr="0055627A">
        <w:t>r i j e š i o   j e</w:t>
      </w:r>
    </w:p>
    <w:p w:rsidRDefault="00AF3AFA" w:rsidP="007311D8" w:rsidR="00AF3AFA" w:rsidRPr="0055627A">
      <w:pPr>
        <w:jc w:val="center"/>
      </w:pPr>
    </w:p>
    <w:p w:rsidRDefault="0055627A" w:rsidP="00A0340B" w:rsidR="00AF3AFA" w:rsidRPr="0055627A">
      <w:pPr>
        <w:ind w:firstLine="708"/>
        <w:jc w:val="both"/>
      </w:pPr>
      <w:r w:rsidRPr="00A0340B">
        <w:t xml:space="preserve">Odbija se kao neosnovan </w:t>
      </w:r>
      <w:r w:rsidR="00AF3AFA" w:rsidRPr="00A0340B">
        <w:t>prijedlog vjerovnika Hrvoja Šimića iz Zagreba, Bleiwiesova 27, OIB: 45735250142, za ponavljanjem postupka</w:t>
      </w:r>
      <w:r w:rsidRPr="00A0340B">
        <w:t>,</w:t>
      </w:r>
      <w:r w:rsidR="00AF3AFA" w:rsidRPr="00A0340B">
        <w:t xml:space="preserve"> podnesen ovome sudu dana 4. ožujka 2015. godine.</w:t>
      </w:r>
    </w:p>
    <w:p w:rsidRDefault="00415C79" w:rsidP="007311D8" w:rsidR="00415C79" w:rsidRPr="0055627A">
      <w:pPr>
        <w:jc w:val="center"/>
      </w:pPr>
      <w:r w:rsidRPr="0055627A">
        <w:t>Obrazloženje</w:t>
      </w:r>
    </w:p>
    <w:p w:rsidRDefault="00415C79" w:rsidP="007311D8" w:rsidR="00415C79" w:rsidRPr="0055627A">
      <w:pPr>
        <w:jc w:val="center"/>
      </w:pPr>
    </w:p>
    <w:p w:rsidRDefault="00415C79" w:rsidP="00543FAF" w:rsidR="00543FAF">
      <w:pPr>
        <w:jc w:val="both"/>
      </w:pPr>
      <w:r w:rsidRPr="0055627A">
        <w:tab/>
      </w:r>
      <w:r w:rsidR="00B716C4">
        <w:t>Temeljem</w:t>
      </w:r>
      <w:r w:rsidR="00543FAF">
        <w:t xml:space="preserve"> dužnikovog</w:t>
      </w:r>
      <w:r w:rsidR="00B716C4">
        <w:t xml:space="preserve"> prijedloga </w:t>
      </w:r>
      <w:r w:rsidR="00543FAF">
        <w:t xml:space="preserve">za sklapanje predstečajne nagodbe, podnesenog ovome sudu u roku iz čl. 66. st. 1. Zakona o financijskom poslovanju i predstečajnoj nagodbi (NN 108/12, 144/12, 81/13, 112/13, dalje: ZFPSN), </w:t>
      </w:r>
      <w:r w:rsidR="00A0340B">
        <w:t xml:space="preserve">dana </w:t>
      </w:r>
      <w:r w:rsidR="00543FAF">
        <w:t xml:space="preserve">16. travnja 2014.,  </w:t>
      </w:r>
      <w:r w:rsidR="00B716C4">
        <w:t>o</w:t>
      </w:r>
      <w:r w:rsidR="00AF3AFA" w:rsidRPr="0055627A">
        <w:t xml:space="preserve">vaj je sud </w:t>
      </w:r>
      <w:r w:rsidR="00543FAF">
        <w:t>sukladno odredbi čl</w:t>
      </w:r>
      <w:r w:rsidR="00AF3AFA" w:rsidRPr="0055627A">
        <w:t>. 66.</w:t>
      </w:r>
      <w:r w:rsidR="00543FAF">
        <w:t xml:space="preserve"> st. 5. ZFPSN-a, </w:t>
      </w:r>
      <w:r w:rsidR="000222A0" w:rsidRPr="0055627A">
        <w:t>odredio ročište za sklapanje predstečajne nagodbe, koje j</w:t>
      </w:r>
      <w:r w:rsidR="00B716C4">
        <w:t>e</w:t>
      </w:r>
      <w:r w:rsidR="000222A0" w:rsidRPr="0055627A">
        <w:t xml:space="preserve"> i održano dana 16. srpnja 2014. godine, na koje su pristup</w:t>
      </w:r>
      <w:r w:rsidR="00B716C4">
        <w:t>ili dužnik i njegovi vjerovnici</w:t>
      </w:r>
      <w:r w:rsidR="00543FAF">
        <w:t>.</w:t>
      </w:r>
    </w:p>
    <w:p w:rsidRDefault="00543FAF" w:rsidP="00543FAF" w:rsidR="00543FAF">
      <w:pPr>
        <w:jc w:val="both"/>
      </w:pPr>
    </w:p>
    <w:p w:rsidRDefault="00543FAF" w:rsidP="00543FAF" w:rsidR="00B716C4">
      <w:pPr>
        <w:jc w:val="both"/>
      </w:pPr>
      <w:r>
        <w:tab/>
        <w:t>Kako je</w:t>
      </w:r>
      <w:r w:rsidR="00D54B32">
        <w:t xml:space="preserve"> na istom ročištu</w:t>
      </w:r>
      <w:r>
        <w:t xml:space="preserve"> </w:t>
      </w:r>
      <w:r w:rsidR="00B716C4">
        <w:t xml:space="preserve">pristanak </w:t>
      </w:r>
      <w:r w:rsidR="000222A0" w:rsidRPr="0055627A">
        <w:t xml:space="preserve">za sklapanje predstečajne nagodbe </w:t>
      </w:r>
      <w:r>
        <w:t>dao</w:t>
      </w:r>
      <w:r w:rsidR="000222A0" w:rsidRPr="0055627A">
        <w:t xml:space="preserve"> dužnik i vjerovnici čije tražbine čine potrebnu većinu iz čl. 63. ZFPSN</w:t>
      </w:r>
      <w:r w:rsidR="00B716C4">
        <w:t>-a</w:t>
      </w:r>
      <w:r w:rsidR="000222A0" w:rsidRPr="0055627A">
        <w:t>,</w:t>
      </w:r>
      <w:r w:rsidR="00B716C4">
        <w:t xml:space="preserve"> </w:t>
      </w:r>
      <w:r>
        <w:t xml:space="preserve">doneseno je rješenje </w:t>
      </w:r>
      <w:r w:rsidR="00B716C4">
        <w:t>o odobrenju sklapanja predstečajne nagodbe br. Stpn-183/</w:t>
      </w:r>
      <w:r>
        <w:t>14 dana 16. srpnja 2014. godine,  sukladno odredbi čl. 66. st. 9.</w:t>
      </w:r>
      <w:r w:rsidR="00B716C4">
        <w:t xml:space="preserve"> ZFPSN-a budući da </w:t>
      </w:r>
      <w:r>
        <w:t xml:space="preserve">je </w:t>
      </w:r>
      <w:r w:rsidR="00B716C4">
        <w:t xml:space="preserve">sadržaj </w:t>
      </w:r>
      <w:r>
        <w:t xml:space="preserve">predložene </w:t>
      </w:r>
      <w:r w:rsidR="00B716C4">
        <w:t>predstečajne nagodbe</w:t>
      </w:r>
      <w:r>
        <w:t xml:space="preserve"> bio</w:t>
      </w:r>
      <w:r w:rsidR="00B716C4">
        <w:t xml:space="preserve"> </w:t>
      </w:r>
      <w:r w:rsidR="000222A0" w:rsidRPr="0055627A">
        <w:t xml:space="preserve">u </w:t>
      </w:r>
      <w:r>
        <w:t xml:space="preserve">skladu s općim pravilima o sudskoj nagodbi te budući da je njezin sadržaj u </w:t>
      </w:r>
      <w:r w:rsidR="000222A0" w:rsidRPr="0055627A">
        <w:t xml:space="preserve">bitnim sastojcima </w:t>
      </w:r>
      <w:r>
        <w:t xml:space="preserve">bio odgovarajući </w:t>
      </w:r>
      <w:r w:rsidR="000222A0" w:rsidRPr="0055627A">
        <w:t>prihvaćenom planu financijskog i operat</w:t>
      </w:r>
      <w:r>
        <w:t>ivnog restrukturiranja dužnika.</w:t>
      </w:r>
    </w:p>
    <w:p w:rsidRDefault="00B716C4" w:rsidP="007311D8" w:rsidR="00B716C4">
      <w:pPr>
        <w:jc w:val="both"/>
      </w:pPr>
    </w:p>
    <w:p w:rsidRDefault="00B716C4" w:rsidP="007311D8" w:rsidR="00B716C4">
      <w:pPr>
        <w:jc w:val="both"/>
      </w:pPr>
      <w:r>
        <w:tab/>
        <w:t>Na navedeno rješenje</w:t>
      </w:r>
      <w:r w:rsidR="00543FAF">
        <w:t>, vjerovnik osporene tražbine,</w:t>
      </w:r>
      <w:r>
        <w:t xml:space="preserve"> Hrvoje Šimić podnio je žalbu o kojoj je Visoki trgovački sud RH odlučio rješenjem Pž-</w:t>
      </w:r>
      <w:r w:rsidR="00543FAF">
        <w:t xml:space="preserve">6395/14 dana 27. kolovoza 2014. </w:t>
      </w:r>
      <w:r>
        <w:t xml:space="preserve">godine, </w:t>
      </w:r>
      <w:r w:rsidR="00543FAF">
        <w:t xml:space="preserve">odbivši </w:t>
      </w:r>
      <w:r>
        <w:t>žalbu kao neosnovanu.</w:t>
      </w:r>
    </w:p>
    <w:p w:rsidRDefault="00B716C4" w:rsidP="007311D8" w:rsidR="00B716C4">
      <w:pPr>
        <w:jc w:val="both"/>
      </w:pPr>
    </w:p>
    <w:p w:rsidRDefault="00B716C4" w:rsidP="007311D8" w:rsidR="00B716C4">
      <w:pPr>
        <w:jc w:val="both"/>
      </w:pPr>
      <w:r>
        <w:tab/>
        <w:t xml:space="preserve">Rješenje o odobrenju sklapanja predstečajne nagodbe broj Stpn-183/14 od 16. </w:t>
      </w:r>
      <w:r w:rsidR="00A0340B">
        <w:t>srpnja 2014. godine postalo je</w:t>
      </w:r>
      <w:r>
        <w:t>, pravomoćno dana 27. kolovoza 2014. godine o čemu su dužnik i vjerovnici obaviješteni javnom objavom na web stranicama FINA-e (list 567 spisa).</w:t>
      </w:r>
    </w:p>
    <w:p w:rsidRDefault="00B716C4" w:rsidP="007311D8" w:rsidR="00B716C4">
      <w:pPr>
        <w:jc w:val="both"/>
      </w:pPr>
    </w:p>
    <w:p w:rsidRDefault="000222A0" w:rsidP="007311D8" w:rsidR="00B716C4">
      <w:pPr>
        <w:jc w:val="both"/>
      </w:pPr>
      <w:r w:rsidRPr="0055627A">
        <w:tab/>
        <w:t>Isti vjerovnik</w:t>
      </w:r>
      <w:r w:rsidR="00B716C4">
        <w:t>, Hrvoje Šimić,</w:t>
      </w:r>
      <w:r w:rsidRPr="0055627A">
        <w:t xml:space="preserve"> podnio</w:t>
      </w:r>
      <w:r w:rsidR="00B716C4">
        <w:t xml:space="preserve"> je</w:t>
      </w:r>
      <w:r w:rsidRPr="0055627A">
        <w:t xml:space="preserve"> i reviziju protiv</w:t>
      </w:r>
      <w:r w:rsidR="00B716C4">
        <w:t xml:space="preserve"> navedenog drugostupanjskog rješenja, </w:t>
      </w:r>
      <w:r w:rsidRPr="0055627A">
        <w:t>koju je Vrhovni sud RH odbacio kao nedopuštenu rješenjem broj Revt-361/14 dana 2. veljače 2015. godine.</w:t>
      </w:r>
      <w:r w:rsidR="00B716C4">
        <w:t xml:space="preserve"> </w:t>
      </w:r>
    </w:p>
    <w:p w:rsidRDefault="00543FAF" w:rsidP="007311D8" w:rsidR="00543FAF">
      <w:pPr>
        <w:jc w:val="both"/>
      </w:pPr>
    </w:p>
    <w:p w:rsidRDefault="000222A0" w:rsidP="00B716C4" w:rsidR="00FD795C" w:rsidRPr="0055627A">
      <w:pPr>
        <w:ind w:firstLine="708"/>
        <w:jc w:val="both"/>
      </w:pPr>
      <w:r w:rsidRPr="0055627A">
        <w:t>Prijedlogom za ponavljanjem postupka podnesenim</w:t>
      </w:r>
      <w:r w:rsidR="00B716C4">
        <w:t xml:space="preserve"> od strane Hrvoja Šimića</w:t>
      </w:r>
      <w:r w:rsidRPr="0055627A">
        <w:t xml:space="preserve"> ovome sudu dana 4. ožujka 2015. godine</w:t>
      </w:r>
      <w:r w:rsidR="00B716C4">
        <w:t xml:space="preserve"> i ispravljenim podneskom od 17. ožujka 2015. godine isti </w:t>
      </w:r>
      <w:r w:rsidRPr="0055627A">
        <w:t>traži da ovaj sud dopusti ponavljanje postupka i ukine pravomoćno rješenje Stpn-183/14</w:t>
      </w:r>
      <w:r w:rsidR="00B716C4">
        <w:t xml:space="preserve"> od 16. srpnja 2014. godine, jer da su za to ostvareni uvjeti, navodeći da je </w:t>
      </w:r>
      <w:r w:rsidRPr="0055627A">
        <w:t>dana 4. ožujka 2015. godine</w:t>
      </w:r>
      <w:r w:rsidR="00FD795C" w:rsidRPr="0055627A">
        <w:t xml:space="preserve"> na internet stranicama FINA-e objavljeno </w:t>
      </w:r>
      <w:r w:rsidR="00A54525" w:rsidRPr="0055627A">
        <w:t xml:space="preserve">rješenje </w:t>
      </w:r>
      <w:r w:rsidR="00543FAF">
        <w:t>RH, Ministarstva financ</w:t>
      </w:r>
      <w:r w:rsidR="00A0340B">
        <w:t>ija, S</w:t>
      </w:r>
      <w:r w:rsidR="00543FAF">
        <w:t>amostalnog sektora z drugostupanjski upravni postupak K</w:t>
      </w:r>
      <w:r w:rsidR="00A54525" w:rsidRPr="0055627A">
        <w:t>lasa UP/II</w:t>
      </w:r>
      <w:r w:rsidR="00FD795C" w:rsidRPr="0055627A">
        <w:t xml:space="preserve">-423-01/13-01/818, UR. BR. 513-04/15-11 od 22. siječnja 2015. godine te Presuda UsI-4553/13 od 23. prosinca 2014. godine kojim se ukida </w:t>
      </w:r>
      <w:r w:rsidR="00FD795C" w:rsidRPr="00D54B32">
        <w:rPr>
          <w:b/>
        </w:rPr>
        <w:t>rješenje</w:t>
      </w:r>
      <w:r w:rsidR="00FD795C" w:rsidRPr="0055627A">
        <w:t xml:space="preserve"> klasa UP/I-110/07/13-01/4332 UR. BR. 04-06-13-4332-120 od 10. rujna 2013. godine </w:t>
      </w:r>
      <w:r w:rsidR="00FD795C" w:rsidRPr="00A0340B">
        <w:rPr>
          <w:b/>
        </w:rPr>
        <w:t>o utvrđenju tražbina</w:t>
      </w:r>
      <w:r w:rsidR="00FD795C" w:rsidRPr="0055627A">
        <w:t xml:space="preserve"> nad dužnikom EPH media d.o.o., Zagreb, Koranska 2, OIB: 07813238579, čime smatra da su ispunjeni uvjeti za ponavljanjem postupka sukladno odredbi čl. 421. st. 1. toč. 8. i 425. Zakona o parničnom postupku (NN 53/91, 91/92, 112/99, 88/01, 117/03, 88/05, 2/07 – Odluka USRH, 84/08, 96/08 – Odluka USRH, 123/08 – ISPR., 57/11, 148/11 – proč. tekst, 25/13).</w:t>
      </w:r>
    </w:p>
    <w:p w:rsidRDefault="00B716C4" w:rsidP="00FD795C" w:rsidR="00B716C4">
      <w:pPr>
        <w:jc w:val="both"/>
      </w:pPr>
      <w:r>
        <w:tab/>
        <w:t xml:space="preserve">Navedeni vjerovnik, dakle, navodi da je poništeno rješenje FINA-e, Nagodbenog vijeća kojim su utvrđene tražbine </w:t>
      </w:r>
      <w:r w:rsidR="00A0340B">
        <w:t>vjerovnika predstečajne nagodbe</w:t>
      </w:r>
      <w:r w:rsidR="00D54B32">
        <w:t>, a</w:t>
      </w:r>
      <w:r w:rsidR="00A0340B">
        <w:t xml:space="preserve"> podneskom od 12. listopada 2015. godine, dodaje da predstečajna nagodba ima snagu ovršne isprave za sve vjerovnike čije su tražbine utvrđene.</w:t>
      </w:r>
      <w:r>
        <w:t xml:space="preserve"> </w:t>
      </w:r>
    </w:p>
    <w:p w:rsidRDefault="00784E48" w:rsidP="00FD795C" w:rsidR="00784E48" w:rsidRPr="0055627A">
      <w:pPr>
        <w:jc w:val="both"/>
      </w:pPr>
    </w:p>
    <w:p w:rsidRDefault="00FD795C" w:rsidP="00FD795C" w:rsidR="00FD795C">
      <w:pPr>
        <w:jc w:val="both"/>
      </w:pPr>
      <w:r w:rsidRPr="0055627A">
        <w:tab/>
        <w:t>U odgovoru na prijedlog za ponavljanjem postupka</w:t>
      </w:r>
      <w:r w:rsidR="00A0340B">
        <w:t xml:space="preserve"> i tijekom postupka</w:t>
      </w:r>
      <w:r w:rsidR="00B716C4">
        <w:t>,</w:t>
      </w:r>
      <w:r w:rsidRPr="0055627A">
        <w:t xml:space="preserve"> dužnik navodi </w:t>
      </w:r>
      <w:r w:rsidR="00B716C4">
        <w:t xml:space="preserve">da predlagatelj </w:t>
      </w:r>
      <w:r w:rsidR="00543FAF">
        <w:t xml:space="preserve">Hrvoje Šimić </w:t>
      </w:r>
      <w:r w:rsidR="00B716C4">
        <w:t>nema aktivnu procesnu legitimaciju za podnošenje istog</w:t>
      </w:r>
      <w:r w:rsidR="00D54B32">
        <w:t>,</w:t>
      </w:r>
      <w:r w:rsidR="00B716C4">
        <w:t xml:space="preserve"> budući da je</w:t>
      </w:r>
      <w:r w:rsidR="00D54B32">
        <w:t xml:space="preserve"> Hrvoje Šimić</w:t>
      </w:r>
      <w:r w:rsidR="00B716C4">
        <w:t xml:space="preserve"> vjerovnik kojemu je osporena prijavljena novčana tražbina u postupku predstečajne nagodbe kod FINA-e</w:t>
      </w:r>
      <w:r w:rsidR="003D1FCA">
        <w:t>, da će se isti namirivati nakon završetka parničnog postupka odmah i povoljnije od ostalih vjerovnika predstečajne nagodbe, da sklopljena predstečajna nagodba ni na koji način ne utječe na predlagateljeva pr</w:t>
      </w:r>
      <w:r w:rsidR="00543FAF">
        <w:t>a</w:t>
      </w:r>
      <w:r w:rsidR="003D1FCA">
        <w:t>va i interese prema dužniku, da u postupku predstečajne nagodbe sudjeluju samo oni vjerovnici čije su tražbine u postupku utvrđene rješenjem FINA-e</w:t>
      </w:r>
      <w:r w:rsidR="00543FAF">
        <w:t>,</w:t>
      </w:r>
      <w:r w:rsidR="003D1FCA">
        <w:t xml:space="preserve"> da predlagatelj kao vjerovnik osporene tražbine niti nema status vjerovnika pred trgovačkim sudom, nadalje da je predlagateljev prijedlog za ponavljanjem postupka nedopušten jer mu nedostaje pravni interes obzirom na činjenicu da niti u slučaju ponavljanja postupka predlagatelj ne</w:t>
      </w:r>
      <w:r w:rsidR="00A0340B">
        <w:t xml:space="preserve"> </w:t>
      </w:r>
      <w:r w:rsidR="003D1FCA">
        <w:t>bi u njemu mogao sudjelovati</w:t>
      </w:r>
      <w:r w:rsidR="00543FAF">
        <w:t>,</w:t>
      </w:r>
      <w:r w:rsidR="003D1FCA">
        <w:t xml:space="preserve"> sve zbog činjenice što je njegova novčana tražbina osporena.</w:t>
      </w:r>
    </w:p>
    <w:p w:rsidRDefault="008D6255" w:rsidP="00FD795C" w:rsidR="008D6255">
      <w:pPr>
        <w:jc w:val="both"/>
      </w:pPr>
      <w:r>
        <w:tab/>
        <w:t>Navodi da istu Hrvoje Šimić temelji na povredi prava osobnosti povodom teksta objavljenog u izdanju Jutarnjeg lista od 21. listopada 2012. godine i izdanju časopisa Globus od 25. veljače 2011. godine, da je isto samo osobno uvjerenje predlagatelja, da je temeljem istog pokrenuo parnični postupak koji nije okončan, da već dugi niz godina pokreće i vodi veliki broj postupaka protiv dužnika u kojima nije donesena niti jedna odluka u njegovu korist, da isti zbog nedostatka pravnog interesa samo zloupotrebljava postupak te da i ovaj prijedlog predstavlja obijesno parničenje, tim više što svoju tražbinu može eventualno ostvariti samo u parničnom postupku u kojem eventualno uspije, a ne kroz ponavljanje postupka jer, jednom kad su tražbine vjerovnika osporene u postupku predstečajne nagodbe, te tražbine ostaju trajno i izvan postupka predstečajne nagodbe i na njih predstečajna nagodba ne utječe čak i da naknadno budu utvrđene odlukom suda.</w:t>
      </w:r>
    </w:p>
    <w:p w:rsidRDefault="008D6255" w:rsidP="00FD795C" w:rsidR="008D6255">
      <w:pPr>
        <w:jc w:val="both"/>
      </w:pPr>
    </w:p>
    <w:p w:rsidRDefault="003D1FCA" w:rsidP="00FD795C" w:rsidR="00FD795C">
      <w:pPr>
        <w:jc w:val="both"/>
      </w:pPr>
      <w:r>
        <w:tab/>
        <w:t xml:space="preserve">Nadalje dužnik navodi da je predlagateljev prijedlog i sadržajno neosnovan budući da isti kao razlog za ponavljanje postupka navodi okolnost da je </w:t>
      </w:r>
      <w:r w:rsidR="00543FAF">
        <w:t xml:space="preserve">pravomoćno poništeno </w:t>
      </w:r>
      <w:r>
        <w:t xml:space="preserve">rješenje o utvrđivanju tražbina, a da je odredbom čl. 421. st. 1. toč. 8. Zakona o parničnom postupku </w:t>
      </w:r>
      <w:r>
        <w:lastRenderedPageBreak/>
        <w:t>(NN 53/91, 91/92, 112/99, 88/01, 117/03, 88/05, 2/07 – Odluka USRH, 84/08, 96/08 – Odluka USRH, 123/08 – ISPR., 57/11, 148/11 – proč. tekst, 25/13), propisano da se postupak koji je odlukom suda pravomoćno završen može na prijedlog stranke ponoviti samo ako se odluka suda temelji na drugoj odluci suda ili na odluci kakva drugog tijela (tzv. uvjetujući akt), a ta odluka bude pravomoćno preinačena, ukinuta odnosno poništena, a u ovom konkretnom slučaju predmetno rješenje FINA-e o utvrđivanju tražbina ne predstavlja uvjetujući akt u smislu navedene zakonske odredbe, jer se postupak predstečajne nagodbe sastoji od dva dijela: upravnog postupka koji se vodi pred FINA-om i sudskog postupka koji se vodi pred Trgovačkim sudom, s time d</w:t>
      </w:r>
      <w:r w:rsidR="00543FAF">
        <w:t>a</w:t>
      </w:r>
      <w:r>
        <w:t xml:space="preserve"> se u upravnom postupku donose dva rješenja: 1. Rješenje o utvrđivanju tražbina, iz čl. 60. st. 7. ZFPSN-a, 2. Rješenje kojim se utvrđuje da su za plan financijskog restrukturiranja glasovali vjerovnici čije tražbine čine zakonom propisanu većinu i d</w:t>
      </w:r>
      <w:r w:rsidR="00543FAF">
        <w:t>a</w:t>
      </w:r>
      <w:r>
        <w:t xml:space="preserve"> je postupak proveden u skladu s odredbama ZFPSN</w:t>
      </w:r>
      <w:r w:rsidR="00543FAF">
        <w:t>-a iz čl. 60. st. 13. ZFPSN-a</w:t>
      </w:r>
      <w:r>
        <w:t xml:space="preserve"> (tzv.</w:t>
      </w:r>
      <w:r w:rsidR="00543FAF">
        <w:t xml:space="preserve"> rješenje o prihvaćanju plana); nadalje </w:t>
      </w:r>
      <w:r>
        <w:t>da je pretpostavka za pokretanjem drugog dijela postupka pred sudom isključivo izvršnost drugog rješenja o prihvaćanju plana iz čl. 60. st. 13. ZFPSN-a; da je postupak sklapanja predstečajne nagodbe čije se ponavljanje traži</w:t>
      </w:r>
      <w:r w:rsidR="00543FAF">
        <w:t>, pokrenut na temelju izvršnog R</w:t>
      </w:r>
      <w:r>
        <w:t>ješenja FINA-e o prihvaćanju plana</w:t>
      </w:r>
      <w:r w:rsidR="00543FAF">
        <w:t xml:space="preserve"> financijskog restrukturiranja K</w:t>
      </w:r>
      <w:r>
        <w:t>lasa UP-I/110/07/13-01</w:t>
      </w:r>
      <w:r w:rsidR="004D766B">
        <w:t>/4332, Ur. br. 04-06-14-4332-221 od dana 18. ožujka 2014. godine koje rješenje predstavlja "uvjetujući akt" u smislu čl. 421. st. 1. toč. 8. ZPP-a, te d</w:t>
      </w:r>
      <w:r w:rsidR="00543FAF">
        <w:t>a</w:t>
      </w:r>
      <w:r w:rsidR="004D766B">
        <w:t xml:space="preserve"> to izvršno rješenje nije poništeno, a isto je bilo, dakle, osnova za vođenje postupka pred sudom i</w:t>
      </w:r>
      <w:r w:rsidR="00543FAF">
        <w:t xml:space="preserve"> osnova za donošenje</w:t>
      </w:r>
      <w:r w:rsidR="004D766B">
        <w:t xml:space="preserve"> rješenja Stpn-18</w:t>
      </w:r>
      <w:r w:rsidR="00543FAF">
        <w:t>3/14 od 16. srpnja 2014. godine, kojim je odobreno sklapanje predstečajne nagodbe kod dužnika.</w:t>
      </w:r>
    </w:p>
    <w:p w:rsidRDefault="008D6255" w:rsidP="00FD795C" w:rsidR="008D6255">
      <w:pPr>
        <w:jc w:val="both"/>
      </w:pPr>
      <w:r>
        <w:tab/>
        <w:t>Stoga predlaže dužnikov prijedlog odbaciti kao nedopušten, odnosno podredno odbiti kao neosnovan.</w:t>
      </w:r>
    </w:p>
    <w:p w:rsidRDefault="00543FAF" w:rsidP="00FD795C" w:rsidR="00543FAF">
      <w:pPr>
        <w:jc w:val="both"/>
      </w:pPr>
    </w:p>
    <w:p w:rsidRDefault="00543FAF" w:rsidP="00FD795C" w:rsidR="00543FAF" w:rsidRPr="0055627A">
      <w:pPr>
        <w:jc w:val="both"/>
      </w:pPr>
      <w:r>
        <w:tab/>
      </w:r>
      <w:r w:rsidR="008D6255">
        <w:t>Uvidom u cjelokupnu dokumentaciju u spisu, o</w:t>
      </w:r>
      <w:r>
        <w:t>vaj sud smatra da je prijedlog za ponavljanje postupka dopušten od strane naveden</w:t>
      </w:r>
      <w:r w:rsidR="00D54B32">
        <w:t>og vjerovnika osporene tražbine</w:t>
      </w:r>
      <w:r>
        <w:t xml:space="preserve"> Hrvoja Šimića,</w:t>
      </w:r>
      <w:r w:rsidR="008D6255">
        <w:t xml:space="preserve"> nadalje</w:t>
      </w:r>
      <w:r>
        <w:t xml:space="preserve"> da je prijedlog</w:t>
      </w:r>
      <w:r w:rsidR="008D6255">
        <w:t xml:space="preserve"> Hrvoja Šimića</w:t>
      </w:r>
      <w:r>
        <w:t xml:space="preserve"> pravovremeno podnesen, </w:t>
      </w:r>
      <w:r w:rsidR="008D6255">
        <w:t>ali je isti</w:t>
      </w:r>
      <w:r>
        <w:t xml:space="preserve"> neosnovan</w:t>
      </w:r>
      <w:r w:rsidR="00EF0E0D">
        <w:t>.</w:t>
      </w:r>
    </w:p>
    <w:p w:rsidRDefault="00FD795C" w:rsidP="00FD795C" w:rsidR="00FD795C" w:rsidRPr="0055627A">
      <w:pPr>
        <w:jc w:val="both"/>
      </w:pPr>
    </w:p>
    <w:p w:rsidRDefault="00EF0E0D" w:rsidP="00FD795C" w:rsidR="00FD795C">
      <w:pPr>
        <w:jc w:val="both"/>
      </w:pPr>
      <w:r>
        <w:tab/>
        <w:t>Odredba</w:t>
      </w:r>
      <w:r w:rsidR="00FD795C" w:rsidRPr="0055627A">
        <w:t xml:space="preserve"> čl. 66. st. 15.</w:t>
      </w:r>
      <w:r>
        <w:t xml:space="preserve"> ZFPSN-a</w:t>
      </w:r>
      <w:r w:rsidR="00FD795C" w:rsidRPr="0055627A">
        <w:t xml:space="preserve"> </w:t>
      </w:r>
      <w:r>
        <w:t>propisuje</w:t>
      </w:r>
      <w:r w:rsidR="00FD795C" w:rsidRPr="0055627A">
        <w:t xml:space="preserve"> da se u postupku predstečajne nagodbe pred sudom na odgovarajući način primjenjuju pravila izvanparničnog postupka u postupku pred Trgovačkim sudovima.</w:t>
      </w:r>
      <w:r>
        <w:t xml:space="preserve"> Navedena odredba se u ovom slučaju primjenjuje jer je postupak predstečajne nagodbe otvoren pred Nagodbenim vijećem FINA-e dana</w:t>
      </w:r>
      <w:r w:rsidR="003E08E2">
        <w:t xml:space="preserve"> 31. srpnja 2013. godine rješenjem Nagodbenog vijeća ZG07, </w:t>
      </w:r>
      <w:r>
        <w:t>(a što je utvrđeno uvidom u navedeno rješenje</w:t>
      </w:r>
      <w:r w:rsidR="003E08E2">
        <w:t>, list 4 spisa</w:t>
      </w:r>
      <w:r>
        <w:t xml:space="preserve"> i</w:t>
      </w:r>
      <w:r w:rsidR="003E08E2">
        <w:t xml:space="preserve"> uvidom</w:t>
      </w:r>
      <w:r>
        <w:t xml:space="preserve"> na web stranice FINA-e), dakle nakon 30. lipnja 2013. godine, sve sukladno odredbi čl. 57. ZID ZFPSN-a (NN 81/13)</w:t>
      </w:r>
      <w:r w:rsidR="003E08E2">
        <w:t>.</w:t>
      </w:r>
    </w:p>
    <w:p w:rsidRDefault="00EF0E0D" w:rsidP="00FD795C" w:rsidR="00EF0E0D">
      <w:pPr>
        <w:jc w:val="both"/>
      </w:pPr>
    </w:p>
    <w:p w:rsidRDefault="00EF0E0D" w:rsidP="00FD795C" w:rsidR="00EF0E0D">
      <w:pPr>
        <w:jc w:val="both"/>
      </w:pPr>
      <w:r>
        <w:tab/>
        <w:t>Odredbom paragrafa 21. Pravnih pravila Zakona o vanparničnom postupku je propisano da ukoliko taj Zakon nema posebnih naređenja, u izvanparničnom postupku će se i pored slučajeva posebice navedenih u tom Zakonu, shodno primjenjivati propisi Građanskog parničnog postupovnika – dakle Zakona o parničnom postupku. Budući da odredbama paragrafa 12-18 Pravnih pravila Zakona o vanparničnom postupku nije propisan izvanredni pravni lijek – ponavljanje postupka, primjenom paragrafa 21. Pravnih pravila Zakona o vanparničnom postupku na ponavljanje postupka se primjenjuju odredbe Zakona o parničnom postupku koje reguliraju taj izvanredni pravni lijek.</w:t>
      </w:r>
    </w:p>
    <w:p w:rsidRDefault="00FD795C" w:rsidP="00FD795C" w:rsidR="00FD795C" w:rsidRPr="0055627A">
      <w:pPr>
        <w:jc w:val="both"/>
      </w:pPr>
    </w:p>
    <w:p w:rsidRDefault="00FD795C" w:rsidP="00FD795C" w:rsidR="00FD795C" w:rsidRPr="0055627A">
      <w:pPr>
        <w:jc w:val="both"/>
      </w:pPr>
      <w:r w:rsidRPr="0055627A">
        <w:tab/>
        <w:t>Temeljem odredbe čl. 421. st. 1. toč. 8. ZPP-a, postupak koji je odlukom suda pravomoćno završen može se na prijedlog stranke ponoviti ako se odluka suda temelji na drugoj odluci suda ili na odluci kakva drugog tijela, a ta odluka bude pravomoćno preina</w:t>
      </w:r>
      <w:r w:rsidR="000643FD">
        <w:t>čena, ukinuta odnosno poništena, s time da je rok za podnošenje istog u ovakovom slučaju 30 d</w:t>
      </w:r>
      <w:r w:rsidR="00784E48">
        <w:t>a</w:t>
      </w:r>
      <w:r w:rsidR="000643FD">
        <w:t xml:space="preserve">na </w:t>
      </w:r>
      <w:r w:rsidR="000643FD">
        <w:lastRenderedPageBreak/>
        <w:t>od dan</w:t>
      </w:r>
      <w:r w:rsidR="00784E48">
        <w:t>a</w:t>
      </w:r>
      <w:r w:rsidR="000643FD">
        <w:t xml:space="preserve"> kada je stranka mogla upotrijebiti pravomoćnu odluku koja je razlog za ponavljanje postupka, sve sukladno čl. 432. st. 5. ZPP-a.</w:t>
      </w:r>
    </w:p>
    <w:p w:rsidRDefault="00FD795C" w:rsidP="00FD795C" w:rsidR="00FD795C" w:rsidRPr="0055627A">
      <w:pPr>
        <w:jc w:val="both"/>
      </w:pPr>
    </w:p>
    <w:p w:rsidRDefault="0092550C" w:rsidP="000643FD" w:rsidR="0055627A">
      <w:pPr>
        <w:jc w:val="both"/>
      </w:pPr>
      <w:r w:rsidRPr="0055627A">
        <w:tab/>
      </w:r>
      <w:r w:rsidR="000643FD">
        <w:t>N</w:t>
      </w:r>
      <w:r w:rsidR="0055627A">
        <w:t>esporno je među strankama da je podnositelj prijedlog</w:t>
      </w:r>
      <w:r w:rsidR="000643FD">
        <w:t>a</w:t>
      </w:r>
      <w:r w:rsidR="0055627A">
        <w:t xml:space="preserve"> z</w:t>
      </w:r>
      <w:r w:rsidR="000643FD">
        <w:t>a</w:t>
      </w:r>
      <w:r w:rsidR="0055627A">
        <w:t xml:space="preserve"> ponavljanjem postupka, Hrvoje Šimić, dužnikov vjerovnik kojemu je osporena tražbina u upravnom post</w:t>
      </w:r>
      <w:r w:rsidR="000643FD">
        <w:t xml:space="preserve">upku koji se vodio pred FINA-om u otvorenom </w:t>
      </w:r>
      <w:r w:rsidR="0055627A">
        <w:t>redovno</w:t>
      </w:r>
      <w:r w:rsidR="000643FD">
        <w:t>m</w:t>
      </w:r>
      <w:r w:rsidR="0055627A">
        <w:t xml:space="preserve"> postupku predstečajne nagodbe. To je bilo nesporno i tijekom postupka pred ovim sudom.</w:t>
      </w:r>
    </w:p>
    <w:p w:rsidRDefault="0055627A" w:rsidP="0092550C" w:rsidR="0055627A">
      <w:pPr>
        <w:ind w:firstLine="708"/>
        <w:jc w:val="both"/>
      </w:pPr>
    </w:p>
    <w:p w:rsidRDefault="0055627A" w:rsidP="0092550C" w:rsidR="0055627A">
      <w:pPr>
        <w:ind w:firstLine="708"/>
        <w:jc w:val="both"/>
      </w:pPr>
      <w:r>
        <w:t xml:space="preserve">Sporno je pitanje </w:t>
      </w:r>
      <w:r w:rsidR="000643FD">
        <w:t>da</w:t>
      </w:r>
      <w:r>
        <w:t xml:space="preserve"> li isti </w:t>
      </w:r>
      <w:r w:rsidR="000643FD">
        <w:t>kao</w:t>
      </w:r>
      <w:r>
        <w:t xml:space="preserve"> vjerovnik osporene tražbine</w:t>
      </w:r>
      <w:r w:rsidR="000643FD">
        <w:t xml:space="preserve"> ima</w:t>
      </w:r>
      <w:r>
        <w:t xml:space="preserve"> pravo podnijeti prijedlog </w:t>
      </w:r>
      <w:r w:rsidR="000643FD">
        <w:t>za ponavljanjem postupka ili ne, te ukoliko ima, da li je taj prijedlog osnovan ili nije.</w:t>
      </w:r>
    </w:p>
    <w:p w:rsidRDefault="0055627A" w:rsidP="0092550C" w:rsidR="0055627A">
      <w:pPr>
        <w:ind w:firstLine="708"/>
        <w:jc w:val="both"/>
      </w:pPr>
      <w:r>
        <w:t>Ovaj sud smatra da isti ima to pravo, jednako kao što je imao pravo podnijeti i redovni pravni lijek – žalbu na rješenje o odobrenju sklapanja predstečajne nagodbe broj St-183/14 od 16. srpnja 2014. godine, te kao što je imao pravo podnijeti i izvanredni pravni lijek – reviziju na drugostupanjsku odluku Visokog trgovačkog suda RH, a kojim pravnim lijekovi</w:t>
      </w:r>
      <w:r w:rsidR="000643FD">
        <w:t>ma je odlučeno tijekom postupka na način kako je to naprijed navedeno.</w:t>
      </w:r>
    </w:p>
    <w:p w:rsidRDefault="000643FD" w:rsidP="0092550C" w:rsidR="000643FD">
      <w:pPr>
        <w:ind w:firstLine="708"/>
        <w:jc w:val="both"/>
      </w:pPr>
      <w:r>
        <w:t>To stoga što je Hrvoje Šimić vjerovnik dužnika sukladno odredbi čl. 3. ZFPSN-a, kojom je određeno da su svi vjerovnici u postupku predstečajne nagodbe osobni vjerovnici dužnika koji u vrijeme otvaranja postupka predstečajne nagodbe imaju osiguranu ili neo</w:t>
      </w:r>
      <w:r w:rsidR="008D6255">
        <w:t xml:space="preserve">siguranu tražbinu prema dužniku, a i temeljem odredbe čl. 71. ZFPSN-a koja propisuje da pravne posljedice otvaranja predstečajne nagodbe nastaju za sve tražbine vjerovnika prema dužniku koje su nastale do otvaranja postupka. </w:t>
      </w:r>
    </w:p>
    <w:p w:rsidRDefault="000643FD" w:rsidP="0092550C" w:rsidR="000643FD">
      <w:pPr>
        <w:ind w:firstLine="708"/>
        <w:jc w:val="both"/>
      </w:pPr>
    </w:p>
    <w:p w:rsidRDefault="000643FD" w:rsidP="0092550C" w:rsidR="000643FD">
      <w:pPr>
        <w:ind w:firstLine="708"/>
        <w:jc w:val="both"/>
      </w:pPr>
      <w:r>
        <w:t>Kako proizlazi da je prijedlog</w:t>
      </w:r>
      <w:r w:rsidR="008D6255">
        <w:t xml:space="preserve"> za ponavljanje postupka</w:t>
      </w:r>
      <w:r w:rsidR="00784E48">
        <w:t xml:space="preserve"> </w:t>
      </w:r>
      <w:r>
        <w:t>dopušten</w:t>
      </w:r>
      <w:r w:rsidR="00784E48">
        <w:t>,</w:t>
      </w:r>
      <w:r>
        <w:t xml:space="preserve"> to je daljnje pitanje da li je isti pravovremen. Uvidom na web stranice FINA-e utvrđeno je da je </w:t>
      </w:r>
      <w:r w:rsidR="008D6255">
        <w:t>FINA</w:t>
      </w:r>
      <w:r>
        <w:t xml:space="preserve"> dana 4. ožujka 2015. godine objavila </w:t>
      </w:r>
      <w:r w:rsidR="00784E48">
        <w:t xml:space="preserve">presudu Upravnog suda u Zagrebu broj Usl 4553/13 od 23. prosinca 2014. godine kojom presudom je poništeno rješenje Ministarstva financija RH, samostalnog sektora za drugostupanjski upravni postupak, te objavljeno i rješenje drugostupanjskog tijela broj </w:t>
      </w:r>
      <w:r w:rsidR="00784E48" w:rsidRPr="0055627A">
        <w:t>UP/II-423-01/13-01/818, UR. B</w:t>
      </w:r>
      <w:r w:rsidR="00784E48">
        <w:t>R. 513-04/15-11 od 22. siječnja 2015. godine.</w:t>
      </w:r>
    </w:p>
    <w:p w:rsidRDefault="00784E48" w:rsidP="0092550C" w:rsidR="00784E48">
      <w:pPr>
        <w:ind w:firstLine="708"/>
        <w:jc w:val="both"/>
      </w:pPr>
    </w:p>
    <w:p w:rsidRDefault="00D54B32" w:rsidP="0092550C" w:rsidR="000643FD">
      <w:pPr>
        <w:ind w:firstLine="708"/>
        <w:jc w:val="both"/>
      </w:pPr>
      <w:r>
        <w:t>S</w:t>
      </w:r>
      <w:r w:rsidR="000643FD">
        <w:t>ukladno čl. 423. st. 5. ZPP-a tog dana</w:t>
      </w:r>
      <w:r>
        <w:t xml:space="preserve"> je predlagatelj Hrvoje Šimić saznao i mogao upotrijebiti</w:t>
      </w:r>
      <w:r w:rsidR="000643FD">
        <w:t xml:space="preserve"> navedene odluke, te kako je prijedlog za ponavljanje postupka podnesen dana 4. ožujka 2015. godine (list 607) spisa, to proizlazi da je isti pravovremen.</w:t>
      </w:r>
    </w:p>
    <w:p w:rsidRDefault="008D6255" w:rsidP="0092550C" w:rsidR="008D6255">
      <w:pPr>
        <w:ind w:firstLine="708"/>
        <w:jc w:val="both"/>
      </w:pPr>
    </w:p>
    <w:p w:rsidRDefault="008D6255" w:rsidP="0092550C" w:rsidR="008D6255">
      <w:pPr>
        <w:ind w:firstLine="708"/>
        <w:jc w:val="both"/>
      </w:pPr>
      <w:r>
        <w:t>Budući da je navedeni prijedlog dopušten i pravovremen, to je određeno ročište za ponavljanje postupka, poziv za koje ročište je objavljen na web stranicama FINA-e dana 3. kolovoza 2015. godine, a ročište je održano 13. listopada 2015. godine</w:t>
      </w:r>
      <w:r w:rsidR="005D5B3E">
        <w:t>, sve sukladno odredbi čl. 425. st. 2. i 426. ZPP-a. Na istom je strankama dana mogućnost neposrednog usmenog raspravljanja. Stranke su ostale kod dotadašnjih gore navedenih navoda.</w:t>
      </w:r>
    </w:p>
    <w:p w:rsidRDefault="005D5B3E" w:rsidP="0092550C" w:rsidR="005D5B3E">
      <w:pPr>
        <w:ind w:firstLine="708"/>
        <w:jc w:val="both"/>
      </w:pPr>
    </w:p>
    <w:p w:rsidRDefault="005D5B3E" w:rsidP="00DC5346" w:rsidR="000643FD">
      <w:pPr>
        <w:ind w:firstLine="709" w:right="-142"/>
        <w:jc w:val="both"/>
      </w:pPr>
      <w:r>
        <w:t xml:space="preserve">Uvidom u gore navedena rješenja te uvidom na web stranice FINA-e vezano za predstečajnu nagodbu kod ovog dužnika koja se sukladno </w:t>
      </w:r>
      <w:r w:rsidR="00D54B32">
        <w:t xml:space="preserve">odredbi </w:t>
      </w:r>
      <w:r>
        <w:t>čl.</w:t>
      </w:r>
      <w:r w:rsidR="00D54B32">
        <w:t xml:space="preserve"> 28.</w:t>
      </w:r>
      <w:r>
        <w:tab/>
      </w:r>
      <w:r w:rsidR="00D54B32" w:rsidRPr="00DC5346">
        <w:t>ZFPSN-a,</w:t>
      </w:r>
      <w:r w:rsidR="00DC5346">
        <w:t xml:space="preserve"> </w:t>
      </w:r>
      <w:r w:rsidRPr="00DC5346">
        <w:t>tamo</w:t>
      </w:r>
      <w:r w:rsidR="00DC5346">
        <w:t xml:space="preserve"> j</w:t>
      </w:r>
      <w:r>
        <w:t>avno objavljuju, ovaj sud smatra da</w:t>
      </w:r>
      <w:r w:rsidR="00D54B32">
        <w:t xml:space="preserve">, iako je </w:t>
      </w:r>
      <w:r w:rsidR="000643FD">
        <w:t xml:space="preserve">prijedlog dopušten i pravovremen, </w:t>
      </w:r>
      <w:r w:rsidR="00D54B32">
        <w:t>isti je</w:t>
      </w:r>
      <w:r w:rsidR="000643FD">
        <w:t xml:space="preserve"> neosnovan iz razloga što nisu ispunjeni uvjeti iz odredbe čl. 421. st. 1. toč. 8. ZPP-a, temeljem koje bi ponavljanje pravomoćno završenog postupka bilo moguće samo ukoliko bi se odluka suda temeljila na odluci drugog tijela (ovdje nagodbenog vijeća FINA-e) koja odluka bi bila pravomoćno poništena, a što ovdje nije slučaj, s obrazloženjem kako slijedi</w:t>
      </w:r>
      <w:r w:rsidR="00DB355F">
        <w:t>.</w:t>
      </w:r>
    </w:p>
    <w:p w:rsidRDefault="00DB355F" w:rsidP="0092550C" w:rsidR="00DB355F">
      <w:pPr>
        <w:ind w:firstLine="708"/>
        <w:jc w:val="both"/>
      </w:pPr>
    </w:p>
    <w:p w:rsidRDefault="005D5B3E" w:rsidP="0092550C" w:rsidR="00DB355F">
      <w:pPr>
        <w:ind w:firstLine="708"/>
        <w:jc w:val="both"/>
      </w:pPr>
      <w:r>
        <w:lastRenderedPageBreak/>
        <w:t>O</w:t>
      </w:r>
      <w:r w:rsidR="00DB355F">
        <w:t>vaj je sud rješenje o odobrenju sklapanja predstečajne nagodbe broj Stpn-183/14 od 16. srpnja 2014. godine, sukladno čl. 66. st. 1. i 9. ZFPSN-a donio na temelju izvršnog rješe</w:t>
      </w:r>
      <w:r w:rsidR="00D54B32">
        <w:t xml:space="preserve">nja iz čl. 60. st. 13. ZFPSN-a, i to </w:t>
      </w:r>
      <w:r w:rsidR="00DB355F">
        <w:t>rješenje Nagodbenog vijeća FINA-e</w:t>
      </w:r>
      <w:r w:rsidR="002E35DE">
        <w:t xml:space="preserve">, Klasa UP-I/110/07/13-01/4332, Ur. br. 04-06-14-4332-221, </w:t>
      </w:r>
      <w:r w:rsidR="00D54B32">
        <w:t xml:space="preserve">od </w:t>
      </w:r>
      <w:r w:rsidR="002E35DE">
        <w:t xml:space="preserve">dana 18. ožujka 2014. godine, </w:t>
      </w:r>
      <w:r w:rsidR="00DB355F">
        <w:t xml:space="preserve">kojim je </w:t>
      </w:r>
      <w:r w:rsidR="00D54B32">
        <w:t>Nagodbeno vijeće</w:t>
      </w:r>
      <w:r w:rsidR="00DB355F">
        <w:t xml:space="preserve"> potvrdilo da su za plan financijskog </w:t>
      </w:r>
      <w:r w:rsidR="00737282">
        <w:t>restrukturiranja</w:t>
      </w:r>
      <w:r w:rsidR="00DB355F">
        <w:t xml:space="preserve"> glasovali vjerovnici čije tražbine čine potrebu većinu iz čl. 63. ZFPSN-a, te da je postupak proveden u skladu s odredbama ZFPSN-a (list </w:t>
      </w:r>
      <w:r w:rsidR="002E35DE">
        <w:t>182-187</w:t>
      </w:r>
      <w:r w:rsidR="00DB355F">
        <w:t xml:space="preserve"> spisa)</w:t>
      </w:r>
    </w:p>
    <w:p w:rsidRDefault="000643FD" w:rsidP="0092550C" w:rsidR="000643FD">
      <w:pPr>
        <w:ind w:firstLine="708"/>
        <w:jc w:val="both"/>
      </w:pPr>
    </w:p>
    <w:p w:rsidRDefault="00737282" w:rsidP="0092550C" w:rsidR="00737282">
      <w:pPr>
        <w:ind w:firstLine="708"/>
        <w:jc w:val="both"/>
      </w:pPr>
      <w:r>
        <w:t xml:space="preserve">Uvidom u rješenje Nagodbenog vijeća FINA-e od 10. listopada 2013. godine, br. UP-I/110/07/13-01/4332, UR. BR. 04-06-13-4332-120, utvrđeno je </w:t>
      </w:r>
      <w:r w:rsidR="00760153">
        <w:t xml:space="preserve">da je istim Nagodbeno vijeće FINA-e odlučilo u kojem su iznosu utvrđene odnosno osporene pojedine tražbine predstečajnih vjerovnika, zajedno s tablicom ispitanih tražbina u kojoj za svaku pojedinu tražbinu </w:t>
      </w:r>
      <w:r w:rsidR="00D54B32">
        <w:t>naveden</w:t>
      </w:r>
      <w:r w:rsidR="00760153">
        <w:t xml:space="preserve"> podatak u kojoj je mjeri ista utvrđena, odnosno osporena.</w:t>
      </w:r>
      <w:r w:rsidR="005D5B3E">
        <w:t xml:space="preserve"> Na is</w:t>
      </w:r>
      <w:r w:rsidR="00D54B32">
        <w:t>tom se nalazi potvrda ovršnosti.</w:t>
      </w:r>
    </w:p>
    <w:p w:rsidRDefault="00D54B32" w:rsidP="0092550C" w:rsidR="00D54B32">
      <w:pPr>
        <w:ind w:firstLine="708"/>
        <w:jc w:val="both"/>
      </w:pPr>
    </w:p>
    <w:p w:rsidRDefault="00737282" w:rsidP="0092550C" w:rsidR="00737282">
      <w:pPr>
        <w:ind w:firstLine="708"/>
        <w:jc w:val="both"/>
      </w:pPr>
      <w:r>
        <w:t>Uvidom na web stranice FINA-e za navedenog dužnika utvrđeno je da je protiv tog rješenja o utvrđivanju tražbina uložena žalba od strane Prpić Marijana, te da je drugostupanjsko upravno tijelo odbilo žalbu M. Prpića rješenjem br. UP/II-423-01/13-01/818, UR. BR. 513-04/13-2, dana 15. listopada 2013. godine.</w:t>
      </w:r>
    </w:p>
    <w:p w:rsidRDefault="00737282" w:rsidP="0092550C" w:rsidR="00737282">
      <w:pPr>
        <w:ind w:firstLine="708"/>
        <w:jc w:val="both"/>
      </w:pPr>
    </w:p>
    <w:p w:rsidRDefault="008D1092" w:rsidP="0092550C" w:rsidR="00737282">
      <w:pPr>
        <w:ind w:firstLine="708"/>
        <w:jc w:val="both"/>
      </w:pPr>
      <w:r>
        <w:t>Nadalje, uvidom u presudu U</w:t>
      </w:r>
      <w:r w:rsidR="00737282">
        <w:t>pravnog suda u Zagrebu br. Usl-4553/13 od 23. prosinca 2014. godine (list 618-622 spisa), utvrđeno je da je taj sud navedenom presudom poništio upravno naprijed navedeno rješe</w:t>
      </w:r>
      <w:r>
        <w:t>nje Ministarstva financija RH, S</w:t>
      </w:r>
      <w:r w:rsidR="00737282">
        <w:t>amostalnog sektora za drugostupanjski upravni postupak od 15. listopada 2013. godine, te naložilo donošenje rješenja o žalbi tamo tužitelja Marijana Prpića.</w:t>
      </w:r>
    </w:p>
    <w:p w:rsidRDefault="00737282" w:rsidP="0092550C" w:rsidR="00737282">
      <w:pPr>
        <w:ind w:firstLine="708"/>
        <w:jc w:val="both"/>
      </w:pPr>
    </w:p>
    <w:p w:rsidRDefault="00737282" w:rsidP="00737282" w:rsidR="000643FD" w:rsidRPr="0055627A">
      <w:pPr>
        <w:ind w:firstLine="708"/>
        <w:jc w:val="both"/>
      </w:pPr>
      <w:r>
        <w:t>Nadalje uvidom u novo rješe</w:t>
      </w:r>
      <w:r w:rsidR="008D1092">
        <w:t>nje Ministarstva financija RH, S</w:t>
      </w:r>
      <w:r>
        <w:t xml:space="preserve">amostalnog sektora za drugostupanjski upravni postupak od 22. siječnja 2015. godine (list 624 i 625 spisa), broj </w:t>
      </w:r>
      <w:r w:rsidR="000643FD" w:rsidRPr="0055627A">
        <w:t>UP/II-423-01/13-01/818, UR. B</w:t>
      </w:r>
      <w:r>
        <w:t xml:space="preserve">R. 513-04/15-11 </w:t>
      </w:r>
      <w:r w:rsidR="000643FD" w:rsidRPr="0055627A">
        <w:t xml:space="preserve">utvrđeno je da se tim rješenjem poništava rješenje Financijske agencije, Regionalnog centara Zagreb, Nagodbenog vijeća ZG-06, UP/I-110/07/13-01/4332 UR. BR. 04-06-13-4332-120 od 10. rujna 2013. godine </w:t>
      </w:r>
      <w:r w:rsidR="006C6282">
        <w:t>(</w:t>
      </w:r>
      <w:r w:rsidR="000643FD" w:rsidRPr="0055627A">
        <w:t>kojim prvostupanjskim rješenjem upravnog tijela su utvrđene tražbine vjerovnika predstečajne nagodbe</w:t>
      </w:r>
      <w:r w:rsidR="006C6282">
        <w:t>)</w:t>
      </w:r>
      <w:r w:rsidR="000643FD" w:rsidRPr="0055627A">
        <w:t>.</w:t>
      </w:r>
    </w:p>
    <w:p w:rsidRDefault="000643FD" w:rsidP="000643FD" w:rsidR="000643FD" w:rsidRPr="0055627A">
      <w:pPr>
        <w:jc w:val="both"/>
      </w:pPr>
    </w:p>
    <w:p w:rsidRDefault="000643FD" w:rsidP="006C6282" w:rsidR="000643FD">
      <w:pPr>
        <w:jc w:val="both"/>
      </w:pPr>
      <w:r w:rsidRPr="0055627A">
        <w:tab/>
      </w:r>
      <w:r w:rsidR="006C6282">
        <w:t>Te</w:t>
      </w:r>
      <w:r w:rsidR="005D5B3E">
        <w:t xml:space="preserve">meljem gore navedeno proizlazi </w:t>
      </w:r>
      <w:r w:rsidR="006C6282">
        <w:t xml:space="preserve">da je poništeno </w:t>
      </w:r>
      <w:r w:rsidR="008D1092">
        <w:t>R</w:t>
      </w:r>
      <w:r w:rsidR="006C6282">
        <w:t xml:space="preserve">ješenje o utvrđivanju tražbina vjerovnika predstečajne nagodbe, </w:t>
      </w:r>
      <w:r w:rsidR="006C6282" w:rsidRPr="0055627A">
        <w:t>Nagodbenog vijeća ZG-06, UP/I-110/07/13-01/4332 UR. BR. 04-06-13-4332-120 od 10. rujna 2013. godine</w:t>
      </w:r>
      <w:r w:rsidR="006C6282">
        <w:t xml:space="preserve">, </w:t>
      </w:r>
      <w:r w:rsidR="00D54B32">
        <w:t xml:space="preserve">a da nije poništeno niti ukinuto </w:t>
      </w:r>
      <w:r w:rsidR="006C6282">
        <w:t>gore navedeno izvršno rješenje iz čl. 60. st. 13. ZFPSN-a</w:t>
      </w:r>
      <w:r w:rsidR="008D1092">
        <w:t xml:space="preserve"> od</w:t>
      </w:r>
      <w:r w:rsidR="006C6282">
        <w:t xml:space="preserve"> 18. ožujka 2014. godine pod brojem Klasa: UP-I/110/07/13-01/4332, UR. BR. 04-06-14-4332-221, na kojem je ovaj sud </w:t>
      </w:r>
      <w:r w:rsidR="005D5B3E">
        <w:t xml:space="preserve">temeljio rješenje o odobrenju sklapanja predstečajne nagodbe dana 16. srpnja 2014. godine koje rješenje je po žalbi Hrvoja Šimića potvrđeno od strane Visokog trgovačkog suda RH, dana </w:t>
      </w:r>
      <w:r w:rsidR="00D54B32">
        <w:t xml:space="preserve">27. kolovoza 2014. godine </w:t>
      </w:r>
      <w:r w:rsidR="005D5B3E">
        <w:t>pod brojem Pž-</w:t>
      </w:r>
      <w:r w:rsidR="00D54B32">
        <w:t xml:space="preserve"> 6395/14</w:t>
      </w:r>
      <w:r w:rsidR="005D5B3E">
        <w:t>, s kojim danom je isto postalo pravomoćno.</w:t>
      </w:r>
    </w:p>
    <w:p w:rsidRDefault="007F2455" w:rsidP="006C6282" w:rsidR="007F2455">
      <w:pPr>
        <w:jc w:val="both"/>
      </w:pPr>
    </w:p>
    <w:p w:rsidRDefault="007F2455" w:rsidP="006C6282" w:rsidR="007F2455">
      <w:pPr>
        <w:jc w:val="both"/>
      </w:pPr>
      <w:r>
        <w:tab/>
        <w:t>Za naglasiti je da u postupku sklapanja predstečajne nagodbe pred trgovačkim sudovima, sudovi nisu ovlašteni ispitivati pravilnost provedenog postupka pred FINA-om. Uloga trgovač</w:t>
      </w:r>
      <w:r w:rsidR="00D54B32">
        <w:t>kih sudova u postup</w:t>
      </w:r>
      <w:r>
        <w:t xml:space="preserve">ku predstečajne nagodbe je propisana odredbom čl. 66. ZFPSN-a i u istu ne spada obveza utvrđivanja i otklanjanja nedostataka iz postupka kod FINA-e jer ih sanira </w:t>
      </w:r>
      <w:r w:rsidR="00D54B32">
        <w:t>konačno</w:t>
      </w:r>
      <w:r>
        <w:t xml:space="preserve"> rješenje FINA-e u tamo upravnom postupku, u ovom slučaju izvršno rješenje FINA-e o prihvaćanju plana financijsk</w:t>
      </w:r>
      <w:r w:rsidR="0094413D">
        <w:t>og restrukturiranja, Klasa UP-I/110/07/13-01/4332, Ur. br. 04-06-14-4332-221 od dana 18. ožujka 2014. godine</w:t>
      </w:r>
    </w:p>
    <w:p w:rsidRDefault="0094413D" w:rsidP="0092550C" w:rsidR="0094413D">
      <w:pPr>
        <w:ind w:firstLine="708"/>
        <w:jc w:val="both"/>
      </w:pPr>
      <w:r>
        <w:lastRenderedPageBreak/>
        <w:t xml:space="preserve">Dužnost je suda u smislu odredbe čl. 66. ZFPSN-a odobriti sklapanje predstečajne nagodbe ako su za istu glasovali vjerovnici sukladno čl. 63. ZFPSN-a, </w:t>
      </w:r>
      <w:r w:rsidR="00D54B32">
        <w:t>čiji</w:t>
      </w:r>
      <w:r>
        <w:t xml:space="preserve"> je sadržaj predstečajne nagodbe u bitnim sastojcima identičan planu financijskog i operativnog restrukturiranja </w:t>
      </w:r>
      <w:r w:rsidR="00D54B32">
        <w:t>te čiji</w:t>
      </w:r>
      <w:r>
        <w:t xml:space="preserve"> je sadržaj u skladu s općim pravilima o sudskoj nagodbi.</w:t>
      </w:r>
    </w:p>
    <w:p w:rsidRDefault="0094413D" w:rsidP="0092550C" w:rsidR="0094413D">
      <w:pPr>
        <w:ind w:firstLine="708"/>
        <w:jc w:val="both"/>
        <w:rPr>
          <w:color w:val="FF0000"/>
        </w:rPr>
      </w:pPr>
      <w:r>
        <w:t xml:space="preserve">U konačnosti, predstečajna nagodba se može pobijati tužbom pod pretpostavkama koje su propisane za pobijanje sudske nagodbe sukladno odredbi čl. 83. </w:t>
      </w:r>
      <w:r w:rsidR="00D54B32">
        <w:t>ZPFSN-a</w:t>
      </w:r>
    </w:p>
    <w:p w:rsidRDefault="0094413D" w:rsidP="0092550C" w:rsidR="0094413D">
      <w:pPr>
        <w:ind w:firstLine="708"/>
        <w:jc w:val="both"/>
        <w:rPr>
          <w:color w:val="FF0000"/>
        </w:rPr>
      </w:pPr>
    </w:p>
    <w:p w:rsidRDefault="0094413D" w:rsidP="0092550C" w:rsidR="0094413D">
      <w:pPr>
        <w:ind w:firstLine="708"/>
        <w:jc w:val="both"/>
      </w:pPr>
      <w:r w:rsidRPr="0094413D">
        <w:t xml:space="preserve">Stoga </w:t>
      </w:r>
      <w:r>
        <w:t>je pozivom na gore navedene odredbe ZFPSN-a i ZPP-a odlučeno kao u izreci ovog rješenja.</w:t>
      </w:r>
    </w:p>
    <w:p w:rsidRDefault="001360E6" w:rsidP="0055627A" w:rsidR="00E21342" w:rsidRPr="0055627A">
      <w:pPr>
        <w:jc w:val="center"/>
      </w:pPr>
      <w:r w:rsidRPr="0055627A">
        <w:t xml:space="preserve"> U  Zagrebu, </w:t>
      </w:r>
      <w:r w:rsidR="005D5B3E">
        <w:t>19</w:t>
      </w:r>
      <w:r w:rsidR="00415C79" w:rsidRPr="0055627A">
        <w:t xml:space="preserve">. </w:t>
      </w:r>
      <w:r w:rsidR="005D5B3E">
        <w:t>listopada</w:t>
      </w:r>
      <w:r w:rsidR="00415C79" w:rsidRPr="0055627A">
        <w:t xml:space="preserve"> </w:t>
      </w:r>
      <w:r w:rsidR="0055627A" w:rsidRPr="0055627A">
        <w:t>2015.</w:t>
      </w:r>
      <w:r w:rsidR="00415C79" w:rsidRPr="0055627A">
        <w:t xml:space="preserve"> </w:t>
      </w:r>
    </w:p>
    <w:p w:rsidRDefault="00415C79" w:rsidP="007311D8" w:rsidR="00415C79" w:rsidRPr="0055627A">
      <w:pPr>
        <w:jc w:val="center"/>
      </w:pPr>
      <w:r w:rsidRPr="0055627A">
        <w:tab/>
      </w:r>
      <w:r w:rsidRPr="0055627A">
        <w:tab/>
      </w:r>
      <w:r w:rsidRPr="0055627A">
        <w:tab/>
      </w:r>
      <w:r w:rsidRPr="0055627A">
        <w:tab/>
      </w:r>
      <w:r w:rsidRPr="0055627A">
        <w:tab/>
      </w:r>
      <w:r w:rsidRPr="0055627A">
        <w:tab/>
      </w:r>
      <w:r w:rsidR="00F01080" w:rsidRPr="0055627A">
        <w:tab/>
      </w:r>
      <w:r w:rsidR="00F01080" w:rsidRPr="0055627A">
        <w:tab/>
      </w:r>
      <w:r w:rsidR="006C6282">
        <w:t xml:space="preserve">         </w:t>
      </w:r>
      <w:r w:rsidR="00554A5D">
        <w:t xml:space="preserve">    </w:t>
      </w:r>
      <w:r w:rsidR="006C6282">
        <w:t xml:space="preserve"> </w:t>
      </w:r>
      <w:r w:rsidRPr="0055627A">
        <w:t>SUDAC:</w:t>
      </w:r>
    </w:p>
    <w:p w:rsidRDefault="00415C79" w:rsidP="00F01080" w:rsidR="00415C79" w:rsidRPr="0055627A">
      <w:pPr>
        <w:jc w:val="center"/>
      </w:pPr>
      <w:r w:rsidRPr="0055627A">
        <w:tab/>
      </w:r>
      <w:r w:rsidRPr="0055627A">
        <w:tab/>
      </w:r>
      <w:r w:rsidRPr="0055627A">
        <w:tab/>
      </w:r>
      <w:r w:rsidRPr="0055627A">
        <w:tab/>
      </w:r>
      <w:r w:rsidRPr="0055627A">
        <w:tab/>
        <w:t xml:space="preserve">  </w:t>
      </w:r>
      <w:r w:rsidRPr="0055627A">
        <w:tab/>
        <w:t xml:space="preserve"> </w:t>
      </w:r>
      <w:r w:rsidR="00F01080" w:rsidRPr="0055627A">
        <w:tab/>
      </w:r>
      <w:r w:rsidR="00F01080" w:rsidRPr="0055627A">
        <w:tab/>
      </w:r>
      <w:r w:rsidRPr="0055627A">
        <w:t xml:space="preserve">  </w:t>
      </w:r>
      <w:r w:rsidR="006C6282">
        <w:t xml:space="preserve">             </w:t>
      </w:r>
      <w:r w:rsidRPr="0055627A">
        <w:t>Nevenka Siladi Rstić</w:t>
      </w:r>
      <w:r w:rsidR="00F01080" w:rsidRPr="0055627A">
        <w:t>, v.r.</w:t>
      </w:r>
      <w:r w:rsidR="00F211C5" w:rsidRPr="0055627A">
        <w:rPr>
          <w:i/>
        </w:rPr>
        <w:t xml:space="preserve">                               </w:t>
      </w:r>
    </w:p>
    <w:p w:rsidRDefault="00415C79" w:rsidP="007311D8" w:rsidR="00415C79" w:rsidRPr="0055627A">
      <w:pPr>
        <w:jc w:val="both"/>
        <w:rPr>
          <w:i/>
        </w:rPr>
      </w:pPr>
      <w:r w:rsidRPr="0055627A">
        <w:rPr>
          <w:i/>
        </w:rPr>
        <w:t>Uputa o pravnom lijeku:</w:t>
      </w:r>
    </w:p>
    <w:p w:rsidRDefault="00415C79" w:rsidP="007311D8" w:rsidR="001F2C84">
      <w:pPr>
        <w:jc w:val="both"/>
        <w:rPr>
          <w:i/>
        </w:rPr>
      </w:pPr>
      <w:r w:rsidRPr="0055627A">
        <w:rPr>
          <w:i/>
        </w:rPr>
        <w:t>Protiv ovo</w:t>
      </w:r>
      <w:r w:rsidR="00FD795C" w:rsidRPr="0055627A">
        <w:rPr>
          <w:i/>
        </w:rPr>
        <w:t xml:space="preserve">g rješenja dopuštena je žalba </w:t>
      </w:r>
      <w:r w:rsidRPr="0055627A">
        <w:rPr>
          <w:i/>
        </w:rPr>
        <w:t>u roku od 8 dana a koja se podnos</w:t>
      </w:r>
      <w:r w:rsidR="00FD795C" w:rsidRPr="0055627A">
        <w:rPr>
          <w:i/>
        </w:rPr>
        <w:t xml:space="preserve">i ovome sudu u dovoljnom broju </w:t>
      </w:r>
      <w:r w:rsidRPr="0055627A">
        <w:rPr>
          <w:i/>
        </w:rPr>
        <w:t xml:space="preserve">primjeraka za sud </w:t>
      </w:r>
      <w:r w:rsidR="00FD795C" w:rsidRPr="0055627A">
        <w:rPr>
          <w:i/>
        </w:rPr>
        <w:t xml:space="preserve">i stranke, a o istoj odlučuje </w:t>
      </w:r>
      <w:r w:rsidRPr="0055627A">
        <w:rPr>
          <w:i/>
        </w:rPr>
        <w:t xml:space="preserve">Visoki trgovački sud  Republike Hrvatske.     </w:t>
      </w:r>
    </w:p>
    <w:p w:rsidRDefault="00415C79" w:rsidP="007311D8" w:rsidR="00125B3D">
      <w:pPr>
        <w:jc w:val="both"/>
        <w:rPr>
          <w:i/>
        </w:rPr>
      </w:pPr>
      <w:r w:rsidRPr="0055627A">
        <w:rPr>
          <w:i/>
        </w:rPr>
        <w:t xml:space="preserve">        </w:t>
      </w:r>
    </w:p>
    <w:p w:rsidRDefault="00125B3D" w:rsidP="001F2C84" w:rsidR="00125B3D" w:rsidRPr="0055627A">
      <w:pPr>
        <w:pStyle w:val="Uvuenotijeloteksta"/>
        <w:ind w:left="0"/>
        <w:jc w:val="both"/>
      </w:pPr>
      <w:r w:rsidRPr="0055627A">
        <w:t>Za točnost otpravka – ovlašten službenik</w:t>
      </w:r>
    </w:p>
    <w:p w:rsidRDefault="001F2C84" w:rsidP="007311D8" w:rsidR="00125B3D">
      <w:pPr>
        <w:pStyle w:val="Uvuenotijeloteksta"/>
        <w:ind w:left="0"/>
        <w:jc w:val="both"/>
      </w:pPr>
      <w:r>
        <w:t xml:space="preserve">                 </w:t>
      </w:r>
      <w:r>
        <w:tab/>
      </w:r>
      <w:r w:rsidR="00125B3D" w:rsidRPr="0055627A">
        <w:t>Ana Brlek</w:t>
      </w:r>
    </w:p>
    <w:p w:rsidRDefault="001F2C84" w:rsidP="007311D8" w:rsidR="001F2C84" w:rsidRPr="0055627A">
      <w:pPr>
        <w:pStyle w:val="Uvuenotijeloteksta"/>
        <w:ind w:left="0"/>
        <w:jc w:val="both"/>
      </w:pPr>
    </w:p>
    <w:p w:rsidRDefault="00125B3D" w:rsidP="007311D8" w:rsidR="00125B3D" w:rsidRPr="0055627A">
      <w:pPr>
        <w:jc w:val="both"/>
        <w:rPr>
          <w:i/>
        </w:rPr>
      </w:pPr>
    </w:p>
    <w:p w:rsidRDefault="0055627A" w:rsidP="007311D8" w:rsidR="00415C79" w:rsidRPr="0055627A">
      <w:r w:rsidRPr="0055627A">
        <w:t>DNa</w:t>
      </w:r>
      <w:r w:rsidR="00415C79" w:rsidRPr="0055627A">
        <w:t>:</w:t>
      </w:r>
    </w:p>
    <w:p w:rsidRDefault="0055627A" w:rsidP="0055627A" w:rsidR="00415C79" w:rsidRPr="0055627A">
      <w:pPr>
        <w:pStyle w:val="Odlomakpopisa"/>
        <w:numPr>
          <w:ilvl w:val="0"/>
          <w:numId w:val="34"/>
        </w:numPr>
        <w:ind w:hanging="284" w:left="284"/>
        <w:rPr>
          <w:sz w:val="24"/>
          <w:szCs w:val="24"/>
          <w:lang w:val="hr-HR"/>
        </w:rPr>
      </w:pPr>
      <w:r w:rsidRPr="0055627A">
        <w:rPr>
          <w:sz w:val="24"/>
          <w:szCs w:val="24"/>
          <w:lang w:val="hr-HR"/>
        </w:rPr>
        <w:t xml:space="preserve">FINA </w:t>
      </w:r>
      <w:r w:rsidR="00415C79" w:rsidRPr="0055627A">
        <w:rPr>
          <w:sz w:val="24"/>
          <w:szCs w:val="24"/>
          <w:lang w:val="hr-HR"/>
        </w:rPr>
        <w:t>Zagreb</w:t>
      </w:r>
    </w:p>
    <w:p w:rsidRDefault="0055627A" w:rsidP="0055627A" w:rsidR="006E61A0">
      <w:pPr>
        <w:pStyle w:val="Odlomakpopisa"/>
        <w:numPr>
          <w:ilvl w:val="0"/>
          <w:numId w:val="34"/>
        </w:numPr>
        <w:ind w:hanging="284" w:left="284"/>
        <w:rPr>
          <w:sz w:val="24"/>
          <w:szCs w:val="24"/>
          <w:lang w:val="hr-HR"/>
        </w:rPr>
      </w:pPr>
      <w:r w:rsidRPr="0055627A">
        <w:rPr>
          <w:sz w:val="24"/>
          <w:szCs w:val="24"/>
          <w:lang w:val="hr-HR"/>
        </w:rPr>
        <w:t>Dužnik</w:t>
      </w:r>
      <w:r w:rsidR="00834EEE">
        <w:rPr>
          <w:sz w:val="24"/>
          <w:szCs w:val="24"/>
          <w:lang w:val="hr-HR"/>
        </w:rPr>
        <w:t>u</w:t>
      </w:r>
      <w:r w:rsidRPr="0055627A">
        <w:rPr>
          <w:sz w:val="24"/>
          <w:szCs w:val="24"/>
          <w:lang w:val="hr-HR"/>
        </w:rPr>
        <w:t xml:space="preserve"> po odvjetniku </w:t>
      </w:r>
      <w:r w:rsidR="00041B19">
        <w:rPr>
          <w:sz w:val="24"/>
          <w:szCs w:val="24"/>
          <w:lang w:val="hr-HR"/>
        </w:rPr>
        <w:t>Josip Madirazza, Zagreb, Masarykova 21</w:t>
      </w:r>
    </w:p>
    <w:p w:rsidRDefault="006C6282" w:rsidP="0055627A" w:rsidR="006C6282" w:rsidRPr="0055627A">
      <w:pPr>
        <w:pStyle w:val="Odlomakpopisa"/>
        <w:numPr>
          <w:ilvl w:val="0"/>
          <w:numId w:val="34"/>
        </w:numPr>
        <w:ind w:hanging="284" w:left="284"/>
        <w:rPr>
          <w:sz w:val="24"/>
          <w:szCs w:val="24"/>
          <w:lang w:val="hr-HR"/>
        </w:rPr>
      </w:pPr>
      <w:r>
        <w:rPr>
          <w:sz w:val="24"/>
          <w:szCs w:val="24"/>
          <w:lang w:val="hr-HR"/>
        </w:rPr>
        <w:t>Predlagatelju Hrvoje Šimić</w:t>
      </w:r>
      <w:r w:rsidR="00041B19">
        <w:rPr>
          <w:sz w:val="24"/>
          <w:szCs w:val="24"/>
          <w:lang w:val="hr-HR"/>
        </w:rPr>
        <w:t>, Zagreb, Beliwiesova 27</w:t>
      </w:r>
    </w:p>
    <w:p w:rsidRDefault="002F66B2" w:rsidP="007311D8" w:rsidR="002F66B2" w:rsidRPr="0055627A"/>
    <w:p w:rsidRDefault="00415C79" w:rsidP="007311D8" w:rsidR="00415C79" w:rsidRPr="0055627A"/>
    <w:sectPr w:rsidSect="00BF1C58" w:rsidR="00415C79" w:rsidRPr="0055627A">
      <w:headerReference w:type="even" r:id="rId10"/>
      <w:headerReference w:type="default" r:id="rId11"/>
      <w:headerReference w:type="first" r:id="rId12"/>
      <w:pgSz w:h="16838" w:w="11906"/>
      <w:pgMar w:gutter="0" w:footer="708" w:header="708" w:left="1417" w:bottom="1417"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4B25" w:rsidR="005A4B25">
      <w:r>
        <w:separator/>
      </w:r>
    </w:p>
  </w:endnote>
  <w:endnote w:id="0" w:type="continuationSeparator">
    <w:p w:rsidRDefault="005A4B25" w:rsidR="005A4B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ndara">
    <w:panose1 w:val="020E0502030303020204"/>
    <w:charset w:val="EE"/>
    <w:family w:val="swiss"/>
    <w:pitch w:val="variable"/>
    <w:sig w:csb1="00000000" w:csb0="0000019F" w:usb3="00000000" w:usb2="00000000" w:usb1="4000A44B" w:usb0="A00002EF"/>
  </w:font>
  <w:font w:name="Arial Narrow">
    <w:panose1 w:val="020B0606020202030204"/>
    <w:charset w:val="EE"/>
    <w:family w:val="swiss"/>
    <w:pitch w:val="variable"/>
    <w:sig w:csb1="00000000" w:csb0="0000009F" w:usb3="00000000" w:usb2="00000000" w:usb1="00000800" w:usb0="00000287"/>
  </w:font>
  <w:font w:name="SimSun">
    <w:altName w:val="宋体"/>
    <w:panose1 w:val="02010600030101010101"/>
    <w:charset w:val="86"/>
    <w:family w:val="auto"/>
    <w:notTrueType/>
    <w:pitch w:val="variable"/>
    <w:sig w:csb1="00000000" w:csb0="00040000" w:usb3="00000000" w:usb2="00000010" w:usb1="080E0000" w:usb0="00000001"/>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4B25" w:rsidR="005A4B25">
      <w:r>
        <w:separator/>
      </w:r>
    </w:p>
  </w:footnote>
  <w:footnote w:id="0" w:type="continuationSeparator">
    <w:p w:rsidRDefault="005A4B25" w:rsidR="005A4B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58DD" w:rsidP="00502F0A" w:rsidR="00CA58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A58DD" w:rsidR="00CA58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58DD" w:rsidP="00502F0A" w:rsidR="00CA58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92A1A">
      <w:rPr>
        <w:rStyle w:val="Brojstranice"/>
        <w:noProof/>
      </w:rPr>
      <w:t>- 6 -</w:t>
    </w:r>
    <w:r>
      <w:rPr>
        <w:rStyle w:val="Brojstranice"/>
      </w:rPr>
      <w:fldChar w:fldCharType="end"/>
    </w:r>
  </w:p>
  <w:p w:rsidRDefault="008C540B" w:rsidP="008C540B" w:rsidR="00CA58DD" w:rsidRPr="00A6009A">
    <w:pPr>
      <w:pStyle w:val="Zaglavlje"/>
      <w:jc w:val="right"/>
      <w:rPr>
        <w:sz w:val="20"/>
        <w:szCs w:val="20"/>
      </w:rPr>
    </w:pPr>
    <w:r>
      <w:t>47.</w:t>
    </w:r>
    <w:r w:rsidRPr="00F743E3">
      <w:t>Stpn-</w:t>
    </w:r>
    <w:r>
      <w:t>183</w:t>
    </w:r>
    <w:r w:rsidRPr="00F743E3">
      <w:t>/</w:t>
    </w:r>
    <w:r>
      <w:t>14-</w:t>
    </w:r>
    <w:r>
      <w:rPr>
        <w:sz w:val="20"/>
        <w:szCs w:val="20"/>
      </w:rPr>
      <w:t>62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11D8" w:rsidR="008C540B">
    <w:pPr>
      <w:pStyle w:val="Zaglavlje"/>
    </w:pPr>
    <w:r>
      <w:tab/>
    </w:r>
    <w:r w:rsidR="008C540B">
      <w:tab/>
    </w:r>
  </w:p>
  <w:p w:rsidRDefault="008C540B" w:rsidR="008C540B">
    <w:pPr>
      <w:pStyle w:val="Zaglavlje"/>
    </w:pPr>
  </w:p>
  <w:p w:rsidRDefault="008C540B" w:rsidP="00953077" w:rsidR="008C540B">
    <w:pPr>
      <w:pStyle w:val="Zaglavlje"/>
      <w:rPr>
        <w:sz w:val="20"/>
        <w:szCs w:val="20"/>
      </w:rPr>
    </w:pPr>
    <w:r>
      <w:tab/>
    </w:r>
    <w:r>
      <w:tab/>
      <w:t>47.</w:t>
    </w:r>
    <w:r w:rsidR="007311D8" w:rsidRPr="00F743E3">
      <w:t>Stpn-</w:t>
    </w:r>
    <w:r w:rsidR="007311D8">
      <w:t>183</w:t>
    </w:r>
    <w:r w:rsidR="007311D8" w:rsidRPr="00F743E3">
      <w:t>/</w:t>
    </w:r>
    <w:r w:rsidR="007311D8">
      <w:t>14</w:t>
    </w:r>
    <w:r w:rsidR="00A6009A">
      <w:t>-</w:t>
    </w:r>
    <w:r>
      <w:rPr>
        <w:sz w:val="20"/>
        <w:szCs w:val="20"/>
      </w:rPr>
      <w:t>62</w:t>
    </w:r>
  </w:p>
  <w:p w:rsidRDefault="008C540B" w:rsidP="00953077" w:rsidR="008C540B">
    <w:pPr>
      <w:pStyle w:val="Zaglavlje"/>
      <w:rPr>
        <w:sz w:val="20"/>
        <w:szCs w:val="20"/>
      </w:rPr>
    </w:pPr>
  </w:p>
  <w:p w:rsidRDefault="008C540B" w:rsidP="00953077" w:rsidR="008C540B">
    <w:pPr>
      <w:pStyle w:val="Zaglavlje"/>
      <w:rPr>
        <w:sz w:val="20"/>
        <w:szCs w:val="20"/>
      </w:rPr>
    </w:pPr>
  </w:p>
  <w:p w:rsidRDefault="008C540B" w:rsidP="00953077" w:rsidR="008C540B">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C540B" w:rsidP="00953077" w:rsidR="008C540B">
    <w:pPr>
      <w:pStyle w:val="Zaglavlje"/>
    </w:pPr>
  </w:p>
  <w:p w:rsidRDefault="008C540B" w:rsidP="00953077" w:rsidR="008C540B">
    <w:pPr>
      <w:pStyle w:val="Zaglavlje"/>
    </w:pPr>
  </w:p>
  <w:p w:rsidRDefault="008C540B" w:rsidP="00953077" w:rsidR="008C540B">
    <w:pPr>
      <w:pStyle w:val="Zaglavlje"/>
    </w:pPr>
  </w:p>
  <w:p w:rsidRDefault="008C540B" w:rsidP="00953077" w:rsidR="008C540B">
    <w:pPr>
      <w:pStyle w:val="Zaglavlje"/>
    </w:pPr>
  </w:p>
  <w:p w:rsidRDefault="008C540B" w:rsidP="00953077" w:rsidR="008C540B">
    <w:pPr>
      <w:pStyle w:val="Zaglavlje"/>
    </w:pPr>
  </w:p>
  <w:p w:rsidRDefault="008C540B" w:rsidP="000C42FE" w:rsidR="008C540B" w:rsidRPr="00953077">
    <w:pPr>
      <w:pStyle w:val="Zaglavlje"/>
      <w:ind w:left="426"/>
    </w:pPr>
    <w:r w:rsidRPr="00953077">
      <w:t>REPUBLIKA HRVAT</w:t>
    </w:r>
    <w:r>
      <w:t>S</w:t>
    </w:r>
    <w:r w:rsidRPr="00953077">
      <w:t>KA</w:t>
    </w:r>
  </w:p>
  <w:p w:rsidRDefault="008C540B" w:rsidP="000C42FE" w:rsidR="008C540B" w:rsidRPr="00953077">
    <w:pPr>
      <w:pStyle w:val="Zaglavlje"/>
      <w:ind w:left="426"/>
    </w:pPr>
    <w:r w:rsidRPr="00953077">
      <w:t>Trgovački sud u Zagrebu</w:t>
    </w:r>
  </w:p>
  <w:p w:rsidRDefault="008C540B" w:rsidP="000C42FE" w:rsidR="008C540B" w:rsidRPr="00953077">
    <w:pPr>
      <w:pStyle w:val="Zaglavlje"/>
      <w:ind w:left="426"/>
    </w:pPr>
    <w:r w:rsidRPr="00953077">
      <w:t>Zagreb, Amruševa 2/II, desno (p.p. 455)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A7523C"/>
    <w:multiLevelType w:val="hybridMultilevel"/>
    <w:tmpl w:val="8AC090F6"/>
    <w:lvl w:tplc="96048C0E" w:ilvl="0">
      <w:start w:val="9"/>
      <w:numFmt w:val="decimal"/>
      <w:lvlText w:val="%1."/>
      <w:lvlJc w:val="left"/>
      <w:pPr>
        <w:ind w:hanging="360" w:left="705"/>
      </w:pPr>
      <w:rPr>
        <w:rFonts w:cs="Times New Roman" w:hint="default"/>
      </w:rPr>
    </w:lvl>
    <w:lvl w:tentative="true" w:tplc="041A0019" w:ilvl="1">
      <w:start w:val="1"/>
      <w:numFmt w:val="lowerLetter"/>
      <w:lvlText w:val="%2."/>
      <w:lvlJc w:val="left"/>
      <w:pPr>
        <w:ind w:hanging="360" w:left="1425"/>
      </w:pPr>
      <w:rPr>
        <w:rFonts w:cs="Times New Roman"/>
      </w:rPr>
    </w:lvl>
    <w:lvl w:tentative="true" w:tplc="041A001B" w:ilvl="2">
      <w:start w:val="1"/>
      <w:numFmt w:val="lowerRoman"/>
      <w:lvlText w:val="%3."/>
      <w:lvlJc w:val="right"/>
      <w:pPr>
        <w:ind w:hanging="180" w:left="2145"/>
      </w:pPr>
      <w:rPr>
        <w:rFonts w:cs="Times New Roman"/>
      </w:rPr>
    </w:lvl>
    <w:lvl w:tentative="true" w:tplc="041A000F" w:ilvl="3">
      <w:start w:val="1"/>
      <w:numFmt w:val="decimal"/>
      <w:lvlText w:val="%4."/>
      <w:lvlJc w:val="left"/>
      <w:pPr>
        <w:ind w:hanging="360" w:left="2865"/>
      </w:pPr>
      <w:rPr>
        <w:rFonts w:cs="Times New Roman"/>
      </w:rPr>
    </w:lvl>
    <w:lvl w:tentative="true" w:tplc="041A0019" w:ilvl="4">
      <w:start w:val="1"/>
      <w:numFmt w:val="lowerLetter"/>
      <w:lvlText w:val="%5."/>
      <w:lvlJc w:val="left"/>
      <w:pPr>
        <w:ind w:hanging="360" w:left="3585"/>
      </w:pPr>
      <w:rPr>
        <w:rFonts w:cs="Times New Roman"/>
      </w:rPr>
    </w:lvl>
    <w:lvl w:tentative="true" w:tplc="041A001B" w:ilvl="5">
      <w:start w:val="1"/>
      <w:numFmt w:val="lowerRoman"/>
      <w:lvlText w:val="%6."/>
      <w:lvlJc w:val="right"/>
      <w:pPr>
        <w:ind w:hanging="180" w:left="4305"/>
      </w:pPr>
      <w:rPr>
        <w:rFonts w:cs="Times New Roman"/>
      </w:rPr>
    </w:lvl>
    <w:lvl w:tentative="true" w:tplc="041A000F" w:ilvl="6">
      <w:start w:val="1"/>
      <w:numFmt w:val="decimal"/>
      <w:lvlText w:val="%7."/>
      <w:lvlJc w:val="left"/>
      <w:pPr>
        <w:ind w:hanging="360" w:left="5025"/>
      </w:pPr>
      <w:rPr>
        <w:rFonts w:cs="Times New Roman"/>
      </w:rPr>
    </w:lvl>
    <w:lvl w:tentative="true" w:tplc="041A0019" w:ilvl="7">
      <w:start w:val="1"/>
      <w:numFmt w:val="lowerLetter"/>
      <w:lvlText w:val="%8."/>
      <w:lvlJc w:val="left"/>
      <w:pPr>
        <w:ind w:hanging="360" w:left="5745"/>
      </w:pPr>
      <w:rPr>
        <w:rFonts w:cs="Times New Roman"/>
      </w:rPr>
    </w:lvl>
    <w:lvl w:tentative="true" w:tplc="041A001B" w:ilvl="8">
      <w:start w:val="1"/>
      <w:numFmt w:val="lowerRoman"/>
      <w:lvlText w:val="%9."/>
      <w:lvlJc w:val="right"/>
      <w:pPr>
        <w:ind w:hanging="180" w:left="6465"/>
      </w:pPr>
      <w:rPr>
        <w:rFonts w:cs="Times New Roman"/>
      </w:rPr>
    </w:lvl>
  </w:abstractNum>
  <w:abstractNum w:abstractNumId="1">
    <w:nsid w:val="092C7F02"/>
    <w:multiLevelType w:val="hybridMultilevel"/>
    <w:tmpl w:val="8A94EB38"/>
    <w:lvl w:tplc="E690CDFA" w:ilvl="0">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CB65AAA"/>
    <w:multiLevelType w:val="hybridMultilevel"/>
    <w:tmpl w:val="D554B80C"/>
    <w:lvl w:tplc="C138105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E7428B0"/>
    <w:multiLevelType w:val="hybridMultilevel"/>
    <w:tmpl w:val="279027A6"/>
    <w:lvl w:tplc="63AC31A0" w:ilvl="0">
      <w:start w:val="1"/>
      <w:numFmt w:val="decimal"/>
      <w:lvlText w:val="%1."/>
      <w:lvlJc w:val="left"/>
      <w:pPr>
        <w:ind w:hanging="360" w:left="2490"/>
      </w:pPr>
      <w:rPr>
        <w:rFonts w:cs="Times New Roman" w:hint="default"/>
      </w:rPr>
    </w:lvl>
    <w:lvl w:tentative="true" w:tplc="041A0019" w:ilvl="1">
      <w:start w:val="1"/>
      <w:numFmt w:val="lowerLetter"/>
      <w:lvlText w:val="%2."/>
      <w:lvlJc w:val="left"/>
      <w:pPr>
        <w:ind w:hanging="360" w:left="3210"/>
      </w:pPr>
      <w:rPr>
        <w:rFonts w:cs="Times New Roman"/>
      </w:rPr>
    </w:lvl>
    <w:lvl w:tentative="true" w:tplc="041A001B" w:ilvl="2">
      <w:start w:val="1"/>
      <w:numFmt w:val="lowerRoman"/>
      <w:lvlText w:val="%3."/>
      <w:lvlJc w:val="right"/>
      <w:pPr>
        <w:ind w:hanging="180" w:left="3930"/>
      </w:pPr>
      <w:rPr>
        <w:rFonts w:cs="Times New Roman"/>
      </w:rPr>
    </w:lvl>
    <w:lvl w:tentative="true" w:tplc="041A000F" w:ilvl="3">
      <w:start w:val="1"/>
      <w:numFmt w:val="decimal"/>
      <w:lvlText w:val="%4."/>
      <w:lvlJc w:val="left"/>
      <w:pPr>
        <w:ind w:hanging="360" w:left="4650"/>
      </w:pPr>
      <w:rPr>
        <w:rFonts w:cs="Times New Roman"/>
      </w:rPr>
    </w:lvl>
    <w:lvl w:tentative="true" w:tplc="041A0019" w:ilvl="4">
      <w:start w:val="1"/>
      <w:numFmt w:val="lowerLetter"/>
      <w:lvlText w:val="%5."/>
      <w:lvlJc w:val="left"/>
      <w:pPr>
        <w:ind w:hanging="360" w:left="5370"/>
      </w:pPr>
      <w:rPr>
        <w:rFonts w:cs="Times New Roman"/>
      </w:rPr>
    </w:lvl>
    <w:lvl w:tentative="true" w:tplc="041A001B" w:ilvl="5">
      <w:start w:val="1"/>
      <w:numFmt w:val="lowerRoman"/>
      <w:lvlText w:val="%6."/>
      <w:lvlJc w:val="right"/>
      <w:pPr>
        <w:ind w:hanging="180" w:left="6090"/>
      </w:pPr>
      <w:rPr>
        <w:rFonts w:cs="Times New Roman"/>
      </w:rPr>
    </w:lvl>
    <w:lvl w:tentative="true" w:tplc="041A000F" w:ilvl="6">
      <w:start w:val="1"/>
      <w:numFmt w:val="decimal"/>
      <w:lvlText w:val="%7."/>
      <w:lvlJc w:val="left"/>
      <w:pPr>
        <w:ind w:hanging="360" w:left="6810"/>
      </w:pPr>
      <w:rPr>
        <w:rFonts w:cs="Times New Roman"/>
      </w:rPr>
    </w:lvl>
    <w:lvl w:tentative="true" w:tplc="041A0019" w:ilvl="7">
      <w:start w:val="1"/>
      <w:numFmt w:val="lowerLetter"/>
      <w:lvlText w:val="%8."/>
      <w:lvlJc w:val="left"/>
      <w:pPr>
        <w:ind w:hanging="360" w:left="7530"/>
      </w:pPr>
      <w:rPr>
        <w:rFonts w:cs="Times New Roman"/>
      </w:rPr>
    </w:lvl>
    <w:lvl w:tentative="true" w:tplc="041A001B" w:ilvl="8">
      <w:start w:val="1"/>
      <w:numFmt w:val="lowerRoman"/>
      <w:lvlText w:val="%9."/>
      <w:lvlJc w:val="right"/>
      <w:pPr>
        <w:ind w:hanging="180" w:left="8250"/>
      </w:pPr>
      <w:rPr>
        <w:rFonts w:cs="Times New Roman"/>
      </w:rPr>
    </w:lvl>
  </w:abstractNum>
  <w:abstractNum w:abstractNumId="4">
    <w:nsid w:val="11354319"/>
    <w:multiLevelType w:val="hybridMultilevel"/>
    <w:tmpl w:val="D196107C"/>
    <w:lvl w:tplc="0409000F" w:ilvl="0">
      <w:start w:val="1"/>
      <w:numFmt w:val="decimal"/>
      <w:lvlText w:val="%1."/>
      <w:lvlJc w:val="left"/>
      <w:pPr>
        <w:ind w:hanging="360" w:left="720"/>
      </w:pPr>
      <w:rPr>
        <w:rFonts w:cs="Times New Roman" w:hint="default"/>
      </w:rPr>
    </w:lvl>
    <w:lvl w:tentative="true" w:tplc="04090019" w:ilvl="1">
      <w:start w:val="1"/>
      <w:numFmt w:val="lowerLetter"/>
      <w:lvlText w:val="%2."/>
      <w:lvlJc w:val="left"/>
      <w:pPr>
        <w:ind w:hanging="360" w:left="1440"/>
      </w:pPr>
      <w:rPr>
        <w:rFonts w:cs="Times New Roman"/>
      </w:rPr>
    </w:lvl>
    <w:lvl w:tentative="true" w:tplc="0409001B" w:ilvl="2">
      <w:start w:val="1"/>
      <w:numFmt w:val="lowerRoman"/>
      <w:lvlText w:val="%3."/>
      <w:lvlJc w:val="right"/>
      <w:pPr>
        <w:ind w:hanging="180" w:left="2160"/>
      </w:pPr>
      <w:rPr>
        <w:rFonts w:cs="Times New Roman"/>
      </w:rPr>
    </w:lvl>
    <w:lvl w:tentative="true" w:tplc="0409000F" w:ilvl="3">
      <w:start w:val="1"/>
      <w:numFmt w:val="decimal"/>
      <w:lvlText w:val="%4."/>
      <w:lvlJc w:val="left"/>
      <w:pPr>
        <w:ind w:hanging="360" w:left="2880"/>
      </w:pPr>
      <w:rPr>
        <w:rFonts w:cs="Times New Roman"/>
      </w:rPr>
    </w:lvl>
    <w:lvl w:tentative="true" w:tplc="04090019" w:ilvl="4">
      <w:start w:val="1"/>
      <w:numFmt w:val="lowerLetter"/>
      <w:lvlText w:val="%5."/>
      <w:lvlJc w:val="left"/>
      <w:pPr>
        <w:ind w:hanging="360" w:left="3600"/>
      </w:pPr>
      <w:rPr>
        <w:rFonts w:cs="Times New Roman"/>
      </w:rPr>
    </w:lvl>
    <w:lvl w:tentative="true" w:tplc="0409001B" w:ilvl="5">
      <w:start w:val="1"/>
      <w:numFmt w:val="lowerRoman"/>
      <w:lvlText w:val="%6."/>
      <w:lvlJc w:val="right"/>
      <w:pPr>
        <w:ind w:hanging="180" w:left="4320"/>
      </w:pPr>
      <w:rPr>
        <w:rFonts w:cs="Times New Roman"/>
      </w:rPr>
    </w:lvl>
    <w:lvl w:tentative="true" w:tplc="0409000F" w:ilvl="6">
      <w:start w:val="1"/>
      <w:numFmt w:val="decimal"/>
      <w:lvlText w:val="%7."/>
      <w:lvlJc w:val="left"/>
      <w:pPr>
        <w:ind w:hanging="360" w:left="5040"/>
      </w:pPr>
      <w:rPr>
        <w:rFonts w:cs="Times New Roman"/>
      </w:rPr>
    </w:lvl>
    <w:lvl w:tentative="true" w:tplc="04090019" w:ilvl="7">
      <w:start w:val="1"/>
      <w:numFmt w:val="lowerLetter"/>
      <w:lvlText w:val="%8."/>
      <w:lvlJc w:val="left"/>
      <w:pPr>
        <w:ind w:hanging="360" w:left="5760"/>
      </w:pPr>
      <w:rPr>
        <w:rFonts w:cs="Times New Roman"/>
      </w:rPr>
    </w:lvl>
    <w:lvl w:tentative="true" w:tplc="0409001B" w:ilvl="8">
      <w:start w:val="1"/>
      <w:numFmt w:val="lowerRoman"/>
      <w:lvlText w:val="%9."/>
      <w:lvlJc w:val="right"/>
      <w:pPr>
        <w:ind w:hanging="180" w:left="6480"/>
      </w:pPr>
      <w:rPr>
        <w:rFonts w:cs="Times New Roman"/>
      </w:rPr>
    </w:lvl>
  </w:abstractNum>
  <w:abstractNum w:abstractNumId="5">
    <w:nsid w:val="116B5B03"/>
    <w:multiLevelType w:val="multilevel"/>
    <w:tmpl w:val="ABA200FC"/>
    <w:lvl w:ilvl="0">
      <w:start w:val="1"/>
      <w:numFmt w:val="bullet"/>
      <w:lvlText w:val="-"/>
      <w:lvlJc w:val="left"/>
      <w:rPr>
        <w:rFonts w:cs="Arial" w:eastAsia="Arial" w:hAnsi="Arial" w:ascii="Arial"/>
        <w:b w:val="false"/>
        <w:bCs w:val="false"/>
        <w:i w:val="false"/>
        <w:iCs w:val="false"/>
        <w:smallCaps w:val="false"/>
        <w:strike w:val="false"/>
        <w:color w:val="000000"/>
        <w:spacing w:val="0"/>
        <w:w w:val="100"/>
        <w:position w:val="0"/>
        <w:sz w:val="20"/>
        <w:szCs w:val="20"/>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CBD47FE"/>
    <w:multiLevelType w:val="hybridMultilevel"/>
    <w:tmpl w:val="49187F3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3633B6B"/>
    <w:multiLevelType w:val="hybridMultilevel"/>
    <w:tmpl w:val="581EEAD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276F13CC"/>
    <w:multiLevelType w:val="multilevel"/>
    <w:tmpl w:val="041A001F"/>
    <w:lvl w:ilvl="0">
      <w:start w:val="1"/>
      <w:numFmt w:val="decimal"/>
      <w:lvlText w:val="%1."/>
      <w:lvlJc w:val="left"/>
      <w:pPr>
        <w:ind w:hanging="360" w:left="360"/>
      </w:pPr>
      <w:rPr>
        <w:rFonts w:cs="Times New Roman"/>
      </w:rPr>
    </w:lvl>
    <w:lvl w:ilvl="1">
      <w:start w:val="1"/>
      <w:numFmt w:val="decimal"/>
      <w:lvlText w:val="%1.%2."/>
      <w:lvlJc w:val="left"/>
      <w:pPr>
        <w:ind w:hanging="432" w:left="792"/>
      </w:pPr>
      <w:rPr>
        <w:rFonts w:cs="Times New Roman"/>
      </w:rPr>
    </w:lvl>
    <w:lvl w:ilvl="2">
      <w:start w:val="1"/>
      <w:numFmt w:val="decimal"/>
      <w:lvlText w:val="%1.%2.%3."/>
      <w:lvlJc w:val="left"/>
      <w:pPr>
        <w:ind w:hanging="504" w:left="1224"/>
      </w:pPr>
      <w:rPr>
        <w:rFonts w:cs="Times New Roman"/>
      </w:rPr>
    </w:lvl>
    <w:lvl w:ilvl="3">
      <w:start w:val="1"/>
      <w:numFmt w:val="decimal"/>
      <w:lvlText w:val="%1.%2.%3.%4."/>
      <w:lvlJc w:val="left"/>
      <w:pPr>
        <w:ind w:hanging="648" w:left="1728"/>
      </w:pPr>
      <w:rPr>
        <w:rFonts w:cs="Times New Roman"/>
      </w:rPr>
    </w:lvl>
    <w:lvl w:ilvl="4">
      <w:start w:val="1"/>
      <w:numFmt w:val="decimal"/>
      <w:lvlText w:val="%1.%2.%3.%4.%5."/>
      <w:lvlJc w:val="left"/>
      <w:pPr>
        <w:ind w:hanging="792" w:left="2232"/>
      </w:pPr>
      <w:rPr>
        <w:rFonts w:cs="Times New Roman"/>
      </w:rPr>
    </w:lvl>
    <w:lvl w:ilvl="5">
      <w:start w:val="1"/>
      <w:numFmt w:val="decimal"/>
      <w:lvlText w:val="%1.%2.%3.%4.%5.%6."/>
      <w:lvlJc w:val="left"/>
      <w:pPr>
        <w:ind w:hanging="936" w:left="2736"/>
      </w:pPr>
      <w:rPr>
        <w:rFonts w:cs="Times New Roman"/>
      </w:rPr>
    </w:lvl>
    <w:lvl w:ilvl="6">
      <w:start w:val="1"/>
      <w:numFmt w:val="decimal"/>
      <w:lvlText w:val="%1.%2.%3.%4.%5.%6.%7."/>
      <w:lvlJc w:val="left"/>
      <w:pPr>
        <w:ind w:hanging="1080" w:left="3240"/>
      </w:pPr>
      <w:rPr>
        <w:rFonts w:cs="Times New Roman"/>
      </w:rPr>
    </w:lvl>
    <w:lvl w:ilvl="7">
      <w:start w:val="1"/>
      <w:numFmt w:val="decimal"/>
      <w:lvlText w:val="%1.%2.%3.%4.%5.%6.%7.%8."/>
      <w:lvlJc w:val="left"/>
      <w:pPr>
        <w:ind w:hanging="1224" w:left="3744"/>
      </w:pPr>
      <w:rPr>
        <w:rFonts w:cs="Times New Roman"/>
      </w:rPr>
    </w:lvl>
    <w:lvl w:ilvl="8">
      <w:start w:val="1"/>
      <w:numFmt w:val="decimal"/>
      <w:lvlText w:val="%1.%2.%3.%4.%5.%6.%7.%8.%9."/>
      <w:lvlJc w:val="left"/>
      <w:pPr>
        <w:ind w:hanging="1440" w:left="4320"/>
      </w:pPr>
      <w:rPr>
        <w:rFonts w:cs="Times New Roman"/>
      </w:rPr>
    </w:lvl>
  </w:abstractNum>
  <w:abstractNum w:abstractNumId="9">
    <w:nsid w:val="2770340C"/>
    <w:multiLevelType w:val="hybridMultilevel"/>
    <w:tmpl w:val="C3C6F940"/>
    <w:lvl w:tplc="BD96CC8E" w:ilvl="0">
      <w:numFmt w:val="bullet"/>
      <w:lvlText w:val="-"/>
      <w:lvlJc w:val="left"/>
      <w:pPr>
        <w:ind w:hanging="360" w:left="720"/>
      </w:pPr>
      <w:rPr>
        <w:rFonts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10">
    <w:nsid w:val="28B739FC"/>
    <w:multiLevelType w:val="hybridMultilevel"/>
    <w:tmpl w:val="11B26184"/>
    <w:lvl w:tplc="6F40768C" w:ilvl="0">
      <w:start w:val="1"/>
      <w:numFmt w:val="bullet"/>
      <w:lvlText w:val=""/>
      <w:lvlJc w:val="left"/>
      <w:pPr>
        <w:ind w:hanging="360" w:left="720"/>
      </w:pPr>
      <w:rPr>
        <w:rFonts w:hAnsi="Symbol" w:ascii="Symbol" w:hint="default"/>
        <w:sz w:val="20"/>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AAD5AE8"/>
    <w:multiLevelType w:val="hybridMultilevel"/>
    <w:tmpl w:val="C4C06E10"/>
    <w:lvl w:tplc="63A29738" w:ilvl="0">
      <w:start w:val="6"/>
      <w:numFmt w:val="bullet"/>
      <w:lvlText w:val="-"/>
      <w:lvlJc w:val="left"/>
      <w:pPr>
        <w:ind w:hanging="360" w:left="720"/>
      </w:pPr>
      <w:rPr>
        <w:rFonts w:eastAsia="Times New Roman" w:hAnsi="Candara" w:ascii="Candara"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2">
    <w:nsid w:val="37462744"/>
    <w:multiLevelType w:val="hybridMultilevel"/>
    <w:tmpl w:val="2522DF1C"/>
    <w:lvl w:tplc="E57A062C" w:ilvl="0">
      <w:start w:val="1"/>
      <w:numFmt w:val="decimal"/>
      <w:lvlText w:val="%1."/>
      <w:lvlJc w:val="left"/>
      <w:pPr>
        <w:ind w:hanging="360" w:left="720"/>
      </w:pPr>
      <w:rPr>
        <w:rFonts w:cs="Arial" w:hint="default"/>
        <w:b w:val="false"/>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7655C5F"/>
    <w:multiLevelType w:val="hybridMultilevel"/>
    <w:tmpl w:val="FA2C19FE"/>
    <w:lvl w:tplc="A6D48B14" w:ilvl="0">
      <w:start w:val="1"/>
      <w:numFmt w:val="bullet"/>
      <w:lvlText w:val="-"/>
      <w:lvlJc w:val="left"/>
      <w:pPr>
        <w:ind w:hanging="360" w:left="720"/>
      </w:pPr>
      <w:rPr>
        <w:rFonts w:eastAsia="Times New Roman" w:hAnsi="Candara" w:ascii="Candara"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4">
    <w:nsid w:val="3B336628"/>
    <w:multiLevelType w:val="hybridMultilevel"/>
    <w:tmpl w:val="A814B39A"/>
    <w:lvl w:tplc="FC1EC19A" w:ilvl="0">
      <w:start w:val="1"/>
      <w:numFmt w:val="bullet"/>
      <w:lvlText w:val="-"/>
      <w:lvlJc w:val="left"/>
      <w:pPr>
        <w:ind w:hanging="360" w:left="720"/>
      </w:pPr>
      <w:rPr>
        <w:rFonts w:eastAsia="Times New Roman" w:hAnsi="Candara" w:ascii="Candara"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5">
    <w:nsid w:val="3F211508"/>
    <w:multiLevelType w:val="hybridMultilevel"/>
    <w:tmpl w:val="97145EB4"/>
    <w:lvl w:tplc="BD96CC8E" w:ilvl="0">
      <w:numFmt w:val="bullet"/>
      <w:lvlText w:val="-"/>
      <w:lvlJc w:val="left"/>
      <w:pPr>
        <w:ind w:hanging="360" w:left="720"/>
      </w:pPr>
      <w:rPr>
        <w:rFonts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16">
    <w:nsid w:val="40A82239"/>
    <w:multiLevelType w:val="hybridMultilevel"/>
    <w:tmpl w:val="781666F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7">
    <w:nsid w:val="441F1D69"/>
    <w:multiLevelType w:val="hybridMultilevel"/>
    <w:tmpl w:val="3D1A9F7E"/>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8">
    <w:nsid w:val="4EC65842"/>
    <w:multiLevelType w:val="hybridMultilevel"/>
    <w:tmpl w:val="4DE01F62"/>
    <w:lvl w:tplc="00E22D76" w:ilvl="0">
      <w:start w:val="3"/>
      <w:numFmt w:val="bullet"/>
      <w:lvlText w:val="-"/>
      <w:lvlJc w:val="left"/>
      <w:pPr>
        <w:ind w:hanging="360" w:left="795"/>
      </w:pPr>
      <w:rPr>
        <w:rFonts w:eastAsia="Times New Roman" w:hAnsi="Arial Narrow" w:ascii="Arial Narrow" w:hint="default"/>
      </w:rPr>
    </w:lvl>
    <w:lvl w:tentative="true" w:tplc="041A0003" w:ilvl="1">
      <w:start w:val="1"/>
      <w:numFmt w:val="bullet"/>
      <w:lvlText w:val="o"/>
      <w:lvlJc w:val="left"/>
      <w:pPr>
        <w:ind w:hanging="360" w:left="1515"/>
      </w:pPr>
      <w:rPr>
        <w:rFonts w:hAnsi="Courier New" w:ascii="Courier New" w:hint="default"/>
      </w:rPr>
    </w:lvl>
    <w:lvl w:tentative="true" w:tplc="041A0005" w:ilvl="2">
      <w:start w:val="1"/>
      <w:numFmt w:val="bullet"/>
      <w:lvlText w:val=""/>
      <w:lvlJc w:val="left"/>
      <w:pPr>
        <w:ind w:hanging="360" w:left="2235"/>
      </w:pPr>
      <w:rPr>
        <w:rFonts w:hAnsi="Wingdings" w:ascii="Wingdings" w:hint="default"/>
      </w:rPr>
    </w:lvl>
    <w:lvl w:tentative="true" w:tplc="041A0001" w:ilvl="3">
      <w:start w:val="1"/>
      <w:numFmt w:val="bullet"/>
      <w:lvlText w:val=""/>
      <w:lvlJc w:val="left"/>
      <w:pPr>
        <w:ind w:hanging="360" w:left="2955"/>
      </w:pPr>
      <w:rPr>
        <w:rFonts w:hAnsi="Symbol" w:ascii="Symbol" w:hint="default"/>
      </w:rPr>
    </w:lvl>
    <w:lvl w:tentative="true" w:tplc="041A0003" w:ilvl="4">
      <w:start w:val="1"/>
      <w:numFmt w:val="bullet"/>
      <w:lvlText w:val="o"/>
      <w:lvlJc w:val="left"/>
      <w:pPr>
        <w:ind w:hanging="360" w:left="3675"/>
      </w:pPr>
      <w:rPr>
        <w:rFonts w:hAnsi="Courier New" w:ascii="Courier New" w:hint="default"/>
      </w:rPr>
    </w:lvl>
    <w:lvl w:tentative="true" w:tplc="041A0005" w:ilvl="5">
      <w:start w:val="1"/>
      <w:numFmt w:val="bullet"/>
      <w:lvlText w:val=""/>
      <w:lvlJc w:val="left"/>
      <w:pPr>
        <w:ind w:hanging="360" w:left="4395"/>
      </w:pPr>
      <w:rPr>
        <w:rFonts w:hAnsi="Wingdings" w:ascii="Wingdings" w:hint="default"/>
      </w:rPr>
    </w:lvl>
    <w:lvl w:tentative="true" w:tplc="041A0001" w:ilvl="6">
      <w:start w:val="1"/>
      <w:numFmt w:val="bullet"/>
      <w:lvlText w:val=""/>
      <w:lvlJc w:val="left"/>
      <w:pPr>
        <w:ind w:hanging="360" w:left="5115"/>
      </w:pPr>
      <w:rPr>
        <w:rFonts w:hAnsi="Symbol" w:ascii="Symbol" w:hint="default"/>
      </w:rPr>
    </w:lvl>
    <w:lvl w:tentative="true" w:tplc="041A0003" w:ilvl="7">
      <w:start w:val="1"/>
      <w:numFmt w:val="bullet"/>
      <w:lvlText w:val="o"/>
      <w:lvlJc w:val="left"/>
      <w:pPr>
        <w:ind w:hanging="360" w:left="5835"/>
      </w:pPr>
      <w:rPr>
        <w:rFonts w:hAnsi="Courier New" w:ascii="Courier New" w:hint="default"/>
      </w:rPr>
    </w:lvl>
    <w:lvl w:tentative="true" w:tplc="041A0005" w:ilvl="8">
      <w:start w:val="1"/>
      <w:numFmt w:val="bullet"/>
      <w:lvlText w:val=""/>
      <w:lvlJc w:val="left"/>
      <w:pPr>
        <w:ind w:hanging="360" w:left="6555"/>
      </w:pPr>
      <w:rPr>
        <w:rFonts w:hAnsi="Wingdings" w:ascii="Wingdings" w:hint="default"/>
      </w:rPr>
    </w:lvl>
  </w:abstractNum>
  <w:abstractNum w:abstractNumId="19">
    <w:nsid w:val="50190757"/>
    <w:multiLevelType w:val="hybridMultilevel"/>
    <w:tmpl w:val="A0ECF690"/>
    <w:lvl w:tplc="24622458" w:ilvl="0">
      <w:start w:val="1"/>
      <w:numFmt w:val="lowerLetter"/>
      <w:lvlText w:val="(%1)"/>
      <w:lvlJc w:val="left"/>
      <w:pPr>
        <w:ind w:hanging="360" w:left="720"/>
      </w:pPr>
      <w:rPr>
        <w:rFonts w:cs="Times New Roman" w:hint="default"/>
      </w:rPr>
    </w:lvl>
    <w:lvl w:tentative="true" w:tplc="04090019" w:ilvl="1">
      <w:start w:val="1"/>
      <w:numFmt w:val="lowerLetter"/>
      <w:lvlText w:val="%2."/>
      <w:lvlJc w:val="left"/>
      <w:pPr>
        <w:ind w:hanging="360" w:left="1440"/>
      </w:pPr>
      <w:rPr>
        <w:rFonts w:cs="Times New Roman"/>
      </w:rPr>
    </w:lvl>
    <w:lvl w:tentative="true" w:tplc="0409001B" w:ilvl="2">
      <w:start w:val="1"/>
      <w:numFmt w:val="lowerRoman"/>
      <w:lvlText w:val="%3."/>
      <w:lvlJc w:val="right"/>
      <w:pPr>
        <w:ind w:hanging="180" w:left="2160"/>
      </w:pPr>
      <w:rPr>
        <w:rFonts w:cs="Times New Roman"/>
      </w:rPr>
    </w:lvl>
    <w:lvl w:tentative="true" w:tplc="0409000F" w:ilvl="3">
      <w:start w:val="1"/>
      <w:numFmt w:val="decimal"/>
      <w:lvlText w:val="%4."/>
      <w:lvlJc w:val="left"/>
      <w:pPr>
        <w:ind w:hanging="360" w:left="2880"/>
      </w:pPr>
      <w:rPr>
        <w:rFonts w:cs="Times New Roman"/>
      </w:rPr>
    </w:lvl>
    <w:lvl w:tentative="true" w:tplc="04090019" w:ilvl="4">
      <w:start w:val="1"/>
      <w:numFmt w:val="lowerLetter"/>
      <w:lvlText w:val="%5."/>
      <w:lvlJc w:val="left"/>
      <w:pPr>
        <w:ind w:hanging="360" w:left="3600"/>
      </w:pPr>
      <w:rPr>
        <w:rFonts w:cs="Times New Roman"/>
      </w:rPr>
    </w:lvl>
    <w:lvl w:tentative="true" w:tplc="0409001B" w:ilvl="5">
      <w:start w:val="1"/>
      <w:numFmt w:val="lowerRoman"/>
      <w:lvlText w:val="%6."/>
      <w:lvlJc w:val="right"/>
      <w:pPr>
        <w:ind w:hanging="180" w:left="4320"/>
      </w:pPr>
      <w:rPr>
        <w:rFonts w:cs="Times New Roman"/>
      </w:rPr>
    </w:lvl>
    <w:lvl w:tentative="true" w:tplc="0409000F" w:ilvl="6">
      <w:start w:val="1"/>
      <w:numFmt w:val="decimal"/>
      <w:lvlText w:val="%7."/>
      <w:lvlJc w:val="left"/>
      <w:pPr>
        <w:ind w:hanging="360" w:left="5040"/>
      </w:pPr>
      <w:rPr>
        <w:rFonts w:cs="Times New Roman"/>
      </w:rPr>
    </w:lvl>
    <w:lvl w:tentative="true" w:tplc="04090019" w:ilvl="7">
      <w:start w:val="1"/>
      <w:numFmt w:val="lowerLetter"/>
      <w:lvlText w:val="%8."/>
      <w:lvlJc w:val="left"/>
      <w:pPr>
        <w:ind w:hanging="360" w:left="5760"/>
      </w:pPr>
      <w:rPr>
        <w:rFonts w:cs="Times New Roman"/>
      </w:rPr>
    </w:lvl>
    <w:lvl w:tentative="true" w:tplc="0409001B" w:ilvl="8">
      <w:start w:val="1"/>
      <w:numFmt w:val="lowerRoman"/>
      <w:lvlText w:val="%9."/>
      <w:lvlJc w:val="right"/>
      <w:pPr>
        <w:ind w:hanging="180" w:left="6480"/>
      </w:pPr>
      <w:rPr>
        <w:rFonts w:cs="Times New Roman"/>
      </w:rPr>
    </w:lvl>
  </w:abstractNum>
  <w:abstractNum w:abstractNumId="20">
    <w:nsid w:val="52E2790F"/>
    <w:multiLevelType w:val="multilevel"/>
    <w:tmpl w:val="A5EE331C"/>
    <w:lvl w:ilvl="0">
      <w:start w:val="1"/>
      <w:numFmt w:val="upperRoman"/>
      <w:lvlText w:val="%1."/>
      <w:lvlJc w:val="left"/>
      <w:rPr>
        <w:rFonts w:cs="Arial" w:eastAsia="Arial" w:hAnsi="Arial" w:ascii="Arial"/>
        <w:b w:val="false"/>
        <w:bCs w:val="false"/>
        <w:i w:val="false"/>
        <w:iCs w:val="false"/>
        <w:smallCaps w:val="false"/>
        <w:strike w:val="false"/>
        <w:color w:val="000000"/>
        <w:spacing w:val="0"/>
        <w:w w:val="100"/>
        <w:position w:val="0"/>
        <w:sz w:val="20"/>
        <w:szCs w:val="20"/>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41023A7"/>
    <w:multiLevelType w:val="hybridMultilevel"/>
    <w:tmpl w:val="DCA2B114"/>
    <w:lvl w:tplc="9056DDEA" w:ilvl="0">
      <w:start w:val="5"/>
      <w:numFmt w:val="bullet"/>
      <w:lvlText w:val="-"/>
      <w:lvlJc w:val="left"/>
      <w:pPr>
        <w:ind w:hanging="360" w:left="720"/>
      </w:pPr>
      <w:rPr>
        <w:rFonts w:eastAsia="Times New Roman" w:hAnsi="Candara" w:ascii="Candara"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2">
    <w:nsid w:val="556A1D7A"/>
    <w:multiLevelType w:val="hybridMultilevel"/>
    <w:tmpl w:val="35F43A54"/>
    <w:lvl w:tplc="101A0001" w:ilvl="0">
      <w:start w:val="1"/>
      <w:numFmt w:val="bullet"/>
      <w:lvlText w:val=""/>
      <w:lvlJc w:val="left"/>
      <w:pPr>
        <w:ind w:hanging="360" w:left="720"/>
      </w:pPr>
      <w:rPr>
        <w:rFonts w:hAnsi="Symbol" w:ascii="Symbol" w:hint="default"/>
      </w:rPr>
    </w:lvl>
    <w:lvl w:tentative="true" w:tplc="101A0003" w:ilvl="1">
      <w:start w:val="1"/>
      <w:numFmt w:val="bullet"/>
      <w:lvlText w:val="o"/>
      <w:lvlJc w:val="left"/>
      <w:pPr>
        <w:ind w:hanging="360" w:left="1440"/>
      </w:pPr>
      <w:rPr>
        <w:rFonts w:hAnsi="Courier New" w:ascii="Courier New" w:hint="default"/>
      </w:rPr>
    </w:lvl>
    <w:lvl w:tentative="true" w:tplc="101A0005" w:ilvl="2">
      <w:start w:val="1"/>
      <w:numFmt w:val="bullet"/>
      <w:lvlText w:val=""/>
      <w:lvlJc w:val="left"/>
      <w:pPr>
        <w:ind w:hanging="360" w:left="2160"/>
      </w:pPr>
      <w:rPr>
        <w:rFonts w:hAnsi="Wingdings" w:ascii="Wingdings" w:hint="default"/>
      </w:rPr>
    </w:lvl>
    <w:lvl w:tentative="true" w:tplc="101A0001" w:ilvl="3">
      <w:start w:val="1"/>
      <w:numFmt w:val="bullet"/>
      <w:lvlText w:val=""/>
      <w:lvlJc w:val="left"/>
      <w:pPr>
        <w:ind w:hanging="360" w:left="2880"/>
      </w:pPr>
      <w:rPr>
        <w:rFonts w:hAnsi="Symbol" w:ascii="Symbol" w:hint="default"/>
      </w:rPr>
    </w:lvl>
    <w:lvl w:tentative="true" w:tplc="101A0003" w:ilvl="4">
      <w:start w:val="1"/>
      <w:numFmt w:val="bullet"/>
      <w:lvlText w:val="o"/>
      <w:lvlJc w:val="left"/>
      <w:pPr>
        <w:ind w:hanging="360" w:left="3600"/>
      </w:pPr>
      <w:rPr>
        <w:rFonts w:hAnsi="Courier New" w:ascii="Courier New" w:hint="default"/>
      </w:rPr>
    </w:lvl>
    <w:lvl w:tentative="true" w:tplc="101A0005" w:ilvl="5">
      <w:start w:val="1"/>
      <w:numFmt w:val="bullet"/>
      <w:lvlText w:val=""/>
      <w:lvlJc w:val="left"/>
      <w:pPr>
        <w:ind w:hanging="360" w:left="4320"/>
      </w:pPr>
      <w:rPr>
        <w:rFonts w:hAnsi="Wingdings" w:ascii="Wingdings" w:hint="default"/>
      </w:rPr>
    </w:lvl>
    <w:lvl w:tentative="true" w:tplc="101A0001" w:ilvl="6">
      <w:start w:val="1"/>
      <w:numFmt w:val="bullet"/>
      <w:lvlText w:val=""/>
      <w:lvlJc w:val="left"/>
      <w:pPr>
        <w:ind w:hanging="360" w:left="5040"/>
      </w:pPr>
      <w:rPr>
        <w:rFonts w:hAnsi="Symbol" w:ascii="Symbol" w:hint="default"/>
      </w:rPr>
    </w:lvl>
    <w:lvl w:tentative="true" w:tplc="101A0003" w:ilvl="7">
      <w:start w:val="1"/>
      <w:numFmt w:val="bullet"/>
      <w:lvlText w:val="o"/>
      <w:lvlJc w:val="left"/>
      <w:pPr>
        <w:ind w:hanging="360" w:left="5760"/>
      </w:pPr>
      <w:rPr>
        <w:rFonts w:hAnsi="Courier New" w:ascii="Courier New" w:hint="default"/>
      </w:rPr>
    </w:lvl>
    <w:lvl w:tentative="true" w:tplc="101A0005" w:ilvl="8">
      <w:start w:val="1"/>
      <w:numFmt w:val="bullet"/>
      <w:lvlText w:val=""/>
      <w:lvlJc w:val="left"/>
      <w:pPr>
        <w:ind w:hanging="360" w:left="6480"/>
      </w:pPr>
      <w:rPr>
        <w:rFonts w:hAnsi="Wingdings" w:ascii="Wingdings" w:hint="default"/>
      </w:rPr>
    </w:lvl>
  </w:abstractNum>
  <w:abstractNum w:abstractNumId="23">
    <w:nsid w:val="559D2688"/>
    <w:multiLevelType w:val="hybridMultilevel"/>
    <w:tmpl w:val="AD007A68"/>
    <w:lvl w:tplc="1282415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56B536F6"/>
    <w:multiLevelType w:val="hybridMultilevel"/>
    <w:tmpl w:val="9EE2F2C8"/>
    <w:lvl w:tplc="63AC31A0" w:ilvl="0">
      <w:start w:val="1"/>
      <w:numFmt w:val="decimal"/>
      <w:lvlText w:val="%1."/>
      <w:lvlJc w:val="left"/>
      <w:pPr>
        <w:ind w:hanging="360" w:left="2490"/>
      </w:pPr>
      <w:rPr>
        <w:rFonts w:cs="Times New Roman" w:hint="default"/>
      </w:rPr>
    </w:lvl>
    <w:lvl w:tentative="true" w:tplc="041A0019" w:ilvl="1">
      <w:start w:val="1"/>
      <w:numFmt w:val="lowerLetter"/>
      <w:lvlText w:val="%2."/>
      <w:lvlJc w:val="left"/>
      <w:pPr>
        <w:ind w:hanging="360" w:left="3210"/>
      </w:pPr>
      <w:rPr>
        <w:rFonts w:cs="Times New Roman"/>
      </w:rPr>
    </w:lvl>
    <w:lvl w:tentative="true" w:tplc="041A001B" w:ilvl="2">
      <w:start w:val="1"/>
      <w:numFmt w:val="lowerRoman"/>
      <w:lvlText w:val="%3."/>
      <w:lvlJc w:val="right"/>
      <w:pPr>
        <w:ind w:hanging="180" w:left="3930"/>
      </w:pPr>
      <w:rPr>
        <w:rFonts w:cs="Times New Roman"/>
      </w:rPr>
    </w:lvl>
    <w:lvl w:tentative="true" w:tplc="041A000F" w:ilvl="3">
      <w:start w:val="1"/>
      <w:numFmt w:val="decimal"/>
      <w:lvlText w:val="%4."/>
      <w:lvlJc w:val="left"/>
      <w:pPr>
        <w:ind w:hanging="360" w:left="4650"/>
      </w:pPr>
      <w:rPr>
        <w:rFonts w:cs="Times New Roman"/>
      </w:rPr>
    </w:lvl>
    <w:lvl w:tentative="true" w:tplc="041A0019" w:ilvl="4">
      <w:start w:val="1"/>
      <w:numFmt w:val="lowerLetter"/>
      <w:lvlText w:val="%5."/>
      <w:lvlJc w:val="left"/>
      <w:pPr>
        <w:ind w:hanging="360" w:left="5370"/>
      </w:pPr>
      <w:rPr>
        <w:rFonts w:cs="Times New Roman"/>
      </w:rPr>
    </w:lvl>
    <w:lvl w:tentative="true" w:tplc="041A001B" w:ilvl="5">
      <w:start w:val="1"/>
      <w:numFmt w:val="lowerRoman"/>
      <w:lvlText w:val="%6."/>
      <w:lvlJc w:val="right"/>
      <w:pPr>
        <w:ind w:hanging="180" w:left="6090"/>
      </w:pPr>
      <w:rPr>
        <w:rFonts w:cs="Times New Roman"/>
      </w:rPr>
    </w:lvl>
    <w:lvl w:tentative="true" w:tplc="041A000F" w:ilvl="6">
      <w:start w:val="1"/>
      <w:numFmt w:val="decimal"/>
      <w:lvlText w:val="%7."/>
      <w:lvlJc w:val="left"/>
      <w:pPr>
        <w:ind w:hanging="360" w:left="6810"/>
      </w:pPr>
      <w:rPr>
        <w:rFonts w:cs="Times New Roman"/>
      </w:rPr>
    </w:lvl>
    <w:lvl w:tentative="true" w:tplc="041A0019" w:ilvl="7">
      <w:start w:val="1"/>
      <w:numFmt w:val="lowerLetter"/>
      <w:lvlText w:val="%8."/>
      <w:lvlJc w:val="left"/>
      <w:pPr>
        <w:ind w:hanging="360" w:left="7530"/>
      </w:pPr>
      <w:rPr>
        <w:rFonts w:cs="Times New Roman"/>
      </w:rPr>
    </w:lvl>
    <w:lvl w:tentative="true" w:tplc="041A001B" w:ilvl="8">
      <w:start w:val="1"/>
      <w:numFmt w:val="lowerRoman"/>
      <w:lvlText w:val="%9."/>
      <w:lvlJc w:val="right"/>
      <w:pPr>
        <w:ind w:hanging="180" w:left="8250"/>
      </w:pPr>
      <w:rPr>
        <w:rFonts w:cs="Times New Roman"/>
      </w:rPr>
    </w:lvl>
  </w:abstractNum>
  <w:abstractNum w:abstractNumId="25">
    <w:nsid w:val="5E983DAD"/>
    <w:multiLevelType w:val="hybridMultilevel"/>
    <w:tmpl w:val="05968680"/>
    <w:lvl w:tplc="46CC8D8E" w:ilvl="0">
      <w:start w:val="1"/>
      <w:numFmt w:val="upperRoman"/>
      <w:lvlText w:val="%1.)"/>
      <w:lvlJc w:val="left"/>
      <w:pPr>
        <w:ind w:hanging="720" w:left="1080"/>
      </w:pPr>
      <w:rPr>
        <w:rFonts w:hint="default"/>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2650AE3"/>
    <w:multiLevelType w:val="hybridMultilevel"/>
    <w:tmpl w:val="3CFE457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7">
    <w:nsid w:val="62AC2329"/>
    <w:multiLevelType w:val="hybridMultilevel"/>
    <w:tmpl w:val="0B425C80"/>
    <w:lvl w:tplc="B3D8D306" w:ilvl="0">
      <w:start w:val="1"/>
      <w:numFmt w:val="decimal"/>
      <w:lvlText w:val="%1."/>
      <w:lvlJc w:val="left"/>
      <w:pPr>
        <w:ind w:hanging="360" w:left="1065"/>
      </w:pPr>
      <w:rPr>
        <w:rFonts w:cs="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8">
    <w:nsid w:val="63D10955"/>
    <w:multiLevelType w:val="hybridMultilevel"/>
    <w:tmpl w:val="EBEC5136"/>
    <w:lvl w:tplc="09DEC44A" w:ilvl="0">
      <w:start w:val="1"/>
      <w:numFmt w:val="decimal"/>
      <w:lvlText w:val="%1."/>
      <w:lvlJc w:val="left"/>
      <w:pPr>
        <w:ind w:hanging="720" w:left="1572"/>
      </w:pPr>
      <w:rPr>
        <w:rFonts w:cs="Times New Roman" w:hint="default"/>
        <w:b w:val="false"/>
        <w:color w:val="auto"/>
      </w:rPr>
    </w:lvl>
    <w:lvl w:tplc="04090019" w:ilvl="1">
      <w:start w:val="1"/>
      <w:numFmt w:val="lowerLetter"/>
      <w:lvlText w:val="%2."/>
      <w:lvlJc w:val="left"/>
      <w:pPr>
        <w:ind w:hanging="360" w:left="2008"/>
      </w:pPr>
      <w:rPr>
        <w:rFonts w:cs="Times New Roman"/>
      </w:rPr>
    </w:lvl>
    <w:lvl w:tentative="true" w:tplc="0409001B" w:ilvl="2">
      <w:start w:val="1"/>
      <w:numFmt w:val="lowerRoman"/>
      <w:lvlText w:val="%3."/>
      <w:lvlJc w:val="right"/>
      <w:pPr>
        <w:ind w:hanging="180" w:left="2728"/>
      </w:pPr>
      <w:rPr>
        <w:rFonts w:cs="Times New Roman"/>
      </w:rPr>
    </w:lvl>
    <w:lvl w:tentative="true" w:tplc="0409000F" w:ilvl="3">
      <w:start w:val="1"/>
      <w:numFmt w:val="decimal"/>
      <w:lvlText w:val="%4."/>
      <w:lvlJc w:val="left"/>
      <w:pPr>
        <w:ind w:hanging="360" w:left="3448"/>
      </w:pPr>
      <w:rPr>
        <w:rFonts w:cs="Times New Roman"/>
      </w:rPr>
    </w:lvl>
    <w:lvl w:tentative="true" w:tplc="04090019" w:ilvl="4">
      <w:start w:val="1"/>
      <w:numFmt w:val="lowerLetter"/>
      <w:lvlText w:val="%5."/>
      <w:lvlJc w:val="left"/>
      <w:pPr>
        <w:ind w:hanging="360" w:left="4168"/>
      </w:pPr>
      <w:rPr>
        <w:rFonts w:cs="Times New Roman"/>
      </w:rPr>
    </w:lvl>
    <w:lvl w:tentative="true" w:tplc="0409001B" w:ilvl="5">
      <w:start w:val="1"/>
      <w:numFmt w:val="lowerRoman"/>
      <w:lvlText w:val="%6."/>
      <w:lvlJc w:val="right"/>
      <w:pPr>
        <w:ind w:hanging="180" w:left="4888"/>
      </w:pPr>
      <w:rPr>
        <w:rFonts w:cs="Times New Roman"/>
      </w:rPr>
    </w:lvl>
    <w:lvl w:tentative="true" w:tplc="0409000F" w:ilvl="6">
      <w:start w:val="1"/>
      <w:numFmt w:val="decimal"/>
      <w:lvlText w:val="%7."/>
      <w:lvlJc w:val="left"/>
      <w:pPr>
        <w:ind w:hanging="360" w:left="5608"/>
      </w:pPr>
      <w:rPr>
        <w:rFonts w:cs="Times New Roman"/>
      </w:rPr>
    </w:lvl>
    <w:lvl w:tentative="true" w:tplc="04090019" w:ilvl="7">
      <w:start w:val="1"/>
      <w:numFmt w:val="lowerLetter"/>
      <w:lvlText w:val="%8."/>
      <w:lvlJc w:val="left"/>
      <w:pPr>
        <w:ind w:hanging="360" w:left="6328"/>
      </w:pPr>
      <w:rPr>
        <w:rFonts w:cs="Times New Roman"/>
      </w:rPr>
    </w:lvl>
    <w:lvl w:tentative="true" w:tplc="0409001B" w:ilvl="8">
      <w:start w:val="1"/>
      <w:numFmt w:val="lowerRoman"/>
      <w:lvlText w:val="%9."/>
      <w:lvlJc w:val="right"/>
      <w:pPr>
        <w:ind w:hanging="180" w:left="7048"/>
      </w:pPr>
      <w:rPr>
        <w:rFonts w:cs="Times New Roman"/>
      </w:rPr>
    </w:lvl>
  </w:abstractNum>
  <w:abstractNum w:abstractNumId="29">
    <w:nsid w:val="67A1507D"/>
    <w:multiLevelType w:val="hybridMultilevel"/>
    <w:tmpl w:val="222C7CF6"/>
    <w:lvl w:tplc="101A0001" w:ilvl="0">
      <w:start w:val="1"/>
      <w:numFmt w:val="bullet"/>
      <w:lvlText w:val=""/>
      <w:lvlJc w:val="left"/>
      <w:pPr>
        <w:ind w:hanging="360" w:left="720"/>
      </w:pPr>
      <w:rPr>
        <w:rFonts w:hAnsi="Symbol" w:ascii="Symbol" w:hint="default"/>
      </w:rPr>
    </w:lvl>
    <w:lvl w:tentative="true" w:tplc="101A0003" w:ilvl="1">
      <w:start w:val="1"/>
      <w:numFmt w:val="bullet"/>
      <w:lvlText w:val="o"/>
      <w:lvlJc w:val="left"/>
      <w:pPr>
        <w:ind w:hanging="360" w:left="1440"/>
      </w:pPr>
      <w:rPr>
        <w:rFonts w:hAnsi="Courier New" w:ascii="Courier New" w:hint="default"/>
      </w:rPr>
    </w:lvl>
    <w:lvl w:tentative="true" w:tplc="101A0005" w:ilvl="2">
      <w:start w:val="1"/>
      <w:numFmt w:val="bullet"/>
      <w:lvlText w:val=""/>
      <w:lvlJc w:val="left"/>
      <w:pPr>
        <w:ind w:hanging="360" w:left="2160"/>
      </w:pPr>
      <w:rPr>
        <w:rFonts w:hAnsi="Wingdings" w:ascii="Wingdings" w:hint="default"/>
      </w:rPr>
    </w:lvl>
    <w:lvl w:tentative="true" w:tplc="101A0001" w:ilvl="3">
      <w:start w:val="1"/>
      <w:numFmt w:val="bullet"/>
      <w:lvlText w:val=""/>
      <w:lvlJc w:val="left"/>
      <w:pPr>
        <w:ind w:hanging="360" w:left="2880"/>
      </w:pPr>
      <w:rPr>
        <w:rFonts w:hAnsi="Symbol" w:ascii="Symbol" w:hint="default"/>
      </w:rPr>
    </w:lvl>
    <w:lvl w:tentative="true" w:tplc="101A0003" w:ilvl="4">
      <w:start w:val="1"/>
      <w:numFmt w:val="bullet"/>
      <w:lvlText w:val="o"/>
      <w:lvlJc w:val="left"/>
      <w:pPr>
        <w:ind w:hanging="360" w:left="3600"/>
      </w:pPr>
      <w:rPr>
        <w:rFonts w:hAnsi="Courier New" w:ascii="Courier New" w:hint="default"/>
      </w:rPr>
    </w:lvl>
    <w:lvl w:tentative="true" w:tplc="101A0005" w:ilvl="5">
      <w:start w:val="1"/>
      <w:numFmt w:val="bullet"/>
      <w:lvlText w:val=""/>
      <w:lvlJc w:val="left"/>
      <w:pPr>
        <w:ind w:hanging="360" w:left="4320"/>
      </w:pPr>
      <w:rPr>
        <w:rFonts w:hAnsi="Wingdings" w:ascii="Wingdings" w:hint="default"/>
      </w:rPr>
    </w:lvl>
    <w:lvl w:tentative="true" w:tplc="101A0001" w:ilvl="6">
      <w:start w:val="1"/>
      <w:numFmt w:val="bullet"/>
      <w:lvlText w:val=""/>
      <w:lvlJc w:val="left"/>
      <w:pPr>
        <w:ind w:hanging="360" w:left="5040"/>
      </w:pPr>
      <w:rPr>
        <w:rFonts w:hAnsi="Symbol" w:ascii="Symbol" w:hint="default"/>
      </w:rPr>
    </w:lvl>
    <w:lvl w:tentative="true" w:tplc="101A0003" w:ilvl="7">
      <w:start w:val="1"/>
      <w:numFmt w:val="bullet"/>
      <w:lvlText w:val="o"/>
      <w:lvlJc w:val="left"/>
      <w:pPr>
        <w:ind w:hanging="360" w:left="5760"/>
      </w:pPr>
      <w:rPr>
        <w:rFonts w:hAnsi="Courier New" w:ascii="Courier New" w:hint="default"/>
      </w:rPr>
    </w:lvl>
    <w:lvl w:tentative="true" w:tplc="101A0005" w:ilvl="8">
      <w:start w:val="1"/>
      <w:numFmt w:val="bullet"/>
      <w:lvlText w:val=""/>
      <w:lvlJc w:val="left"/>
      <w:pPr>
        <w:ind w:hanging="360" w:left="6480"/>
      </w:pPr>
      <w:rPr>
        <w:rFonts w:hAnsi="Wingdings" w:ascii="Wingdings" w:hint="default"/>
      </w:rPr>
    </w:lvl>
  </w:abstractNum>
  <w:abstractNum w:abstractNumId="30">
    <w:nsid w:val="6FD932BA"/>
    <w:multiLevelType w:val="hybridMultilevel"/>
    <w:tmpl w:val="D4625C18"/>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1">
    <w:nsid w:val="732E6BB8"/>
    <w:multiLevelType w:val="hybridMultilevel"/>
    <w:tmpl w:val="12242BEC"/>
    <w:lvl w:tplc="D31EE328" w:ilvl="0">
      <w:start w:val="1"/>
      <w:numFmt w:val="bullet"/>
      <w:lvlText w:val="-"/>
      <w:lvlJc w:val="left"/>
      <w:pPr>
        <w:ind w:hanging="360" w:left="360"/>
      </w:pPr>
      <w:rPr>
        <w:rFonts w:cs="Times New Roman" w:eastAsia="SimSu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32">
    <w:nsid w:val="7EE74891"/>
    <w:multiLevelType w:val="hybridMultilevel"/>
    <w:tmpl w:val="CA50D366"/>
    <w:lvl w:tplc="041A000F" w:ilvl="0">
      <w:start w:val="1"/>
      <w:numFmt w:val="decimal"/>
      <w:lvlText w:val="%1."/>
      <w:lvlJc w:val="left"/>
      <w:pPr>
        <w:tabs>
          <w:tab w:pos="720" w:val="num"/>
        </w:tabs>
        <w:ind w:hanging="360" w:left="720"/>
      </w:pPr>
      <w:rPr>
        <w:rFonts w:cs="Times New Roman" w:hint="default"/>
      </w:rPr>
    </w:lvl>
    <w:lvl w:tplc="A6A8E654" w:ilvl="1">
      <w:start w:val="1"/>
      <w:numFmt w:val="bullet"/>
      <w:lvlText w:val="-"/>
      <w:lvlJc w:val="left"/>
      <w:pPr>
        <w:tabs>
          <w:tab w:pos="1440" w:val="num"/>
        </w:tabs>
        <w:ind w:hanging="360" w:left="1440"/>
      </w:pPr>
      <w:rPr>
        <w:rFonts w:eastAsia="Times New Roman" w:hAnsi="Times New Roman" w:ascii="Times New Roman" w:hint="default"/>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33">
    <w:nsid w:val="7F0D7211"/>
    <w:multiLevelType w:val="hybridMultilevel"/>
    <w:tmpl w:val="B714230A"/>
    <w:lvl w:tplc="041A000F" w:ilvl="0">
      <w:start w:val="1"/>
      <w:numFmt w:val="decimal"/>
      <w:lvlText w:val="%1."/>
      <w:lvlJc w:val="left"/>
      <w:pPr>
        <w:ind w:hanging="360" w:left="36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8"/>
  </w:num>
  <w:num w:numId="4">
    <w:abstractNumId w:val="28"/>
  </w:num>
  <w:num w:numId="5">
    <w:abstractNumId w:val="15"/>
  </w:num>
  <w:num w:numId="6">
    <w:abstractNumId w:val="9"/>
  </w:num>
  <w:num w:numId="7">
    <w:abstractNumId w:val="20"/>
  </w:num>
  <w:num w:numId="8">
    <w:abstractNumId w:val="5"/>
  </w:num>
  <w:num w:numId="9">
    <w:abstractNumId w:val="24"/>
  </w:num>
  <w:num w:numId="10">
    <w:abstractNumId w:val="18"/>
  </w:num>
  <w:num w:numId="11">
    <w:abstractNumId w:val="3"/>
  </w:num>
  <w:num w:numId="12">
    <w:abstractNumId w:val="16"/>
  </w:num>
  <w:num w:numId="13">
    <w:abstractNumId w:val="33"/>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27"/>
  </w:num>
  <w:num w:numId="17">
    <w:abstractNumId w:val="26"/>
  </w:num>
  <w:num w:numId="18">
    <w:abstractNumId w:val="30"/>
  </w:num>
  <w:num w:numId="19">
    <w:abstractNumId w:val="0"/>
  </w:num>
  <w:num w:numId="20">
    <w:abstractNumId w:val="21"/>
  </w:num>
  <w:num w:numId="21">
    <w:abstractNumId w:val="32"/>
  </w:num>
  <w:num w:numId="22">
    <w:abstractNumId w:val="17"/>
  </w:num>
  <w:num w:numId="23">
    <w:abstractNumId w:val="11"/>
  </w:num>
  <w:num w:numId="24">
    <w:abstractNumId w:val="10"/>
  </w:num>
  <w:num w:numId="25">
    <w:abstractNumId w:val="13"/>
  </w:num>
  <w:num w:numId="26">
    <w:abstractNumId w:val="14"/>
  </w:num>
  <w:num w:numId="27">
    <w:abstractNumId w:val="29"/>
  </w:num>
  <w:num w:numId="28">
    <w:abstractNumId w:val="22"/>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
  </w:num>
  <w:num w:numId="32">
    <w:abstractNumId w:val="23"/>
  </w:num>
  <w:num w:numId="33">
    <w:abstractNumId w:val="25"/>
  </w:num>
  <w:num w:numId="34">
    <w:abstractNumId w:val="6"/>
  </w:num>
  <w:num w:numId="3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5C79"/>
    <w:rsid w:val="000222A0"/>
    <w:rsid w:val="00041B19"/>
    <w:rsid w:val="00044969"/>
    <w:rsid w:val="000643FD"/>
    <w:rsid w:val="000B09BE"/>
    <w:rsid w:val="000D6240"/>
    <w:rsid w:val="000D6AE7"/>
    <w:rsid w:val="000F32F5"/>
    <w:rsid w:val="00117B9B"/>
    <w:rsid w:val="00125B3D"/>
    <w:rsid w:val="001360E6"/>
    <w:rsid w:val="001663C5"/>
    <w:rsid w:val="001919BA"/>
    <w:rsid w:val="00192A1A"/>
    <w:rsid w:val="001F2C84"/>
    <w:rsid w:val="00252818"/>
    <w:rsid w:val="0027002F"/>
    <w:rsid w:val="002E35DE"/>
    <w:rsid w:val="002F66B2"/>
    <w:rsid w:val="00304F0C"/>
    <w:rsid w:val="003C61DF"/>
    <w:rsid w:val="003D1FCA"/>
    <w:rsid w:val="003D2A30"/>
    <w:rsid w:val="003E08E2"/>
    <w:rsid w:val="00415C79"/>
    <w:rsid w:val="00491302"/>
    <w:rsid w:val="004A2B41"/>
    <w:rsid w:val="004D766B"/>
    <w:rsid w:val="004F1599"/>
    <w:rsid w:val="00502F0A"/>
    <w:rsid w:val="0051211A"/>
    <w:rsid w:val="005416AC"/>
    <w:rsid w:val="00543FAF"/>
    <w:rsid w:val="00554A5D"/>
    <w:rsid w:val="0055627A"/>
    <w:rsid w:val="005A4B25"/>
    <w:rsid w:val="005D5B3E"/>
    <w:rsid w:val="00604C06"/>
    <w:rsid w:val="006C6282"/>
    <w:rsid w:val="006D4E6F"/>
    <w:rsid w:val="006E61A0"/>
    <w:rsid w:val="007311D8"/>
    <w:rsid w:val="0073335C"/>
    <w:rsid w:val="00737282"/>
    <w:rsid w:val="00752762"/>
    <w:rsid w:val="00760153"/>
    <w:rsid w:val="007827DF"/>
    <w:rsid w:val="00784E48"/>
    <w:rsid w:val="007A2B56"/>
    <w:rsid w:val="007F2455"/>
    <w:rsid w:val="00834EEE"/>
    <w:rsid w:val="008719A5"/>
    <w:rsid w:val="008C1EDD"/>
    <w:rsid w:val="008C540B"/>
    <w:rsid w:val="008D1092"/>
    <w:rsid w:val="008D6255"/>
    <w:rsid w:val="008E050A"/>
    <w:rsid w:val="0092550C"/>
    <w:rsid w:val="0094413D"/>
    <w:rsid w:val="009A7693"/>
    <w:rsid w:val="009E750C"/>
    <w:rsid w:val="00A0340B"/>
    <w:rsid w:val="00A54525"/>
    <w:rsid w:val="00A6009A"/>
    <w:rsid w:val="00A9071D"/>
    <w:rsid w:val="00AC0C4E"/>
    <w:rsid w:val="00AF3AFA"/>
    <w:rsid w:val="00B10501"/>
    <w:rsid w:val="00B25128"/>
    <w:rsid w:val="00B33F0C"/>
    <w:rsid w:val="00B66A1A"/>
    <w:rsid w:val="00B716C4"/>
    <w:rsid w:val="00B767D4"/>
    <w:rsid w:val="00BD0C59"/>
    <w:rsid w:val="00BF1C58"/>
    <w:rsid w:val="00BF248A"/>
    <w:rsid w:val="00C10BCC"/>
    <w:rsid w:val="00C36C50"/>
    <w:rsid w:val="00C57D08"/>
    <w:rsid w:val="00C72ACB"/>
    <w:rsid w:val="00CA58DD"/>
    <w:rsid w:val="00CC6B2F"/>
    <w:rsid w:val="00D20E68"/>
    <w:rsid w:val="00D236DB"/>
    <w:rsid w:val="00D359CF"/>
    <w:rsid w:val="00D54B32"/>
    <w:rsid w:val="00D6389E"/>
    <w:rsid w:val="00DB355F"/>
    <w:rsid w:val="00DC5346"/>
    <w:rsid w:val="00E21342"/>
    <w:rsid w:val="00E86760"/>
    <w:rsid w:val="00ED5BAF"/>
    <w:rsid w:val="00ED6637"/>
    <w:rsid w:val="00EF0E0D"/>
    <w:rsid w:val="00F01080"/>
    <w:rsid w:val="00F211C5"/>
    <w:rsid w:val="00F743E3"/>
    <w:rsid w:val="00F826F2"/>
    <w:rsid w:val="00FD79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15C7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415C79"/>
    <w:pPr>
      <w:tabs>
        <w:tab w:pos="4536" w:val="center"/>
        <w:tab w:pos="9072" w:val="right"/>
      </w:tabs>
    </w:pPr>
  </w:style>
  <w:style w:styleId="Brojstranice" w:type="character">
    <w:name w:val="page number"/>
    <w:basedOn w:val="Zadanifontodlomka"/>
    <w:rsid w:val="00415C79"/>
  </w:style>
  <w:style w:customStyle="true" w:styleId="Odlomakpopisa1" w:type="paragraph">
    <w:name w:val="Odlomak popisa1"/>
    <w:basedOn w:val="Normal"/>
    <w:uiPriority w:val="99"/>
    <w:qFormat/>
    <w:rsid w:val="00415C79"/>
    <w:pPr>
      <w:ind w:left="720"/>
    </w:pPr>
    <w:rPr>
      <w:sz w:val="20"/>
      <w:szCs w:val="20"/>
      <w:lang w:eastAsia="en-US" w:val="en-AU"/>
    </w:rPr>
  </w:style>
  <w:style w:customStyle="true" w:styleId="listparagraphcxspprvi" w:type="paragraph">
    <w:name w:val="listparagraphcxspprvi"/>
    <w:basedOn w:val="Normal"/>
    <w:rsid w:val="00415C79"/>
    <w:pPr>
      <w:spacing w:afterAutospacing="true" w:after="100" w:beforeAutospacing="true" w:before="100"/>
    </w:pPr>
  </w:style>
  <w:style w:customStyle="true" w:styleId="listparagraphcxspsrednji" w:type="paragraph">
    <w:name w:val="listparagraphcxspsrednji"/>
    <w:basedOn w:val="Normal"/>
    <w:rsid w:val="00415C79"/>
    <w:pPr>
      <w:spacing w:afterAutospacing="true" w:after="100" w:beforeAutospacing="true" w:before="100"/>
    </w:pPr>
  </w:style>
  <w:style w:customStyle="true" w:styleId="listparagraphcxspposljednji" w:type="paragraph">
    <w:name w:val="listparagraphcxspposljednji"/>
    <w:basedOn w:val="Normal"/>
    <w:rsid w:val="00415C79"/>
    <w:pPr>
      <w:spacing w:afterAutospacing="true" w:after="100" w:beforeAutospacing="true" w:before="100"/>
    </w:pPr>
  </w:style>
  <w:style w:customStyle="true" w:styleId="Bezproreda1" w:type="paragraph">
    <w:name w:val="Bez proreda1"/>
    <w:link w:val="NoSpacingChar"/>
    <w:uiPriority w:val="99"/>
    <w:qFormat/>
    <w:rsid w:val="003D2A30"/>
    <w:rPr>
      <w:rFonts w:cs="Calibri" w:eastAsia="Calibri" w:hAnsi="Calibri" w:ascii="Calibri"/>
      <w:sz w:val="22"/>
      <w:szCs w:val="22"/>
      <w:lang w:eastAsia="en-US"/>
    </w:rPr>
  </w:style>
  <w:style w:styleId="Podnoje" w:type="paragraph">
    <w:name w:val="footer"/>
    <w:basedOn w:val="Normal"/>
    <w:link w:val="PodnojeChar"/>
    <w:rsid w:val="003D2A30"/>
    <w:pPr>
      <w:tabs>
        <w:tab w:pos="4536" w:val="center"/>
        <w:tab w:pos="9072" w:val="right"/>
      </w:tabs>
    </w:pPr>
  </w:style>
  <w:style w:styleId="StandardWeb" w:type="paragraph">
    <w:name w:val="Normal (Web)"/>
    <w:basedOn w:val="Normal"/>
    <w:rsid w:val="00F743E3"/>
    <w:pPr>
      <w:spacing w:afterAutospacing="true" w:after="100" w:beforeAutospacing="true" w:before="100"/>
    </w:pPr>
  </w:style>
  <w:style w:styleId="Reetkatablice" w:type="table">
    <w:name w:val="Table Grid"/>
    <w:basedOn w:val="Obinatablica"/>
    <w:rsid w:val="00F743E3"/>
    <w:tblPr>
      <w:tblInd w:type="dxa"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top w:type="dxa" w:w="0"/>
        <w:left w:type="dxa" w:w="108"/>
        <w:bottom w:type="dxa" w:w="0"/>
        <w:right w:type="dxa" w:w="108"/>
      </w:tblCellMar>
    </w:tblPr>
  </w:style>
  <w:style w:customStyle="true" w:styleId="NoSpacingChar" w:type="character">
    <w:name w:val="No Spacing Char"/>
    <w:link w:val="Bezproreda1"/>
    <w:locked/>
    <w:rsid w:val="008E050A"/>
    <w:rPr>
      <w:rFonts w:cs="Calibri" w:eastAsia="Calibri" w:hAnsi="Calibri" w:ascii="Calibri"/>
      <w:sz w:val="22"/>
      <w:szCs w:val="22"/>
      <w:lang w:bidi="ar-SA" w:eastAsia="en-US" w:val="hr-HR"/>
    </w:rPr>
  </w:style>
  <w:style w:styleId="Uvuenotijeloteksta" w:type="paragraph">
    <w:name w:val="Body Text Indent"/>
    <w:basedOn w:val="Normal"/>
    <w:rsid w:val="00125B3D"/>
    <w:pPr>
      <w:ind w:left="720"/>
    </w:pPr>
  </w:style>
  <w:style w:styleId="Hiperveza" w:type="character">
    <w:name w:val="Hyperlink"/>
    <w:uiPriority w:val="99"/>
    <w:rsid w:val="007311D8"/>
    <w:rPr>
      <w:color w:val="0000FF"/>
      <w:u w:val="single"/>
    </w:rPr>
  </w:style>
  <w:style w:customStyle="true" w:styleId="t-9-8" w:type="paragraph">
    <w:name w:val="t-9-8"/>
    <w:basedOn w:val="Normal"/>
    <w:uiPriority w:val="99"/>
    <w:rsid w:val="007311D8"/>
    <w:pPr>
      <w:spacing w:afterAutospacing="true" w:after="100" w:beforeAutospacing="true" w:before="100"/>
    </w:pPr>
  </w:style>
  <w:style w:customStyle="true" w:styleId="Bodytext" w:type="character">
    <w:name w:val="Body text_"/>
    <w:rsid w:val="007311D8"/>
    <w:rPr>
      <w:rFonts w:cs="Arial" w:eastAsia="Arial" w:hAnsi="Arial" w:ascii="Arial"/>
      <w:b w:val="false"/>
      <w:bCs w:val="false"/>
      <w:i w:val="false"/>
      <w:iCs w:val="false"/>
      <w:smallCaps w:val="false"/>
      <w:strike w:val="false"/>
      <w:sz w:val="20"/>
      <w:szCs w:val="20"/>
      <w:u w:val="none"/>
    </w:rPr>
  </w:style>
  <w:style w:customStyle="true" w:styleId="Tijeloteksta1" w:type="character">
    <w:name w:val="Tijelo teksta1"/>
    <w:rsid w:val="007311D8"/>
    <w:rPr>
      <w:rFonts w:cs="Arial" w:eastAsia="Arial" w:hAnsi="Arial" w:ascii="Arial"/>
      <w:b w:val="false"/>
      <w:bCs w:val="false"/>
      <w:i w:val="false"/>
      <w:iCs w:val="false"/>
      <w:smallCaps w:val="false"/>
      <w:strike w:val="false"/>
      <w:color w:val="000000"/>
      <w:spacing w:val="0"/>
      <w:w w:val="100"/>
      <w:position w:val="0"/>
      <w:sz w:val="20"/>
      <w:szCs w:val="20"/>
      <w:u w:val="none"/>
      <w:lang w:val="hr-HR"/>
    </w:rPr>
  </w:style>
  <w:style w:customStyle="true" w:styleId="Heading3" w:type="character">
    <w:name w:val="Heading #3_"/>
    <w:link w:val="Heading30"/>
    <w:rsid w:val="007311D8"/>
    <w:rPr>
      <w:rFonts w:cs="Arial" w:eastAsia="Arial" w:hAnsi="Arial" w:ascii="Arial"/>
      <w:b/>
      <w:bCs/>
      <w:shd w:fill="FFFFFF" w:color="auto" w:val="clear"/>
    </w:rPr>
  </w:style>
  <w:style w:customStyle="true" w:styleId="BodytextBold" w:type="character">
    <w:name w:val="Body text + Bold"/>
    <w:rsid w:val="007311D8"/>
    <w:rPr>
      <w:rFonts w:cs="Arial" w:eastAsia="Arial" w:hAnsi="Arial" w:ascii="Arial"/>
      <w:b/>
      <w:bCs/>
      <w:i w:val="false"/>
      <w:iCs w:val="false"/>
      <w:smallCaps w:val="false"/>
      <w:strike w:val="false"/>
      <w:color w:val="000000"/>
      <w:spacing w:val="0"/>
      <w:w w:val="100"/>
      <w:position w:val="0"/>
      <w:sz w:val="20"/>
      <w:szCs w:val="20"/>
      <w:u w:val="none"/>
      <w:lang w:val="hr-HR"/>
    </w:rPr>
  </w:style>
  <w:style w:customStyle="true" w:styleId="Heading30" w:type="paragraph">
    <w:name w:val="Heading #3"/>
    <w:basedOn w:val="Normal"/>
    <w:link w:val="Heading3"/>
    <w:rsid w:val="007311D8"/>
    <w:pPr>
      <w:widowControl w:val="false"/>
      <w:shd w:fill="FFFFFF" w:color="auto" w:val="clear"/>
      <w:spacing w:lineRule="exact" w:line="466"/>
      <w:jc w:val="both"/>
      <w:outlineLvl w:val="2"/>
    </w:pPr>
    <w:rPr>
      <w:rFonts w:cs="Arial" w:eastAsia="Arial" w:hAnsi="Arial" w:ascii="Arial"/>
      <w:b/>
      <w:bCs/>
      <w:sz w:val="20"/>
      <w:szCs w:val="20"/>
    </w:rPr>
  </w:style>
  <w:style w:customStyle="true" w:styleId="Heading2" w:type="character">
    <w:name w:val="Heading #2_"/>
    <w:link w:val="Heading20"/>
    <w:rsid w:val="007311D8"/>
    <w:rPr>
      <w:rFonts w:cs="Arial" w:eastAsia="Arial" w:hAnsi="Arial" w:ascii="Arial"/>
      <w:b/>
      <w:bCs/>
      <w:shd w:fill="FFFFFF" w:color="auto" w:val="clear"/>
    </w:rPr>
  </w:style>
  <w:style w:customStyle="true" w:styleId="Heading20" w:type="paragraph">
    <w:name w:val="Heading #2"/>
    <w:basedOn w:val="Normal"/>
    <w:link w:val="Heading2"/>
    <w:rsid w:val="007311D8"/>
    <w:pPr>
      <w:widowControl w:val="false"/>
      <w:shd w:fill="FFFFFF" w:color="auto" w:val="clear"/>
      <w:spacing w:lineRule="exact" w:line="461"/>
      <w:outlineLvl w:val="1"/>
    </w:pPr>
    <w:rPr>
      <w:rFonts w:cs="Arial" w:eastAsia="Arial" w:hAnsi="Arial" w:ascii="Arial"/>
      <w:b/>
      <w:bCs/>
      <w:sz w:val="20"/>
      <w:szCs w:val="20"/>
    </w:rPr>
  </w:style>
  <w:style w:styleId="Tekstbalonia" w:type="paragraph">
    <w:name w:val="Balloon Text"/>
    <w:basedOn w:val="Normal"/>
    <w:link w:val="TekstbaloniaChar"/>
    <w:rsid w:val="007311D8"/>
    <w:rPr>
      <w:rFonts w:cs="Tahoma" w:hAnsi="Tahoma" w:ascii="Tahoma"/>
      <w:sz w:val="16"/>
      <w:szCs w:val="16"/>
      <w:lang w:eastAsia="en-US" w:val="en-AU"/>
    </w:rPr>
  </w:style>
  <w:style w:customStyle="true" w:styleId="TekstbaloniaChar" w:type="character">
    <w:name w:val="Tekst balončića Char"/>
    <w:link w:val="Tekstbalonia"/>
    <w:rsid w:val="007311D8"/>
    <w:rPr>
      <w:rFonts w:cs="Tahoma" w:hAnsi="Tahoma" w:ascii="Tahoma"/>
      <w:sz w:val="16"/>
      <w:szCs w:val="16"/>
      <w:lang w:eastAsia="en-US" w:val="en-AU"/>
    </w:rPr>
  </w:style>
  <w:style w:customStyle="true" w:styleId="ZaglavljeChar" w:type="character">
    <w:name w:val="Zaglavlje Char"/>
    <w:link w:val="Zaglavlje"/>
    <w:uiPriority w:val="99"/>
    <w:locked/>
    <w:rsid w:val="007311D8"/>
    <w:rPr>
      <w:sz w:val="24"/>
      <w:szCs w:val="24"/>
    </w:rPr>
  </w:style>
  <w:style w:customStyle="true" w:styleId="PodnojeChar" w:type="character">
    <w:name w:val="Podnožje Char"/>
    <w:link w:val="Podnoje"/>
    <w:locked/>
    <w:rsid w:val="007311D8"/>
    <w:rPr>
      <w:sz w:val="24"/>
      <w:szCs w:val="24"/>
    </w:rPr>
  </w:style>
  <w:style w:customStyle="true" w:styleId="Default" w:type="paragraph">
    <w:name w:val="Default"/>
    <w:rsid w:val="007311D8"/>
    <w:pPr>
      <w:autoSpaceDE w:val="false"/>
      <w:autoSpaceDN w:val="false"/>
      <w:adjustRightInd w:val="false"/>
    </w:pPr>
    <w:rPr>
      <w:rFonts w:cs="Verdana" w:hAnsi="Verdana" w:ascii="Verdana"/>
      <w:color w:val="000000"/>
      <w:sz w:val="24"/>
      <w:szCs w:val="24"/>
    </w:rPr>
  </w:style>
  <w:style w:styleId="Referencakomentara" w:type="character">
    <w:name w:val="annotation reference"/>
    <w:rsid w:val="007311D8"/>
    <w:rPr>
      <w:rFonts w:cs="Times New Roman"/>
      <w:sz w:val="16"/>
      <w:szCs w:val="16"/>
    </w:rPr>
  </w:style>
  <w:style w:styleId="Tekstkomentara" w:type="paragraph">
    <w:name w:val="annotation text"/>
    <w:basedOn w:val="Normal"/>
    <w:link w:val="TekstkomentaraChar"/>
    <w:rsid w:val="007311D8"/>
    <w:pPr>
      <w:spacing w:after="200"/>
    </w:pPr>
    <w:rPr>
      <w:rFonts w:hAnsi="Calibri" w:ascii="Calibri"/>
      <w:sz w:val="20"/>
      <w:szCs w:val="20"/>
    </w:rPr>
  </w:style>
  <w:style w:customStyle="true" w:styleId="TekstkomentaraChar" w:type="character">
    <w:name w:val="Tekst komentara Char"/>
    <w:link w:val="Tekstkomentara"/>
    <w:rsid w:val="007311D8"/>
    <w:rPr>
      <w:rFonts w:hAnsi="Calibri" w:ascii="Calibri"/>
    </w:rPr>
  </w:style>
  <w:style w:styleId="Predmetkomentara" w:type="paragraph">
    <w:name w:val="annotation subject"/>
    <w:basedOn w:val="Tekstkomentara"/>
    <w:next w:val="Tekstkomentara"/>
    <w:link w:val="PredmetkomentaraChar"/>
    <w:rsid w:val="007311D8"/>
    <w:rPr>
      <w:b/>
      <w:bCs/>
    </w:rPr>
  </w:style>
  <w:style w:customStyle="true" w:styleId="PredmetkomentaraChar" w:type="character">
    <w:name w:val="Predmet komentara Char"/>
    <w:link w:val="Predmetkomentara"/>
    <w:rsid w:val="007311D8"/>
    <w:rPr>
      <w:rFonts w:hAnsi="Calibri" w:ascii="Calibri"/>
      <w:b/>
      <w:bCs/>
    </w:rPr>
  </w:style>
  <w:style w:customStyle="true" w:styleId="tabletextfield" w:type="character">
    <w:name w:val="table_text_field"/>
    <w:rsid w:val="007311D8"/>
    <w:rPr>
      <w:rFonts w:cs="Times New Roman"/>
    </w:rPr>
  </w:style>
  <w:style w:styleId="SlijeenaHiperveza" w:type="character">
    <w:name w:val="FollowedHyperlink"/>
    <w:rsid w:val="007311D8"/>
    <w:rPr>
      <w:rFonts w:cs="Times New Roman"/>
      <w:color w:val="800080"/>
      <w:u w:val="single"/>
    </w:rPr>
  </w:style>
  <w:style w:customStyle="true" w:styleId="xl65" w:type="paragraph">
    <w:name w:val="xl65"/>
    <w:basedOn w:val="Normal"/>
    <w:rsid w:val="007311D8"/>
    <w:pPr>
      <w:pBdr>
        <w:top w:space="0" w:sz="8" w:color="auto" w:val="single"/>
        <w:left w:space="0" w:sz="8" w:color="auto" w:val="single"/>
        <w:bottom w:space="0" w:sz="4" w:color="auto" w:val="single"/>
        <w:right w:space="0" w:sz="4" w:color="auto" w:val="single"/>
      </w:pBdr>
      <w:shd w:fill="8DB4E2" w:color="000000" w:val="clear"/>
      <w:spacing w:afterAutospacing="true" w:after="100" w:beforeAutospacing="true" w:before="100"/>
    </w:pPr>
    <w:rPr>
      <w:sz w:val="18"/>
      <w:szCs w:val="18"/>
    </w:rPr>
  </w:style>
  <w:style w:customStyle="true" w:styleId="xl66" w:type="paragraph">
    <w:name w:val="xl66"/>
    <w:basedOn w:val="Normal"/>
    <w:rsid w:val="007311D8"/>
    <w:pPr>
      <w:pBdr>
        <w:top w:space="0" w:sz="8" w:color="auto" w:val="single"/>
        <w:left w:space="0" w:sz="4" w:color="auto" w:val="single"/>
        <w:bottom w:space="0" w:sz="4" w:color="auto" w:val="single"/>
        <w:right w:space="0" w:sz="4" w:color="auto" w:val="single"/>
      </w:pBdr>
      <w:shd w:fill="8DB4E2" w:color="000000" w:val="clear"/>
      <w:spacing w:afterAutospacing="true" w:after="100" w:beforeAutospacing="true" w:before="100"/>
    </w:pPr>
    <w:rPr>
      <w:sz w:val="18"/>
      <w:szCs w:val="18"/>
    </w:rPr>
  </w:style>
  <w:style w:customStyle="true" w:styleId="xl67" w:type="paragraph">
    <w:name w:val="xl67"/>
    <w:basedOn w:val="Normal"/>
    <w:rsid w:val="007311D8"/>
    <w:pPr>
      <w:pBdr>
        <w:top w:space="0" w:sz="8" w:color="auto" w:val="single"/>
        <w:left w:space="0" w:sz="4" w:color="auto" w:val="single"/>
        <w:bottom w:space="0" w:sz="4" w:color="auto" w:val="single"/>
        <w:right w:space="0" w:sz="4" w:color="auto" w:val="single"/>
      </w:pBdr>
      <w:shd w:fill="8DB4E2" w:color="000000" w:val="clear"/>
      <w:spacing w:afterAutospacing="true" w:after="100" w:beforeAutospacing="true" w:before="100"/>
      <w:jc w:val="center"/>
    </w:pPr>
    <w:rPr>
      <w:sz w:val="18"/>
      <w:szCs w:val="18"/>
    </w:rPr>
  </w:style>
  <w:style w:customStyle="true" w:styleId="xl68" w:type="paragraph">
    <w:name w:val="xl68"/>
    <w:basedOn w:val="Normal"/>
    <w:rsid w:val="007311D8"/>
    <w:pPr>
      <w:pBdr>
        <w:top w:space="0" w:sz="4" w:color="auto" w:val="single"/>
        <w:left w:space="0" w:sz="8" w:color="auto" w:val="single"/>
        <w:bottom w:space="0" w:sz="4" w:color="auto" w:val="single"/>
        <w:right w:space="0" w:sz="4" w:color="auto" w:val="single"/>
      </w:pBdr>
      <w:spacing w:afterAutospacing="true" w:after="100" w:beforeAutospacing="true" w:before="100"/>
    </w:pPr>
    <w:rPr>
      <w:sz w:val="18"/>
      <w:szCs w:val="18"/>
    </w:rPr>
  </w:style>
  <w:style w:customStyle="true" w:styleId="xl69" w:type="paragraph">
    <w:name w:val="xl69"/>
    <w:basedOn w:val="Normal"/>
    <w:rsid w:val="007311D8"/>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rPr>
  </w:style>
  <w:style w:customStyle="true" w:styleId="xl70" w:type="paragraph">
    <w:name w:val="xl70"/>
    <w:basedOn w:val="Normal"/>
    <w:rsid w:val="007311D8"/>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rPr>
  </w:style>
  <w:style w:customStyle="true" w:styleId="xl71" w:type="paragraph">
    <w:name w:val="xl71"/>
    <w:basedOn w:val="Normal"/>
    <w:rsid w:val="007311D8"/>
    <w:pPr>
      <w:pBdr>
        <w:top w:space="0" w:sz="4" w:color="auto" w:val="single"/>
        <w:left w:space="0" w:sz="8" w:color="auto" w:val="single"/>
        <w:bottom w:space="0" w:sz="8" w:color="auto" w:val="single"/>
        <w:right w:space="0" w:sz="4" w:color="auto" w:val="single"/>
      </w:pBdr>
      <w:spacing w:afterAutospacing="true" w:after="100" w:beforeAutospacing="true" w:before="100"/>
    </w:pPr>
    <w:rPr>
      <w:sz w:val="18"/>
      <w:szCs w:val="18"/>
    </w:rPr>
  </w:style>
  <w:style w:customStyle="true" w:styleId="xl72" w:type="paragraph">
    <w:name w:val="xl72"/>
    <w:basedOn w:val="Normal"/>
    <w:rsid w:val="007311D8"/>
    <w:pPr>
      <w:pBdr>
        <w:top w:space="0" w:sz="4" w:color="auto" w:val="single"/>
        <w:left w:space="0" w:sz="4" w:color="auto" w:val="single"/>
        <w:bottom w:space="0" w:sz="8" w:color="auto" w:val="single"/>
        <w:right w:space="0" w:sz="4" w:color="auto" w:val="single"/>
      </w:pBdr>
      <w:spacing w:afterAutospacing="true" w:after="100" w:beforeAutospacing="true" w:before="100"/>
    </w:pPr>
    <w:rPr>
      <w:sz w:val="18"/>
      <w:szCs w:val="18"/>
    </w:rPr>
  </w:style>
  <w:style w:customStyle="true" w:styleId="xl73" w:type="paragraph">
    <w:name w:val="xl73"/>
    <w:basedOn w:val="Normal"/>
    <w:rsid w:val="007311D8"/>
    <w:pPr>
      <w:pBdr>
        <w:top w:space="0" w:sz="4" w:color="auto" w:val="single"/>
        <w:left w:space="0" w:sz="4" w:color="auto" w:val="single"/>
        <w:bottom w:space="0" w:sz="8" w:color="auto" w:val="single"/>
        <w:right w:space="0" w:sz="4" w:color="auto" w:val="single"/>
      </w:pBdr>
      <w:spacing w:afterAutospacing="true" w:after="100" w:beforeAutospacing="true" w:before="100"/>
      <w:jc w:val="center"/>
    </w:pPr>
    <w:rPr>
      <w:sz w:val="18"/>
      <w:szCs w:val="18"/>
    </w:rPr>
  </w:style>
  <w:style w:customStyle="true" w:styleId="xl74" w:type="paragraph">
    <w:name w:val="xl74"/>
    <w:basedOn w:val="Normal"/>
    <w:rsid w:val="007311D8"/>
    <w:pPr>
      <w:pBdr>
        <w:top w:space="0" w:sz="8" w:color="auto" w:val="single"/>
        <w:left w:space="0" w:sz="4" w:color="auto" w:val="single"/>
        <w:bottom w:space="0" w:sz="4" w:color="auto" w:val="single"/>
        <w:right w:space="0" w:sz="4" w:color="auto" w:val="single"/>
      </w:pBdr>
      <w:shd w:fill="8DB4E2" w:color="000000" w:val="clear"/>
      <w:spacing w:afterAutospacing="true" w:after="100" w:beforeAutospacing="true" w:before="100"/>
    </w:pPr>
    <w:rPr>
      <w:sz w:val="18"/>
      <w:szCs w:val="18"/>
    </w:rPr>
  </w:style>
  <w:style w:customStyle="true" w:styleId="xl75" w:type="paragraph">
    <w:name w:val="xl75"/>
    <w:basedOn w:val="Normal"/>
    <w:rsid w:val="007311D8"/>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rPr>
  </w:style>
  <w:style w:customStyle="true" w:styleId="xl76" w:type="paragraph">
    <w:name w:val="xl76"/>
    <w:basedOn w:val="Normal"/>
    <w:rsid w:val="007311D8"/>
    <w:pPr>
      <w:pBdr>
        <w:top w:space="0" w:sz="4" w:color="auto" w:val="single"/>
        <w:left w:space="0" w:sz="4" w:color="auto" w:val="single"/>
        <w:bottom w:space="0" w:sz="8" w:color="auto" w:val="single"/>
        <w:right w:space="0" w:sz="4" w:color="auto" w:val="single"/>
      </w:pBdr>
      <w:spacing w:afterAutospacing="true" w:after="100" w:beforeAutospacing="true" w:before="100"/>
    </w:pPr>
    <w:rPr>
      <w:sz w:val="18"/>
      <w:szCs w:val="18"/>
    </w:rPr>
  </w:style>
  <w:style w:customStyle="true" w:styleId="xl77" w:type="paragraph">
    <w:name w:val="xl77"/>
    <w:basedOn w:val="Normal"/>
    <w:rsid w:val="007311D8"/>
    <w:pPr>
      <w:spacing w:afterAutospacing="true" w:after="100" w:beforeAutospacing="true" w:before="100"/>
    </w:pPr>
  </w:style>
  <w:style w:customStyle="true" w:styleId="xl78" w:type="paragraph">
    <w:name w:val="xl78"/>
    <w:basedOn w:val="Normal"/>
    <w:rsid w:val="007311D8"/>
    <w:pPr>
      <w:pBdr>
        <w:top w:space="0" w:sz="8" w:color="auto" w:val="single"/>
        <w:left w:space="0" w:sz="4" w:color="auto" w:val="single"/>
        <w:bottom w:space="0" w:sz="4" w:color="auto" w:val="single"/>
        <w:right w:space="0" w:sz="8" w:color="auto" w:val="single"/>
      </w:pBdr>
      <w:shd w:fill="8DB4E2" w:color="000000" w:val="clear"/>
      <w:spacing w:afterAutospacing="true" w:after="100" w:beforeAutospacing="true" w:before="100"/>
    </w:pPr>
    <w:rPr>
      <w:sz w:val="18"/>
      <w:szCs w:val="18"/>
    </w:rPr>
  </w:style>
  <w:style w:customStyle="true" w:styleId="xl79" w:type="paragraph">
    <w:name w:val="xl79"/>
    <w:basedOn w:val="Normal"/>
    <w:rsid w:val="007311D8"/>
    <w:pPr>
      <w:pBdr>
        <w:top w:space="0" w:sz="4" w:color="auto" w:val="single"/>
        <w:left w:space="0" w:sz="4" w:color="auto" w:val="single"/>
        <w:bottom w:space="0" w:sz="4" w:color="auto" w:val="single"/>
        <w:right w:space="0" w:sz="8" w:color="auto" w:val="single"/>
      </w:pBdr>
      <w:spacing w:afterAutospacing="true" w:after="100" w:beforeAutospacing="true" w:before="100"/>
    </w:pPr>
    <w:rPr>
      <w:sz w:val="18"/>
      <w:szCs w:val="18"/>
    </w:rPr>
  </w:style>
  <w:style w:customStyle="true" w:styleId="xl80" w:type="paragraph">
    <w:name w:val="xl80"/>
    <w:basedOn w:val="Normal"/>
    <w:rsid w:val="007311D8"/>
    <w:pPr>
      <w:pBdr>
        <w:top w:space="0" w:sz="4" w:color="auto" w:val="single"/>
        <w:left w:space="0" w:sz="4" w:color="auto" w:val="single"/>
        <w:bottom w:space="0" w:sz="8" w:color="auto" w:val="single"/>
        <w:right w:space="0" w:sz="8" w:color="auto" w:val="single"/>
      </w:pBdr>
      <w:spacing w:afterAutospacing="true" w:after="100" w:beforeAutospacing="true" w:before="100"/>
    </w:pPr>
    <w:rPr>
      <w:sz w:val="18"/>
      <w:szCs w:val="18"/>
    </w:rPr>
  </w:style>
  <w:style w:customStyle="true" w:styleId="Svijetlipopis-Isticanje11" w:type="table">
    <w:name w:val="Svijetli popis - Isticanje 11"/>
    <w:rsid w:val="007311D8"/>
    <w:rPr>
      <w:rFonts w:hAnsi="Calibri" w:ascii="Calibri"/>
    </w:rPr>
    <w:tblPr>
      <w:tblStyleRowBandSize w:val="1"/>
      <w:tblStyleColBandSize w:val="1"/>
      <w:tblInd w:type="dxa" w:w="0"/>
      <w:tblBorders>
        <w:top w:space="0" w:sz="8" w:color="4F81BD" w:val="single"/>
        <w:left w:space="0" w:sz="8" w:color="4F81BD" w:val="single"/>
        <w:bottom w:space="0" w:sz="8" w:color="4F81BD" w:val="single"/>
        <w:right w:space="0" w:sz="8" w:color="4F81BD" w:val="single"/>
      </w:tblBorders>
      <w:tblCellMar>
        <w:top w:type="dxa" w:w="0"/>
        <w:left w:type="dxa" w:w="108"/>
        <w:bottom w:type="dxa" w:w="0"/>
        <w:right w:type="dxa" w:w="108"/>
      </w:tblCellMar>
    </w:tblPr>
  </w:style>
  <w:style w:customStyle="true" w:styleId="Revizija1" w:type="paragraph">
    <w:name w:val="Revizija1"/>
    <w:hidden/>
    <w:semiHidden/>
    <w:rsid w:val="007311D8"/>
    <w:rPr>
      <w:rFonts w:hAnsi="Calibri" w:ascii="Calibri"/>
      <w:sz w:val="22"/>
      <w:szCs w:val="22"/>
    </w:rPr>
  </w:style>
  <w:style w:customStyle="true" w:styleId="xl63" w:type="paragraph">
    <w:name w:val="xl63"/>
    <w:basedOn w:val="Normal"/>
    <w:rsid w:val="007311D8"/>
    <w:pPr>
      <w:pBdr>
        <w:top w:space="0" w:sz="8" w:color="333399" w:val="single"/>
        <w:left w:space="0" w:sz="8" w:color="333399" w:val="single"/>
        <w:bottom w:space="0" w:sz="8" w:color="333399" w:val="single"/>
      </w:pBdr>
      <w:spacing w:afterAutospacing="true" w:after="100" w:beforeAutospacing="true" w:before="100"/>
      <w:jc w:val="both"/>
      <w:textAlignment w:val="center"/>
    </w:pPr>
    <w:rPr>
      <w:rFonts w:hAnsi="Candara" w:ascii="Candara"/>
      <w:b/>
      <w:bCs/>
      <w:sz w:val="18"/>
      <w:szCs w:val="18"/>
    </w:rPr>
  </w:style>
  <w:style w:customStyle="true" w:styleId="xl64" w:type="paragraph">
    <w:name w:val="xl64"/>
    <w:basedOn w:val="Normal"/>
    <w:rsid w:val="007311D8"/>
    <w:pPr>
      <w:pBdr>
        <w:top w:space="0" w:sz="8" w:color="333399" w:val="single"/>
        <w:bottom w:space="0" w:sz="8" w:color="333399" w:val="single"/>
      </w:pBdr>
      <w:spacing w:afterAutospacing="true" w:after="100" w:beforeAutospacing="true" w:before="100"/>
      <w:jc w:val="both"/>
      <w:textAlignment w:val="center"/>
    </w:pPr>
    <w:rPr>
      <w:rFonts w:hAnsi="Candara" w:ascii="Candara"/>
      <w:sz w:val="18"/>
      <w:szCs w:val="18"/>
    </w:rPr>
  </w:style>
  <w:style w:styleId="Odlomakpopisa" w:type="paragraph">
    <w:name w:val="List Paragraph"/>
    <w:basedOn w:val="Normal"/>
    <w:uiPriority w:val="34"/>
    <w:qFormat/>
    <w:rsid w:val="007311D8"/>
    <w:pPr>
      <w:ind w:left="720"/>
    </w:pPr>
    <w:rPr>
      <w:sz w:val="20"/>
      <w:szCs w:val="20"/>
      <w:lang w:eastAsia="en-US" w:val="en-AU"/>
    </w:rPr>
  </w:style>
  <w:style w:styleId="Tekstrezerviranogmjesta" w:type="character">
    <w:name w:val="Placeholder Text"/>
    <w:basedOn w:val="Zadanifontodlomka"/>
    <w:uiPriority w:val="99"/>
    <w:semiHidden/>
    <w:rsid w:val="009E750C"/>
    <w:rPr>
      <w:color w:val="808080"/>
      <w:bdr w:space="0" w:sz="0" w:color="auto" w:val="none"/>
      <w:shd w:fill="auto" w:color="auto" w:val="clear"/>
    </w:rPr>
  </w:style>
  <w:style w:customStyle="true" w:styleId="eSPISCCParagraphDefaultFont" w:type="character">
    <w:name w:val="eSPIS_CC_Paragraph Default Font"/>
    <w:basedOn w:val="Zadanifontodlomka"/>
    <w:rsid w:val="009E75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750C"/>
    <w:rPr>
      <w:bdr w:space="0" w:sz="0" w:color="auto" w:val="none"/>
      <w:shd w:fill="FFFFCC" w:color="auto" w:val="clear"/>
      <w:lang w:val="hr-HR"/>
    </w:rPr>
  </w:style>
  <w:style w:customStyle="true" w:styleId="PozadinaSvijetloCrvena" w:type="character">
    <w:name w:val="Pozadina_SvijetloCrvena"/>
    <w:basedOn w:val="eSPISCCParagraphDefaultFont"/>
    <w:rsid w:val="009E75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75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15C7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415C79"/>
    <w:pPr>
      <w:tabs>
        <w:tab w:pos="4536" w:val="center"/>
        <w:tab w:pos="9072" w:val="right"/>
      </w:tabs>
    </w:pPr>
  </w:style>
  <w:style w:styleId="Brojstranice" w:type="character">
    <w:name w:val="page number"/>
    <w:basedOn w:val="Zadanifontodlomka"/>
    <w:rsid w:val="00415C79"/>
  </w:style>
  <w:style w:customStyle="1" w:styleId="Odlomakpopisa1" w:type="paragraph">
    <w:name w:val="Odlomak popisa1"/>
    <w:basedOn w:val="Normal"/>
    <w:uiPriority w:val="99"/>
    <w:qFormat/>
    <w:rsid w:val="00415C79"/>
    <w:pPr>
      <w:ind w:left="720"/>
    </w:pPr>
    <w:rPr>
      <w:sz w:val="20"/>
      <w:szCs w:val="20"/>
      <w:lang w:eastAsia="en-US" w:val="en-AU"/>
    </w:rPr>
  </w:style>
  <w:style w:customStyle="1" w:styleId="listparagraphcxspprvi" w:type="paragraph">
    <w:name w:val="listparagraphcxspprvi"/>
    <w:basedOn w:val="Normal"/>
    <w:rsid w:val="00415C79"/>
    <w:pPr>
      <w:spacing w:after="100" w:afterAutospacing="1" w:before="100" w:beforeAutospacing="1"/>
    </w:pPr>
  </w:style>
  <w:style w:customStyle="1" w:styleId="listparagraphcxspsrednji" w:type="paragraph">
    <w:name w:val="listparagraphcxspsrednji"/>
    <w:basedOn w:val="Normal"/>
    <w:rsid w:val="00415C79"/>
    <w:pPr>
      <w:spacing w:after="100" w:afterAutospacing="1" w:before="100" w:beforeAutospacing="1"/>
    </w:pPr>
  </w:style>
  <w:style w:customStyle="1" w:styleId="listparagraphcxspposljednji" w:type="paragraph">
    <w:name w:val="listparagraphcxspposljednji"/>
    <w:basedOn w:val="Normal"/>
    <w:rsid w:val="00415C79"/>
    <w:pPr>
      <w:spacing w:after="100" w:afterAutospacing="1" w:before="100" w:beforeAutospacing="1"/>
    </w:pPr>
  </w:style>
  <w:style w:customStyle="1" w:styleId="Bezproreda1" w:type="paragraph">
    <w:name w:val="Bez proreda1"/>
    <w:link w:val="NoSpacingChar"/>
    <w:uiPriority w:val="99"/>
    <w:qFormat/>
    <w:rsid w:val="003D2A30"/>
    <w:rPr>
      <w:rFonts w:ascii="Calibri" w:cs="Calibri" w:eastAsia="Calibri" w:hAnsi="Calibri"/>
      <w:sz w:val="22"/>
      <w:szCs w:val="22"/>
      <w:lang w:eastAsia="en-US"/>
    </w:rPr>
  </w:style>
  <w:style w:styleId="Podnoje" w:type="paragraph">
    <w:name w:val="footer"/>
    <w:basedOn w:val="Normal"/>
    <w:link w:val="PodnojeChar"/>
    <w:rsid w:val="003D2A30"/>
    <w:pPr>
      <w:tabs>
        <w:tab w:pos="4536" w:val="center"/>
        <w:tab w:pos="9072" w:val="right"/>
      </w:tabs>
    </w:pPr>
  </w:style>
  <w:style w:styleId="StandardWeb" w:type="paragraph">
    <w:name w:val="Normal (Web)"/>
    <w:basedOn w:val="Normal"/>
    <w:rsid w:val="00F743E3"/>
    <w:pPr>
      <w:spacing w:after="100" w:afterAutospacing="1" w:before="100" w:beforeAutospacing="1"/>
    </w:pPr>
  </w:style>
  <w:style w:styleId="Reetkatablice" w:type="table">
    <w:name w:val="Table Grid"/>
    <w:basedOn w:val="Obinatablica"/>
    <w:rsid w:val="00F743E3"/>
    <w:tblPr>
      <w:tblInd w:type="dxa"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
  </w:style>
  <w:style w:customStyle="1" w:styleId="NoSpacingChar" w:type="character">
    <w:name w:val="No Spacing Char"/>
    <w:link w:val="Bezproreda1"/>
    <w:locked/>
    <w:rsid w:val="008E050A"/>
    <w:rPr>
      <w:rFonts w:ascii="Calibri" w:cs="Calibri" w:eastAsia="Calibri" w:hAnsi="Calibri"/>
      <w:sz w:val="22"/>
      <w:szCs w:val="22"/>
      <w:lang w:bidi="ar-SA" w:eastAsia="en-US" w:val="hr-HR"/>
    </w:rPr>
  </w:style>
  <w:style w:styleId="Uvuenotijeloteksta" w:type="paragraph">
    <w:name w:val="Body Text Indent"/>
    <w:basedOn w:val="Normal"/>
    <w:rsid w:val="00125B3D"/>
    <w:pPr>
      <w:ind w:left="720"/>
    </w:pPr>
  </w:style>
  <w:style w:styleId="Hiperveza" w:type="character">
    <w:name w:val="Hyperlink"/>
    <w:uiPriority w:val="99"/>
    <w:rsid w:val="007311D8"/>
    <w:rPr>
      <w:color w:val="0000FF"/>
      <w:u w:val="single"/>
    </w:rPr>
  </w:style>
  <w:style w:customStyle="1" w:styleId="t-9-8" w:type="paragraph">
    <w:name w:val="t-9-8"/>
    <w:basedOn w:val="Normal"/>
    <w:uiPriority w:val="99"/>
    <w:rsid w:val="007311D8"/>
    <w:pPr>
      <w:spacing w:after="100" w:afterAutospacing="1" w:before="100" w:beforeAutospacing="1"/>
    </w:pPr>
  </w:style>
  <w:style w:customStyle="1" w:styleId="Bodytext" w:type="character">
    <w:name w:val="Body text_"/>
    <w:rsid w:val="007311D8"/>
    <w:rPr>
      <w:rFonts w:ascii="Arial" w:cs="Arial" w:eastAsia="Arial" w:hAnsi="Arial"/>
      <w:b w:val="0"/>
      <w:bCs w:val="0"/>
      <w:i w:val="0"/>
      <w:iCs w:val="0"/>
      <w:smallCaps w:val="0"/>
      <w:strike w:val="0"/>
      <w:sz w:val="20"/>
      <w:szCs w:val="20"/>
      <w:u w:val="none"/>
    </w:rPr>
  </w:style>
  <w:style w:customStyle="1" w:styleId="Tijeloteksta1" w:type="character">
    <w:name w:val="Tijelo teksta1"/>
    <w:rsid w:val="007311D8"/>
    <w:rPr>
      <w:rFonts w:ascii="Arial" w:cs="Arial" w:eastAsia="Arial" w:hAnsi="Arial"/>
      <w:b w:val="0"/>
      <w:bCs w:val="0"/>
      <w:i w:val="0"/>
      <w:iCs w:val="0"/>
      <w:smallCaps w:val="0"/>
      <w:strike w:val="0"/>
      <w:color w:val="000000"/>
      <w:spacing w:val="0"/>
      <w:w w:val="100"/>
      <w:position w:val="0"/>
      <w:sz w:val="20"/>
      <w:szCs w:val="20"/>
      <w:u w:val="none"/>
      <w:lang w:val="hr-HR"/>
    </w:rPr>
  </w:style>
  <w:style w:customStyle="1" w:styleId="Heading3" w:type="character">
    <w:name w:val="Heading #3_"/>
    <w:link w:val="Heading30"/>
    <w:rsid w:val="007311D8"/>
    <w:rPr>
      <w:rFonts w:ascii="Arial" w:cs="Arial" w:eastAsia="Arial" w:hAnsi="Arial"/>
      <w:b/>
      <w:bCs/>
      <w:shd w:color="auto" w:fill="FFFFFF" w:val="clear"/>
    </w:rPr>
  </w:style>
  <w:style w:customStyle="1" w:styleId="BodytextBold" w:type="character">
    <w:name w:val="Body text + Bold"/>
    <w:rsid w:val="007311D8"/>
    <w:rPr>
      <w:rFonts w:ascii="Arial" w:cs="Arial" w:eastAsia="Arial" w:hAnsi="Arial"/>
      <w:b/>
      <w:bCs/>
      <w:i w:val="0"/>
      <w:iCs w:val="0"/>
      <w:smallCaps w:val="0"/>
      <w:strike w:val="0"/>
      <w:color w:val="000000"/>
      <w:spacing w:val="0"/>
      <w:w w:val="100"/>
      <w:position w:val="0"/>
      <w:sz w:val="20"/>
      <w:szCs w:val="20"/>
      <w:u w:val="none"/>
      <w:lang w:val="hr-HR"/>
    </w:rPr>
  </w:style>
  <w:style w:customStyle="1" w:styleId="Heading30" w:type="paragraph">
    <w:name w:val="Heading #3"/>
    <w:basedOn w:val="Normal"/>
    <w:link w:val="Heading3"/>
    <w:rsid w:val="007311D8"/>
    <w:pPr>
      <w:widowControl w:val="0"/>
      <w:shd w:color="auto" w:fill="FFFFFF" w:val="clear"/>
      <w:spacing w:line="466" w:lineRule="exact"/>
      <w:jc w:val="both"/>
      <w:outlineLvl w:val="2"/>
    </w:pPr>
    <w:rPr>
      <w:rFonts w:ascii="Arial" w:cs="Arial" w:eastAsia="Arial" w:hAnsi="Arial"/>
      <w:b/>
      <w:bCs/>
      <w:sz w:val="20"/>
      <w:szCs w:val="20"/>
    </w:rPr>
  </w:style>
  <w:style w:customStyle="1" w:styleId="Heading2" w:type="character">
    <w:name w:val="Heading #2_"/>
    <w:link w:val="Heading20"/>
    <w:rsid w:val="007311D8"/>
    <w:rPr>
      <w:rFonts w:ascii="Arial" w:cs="Arial" w:eastAsia="Arial" w:hAnsi="Arial"/>
      <w:b/>
      <w:bCs/>
      <w:shd w:color="auto" w:fill="FFFFFF" w:val="clear"/>
    </w:rPr>
  </w:style>
  <w:style w:customStyle="1" w:styleId="Heading20" w:type="paragraph">
    <w:name w:val="Heading #2"/>
    <w:basedOn w:val="Normal"/>
    <w:link w:val="Heading2"/>
    <w:rsid w:val="007311D8"/>
    <w:pPr>
      <w:widowControl w:val="0"/>
      <w:shd w:color="auto" w:fill="FFFFFF" w:val="clear"/>
      <w:spacing w:line="461" w:lineRule="exact"/>
      <w:outlineLvl w:val="1"/>
    </w:pPr>
    <w:rPr>
      <w:rFonts w:ascii="Arial" w:cs="Arial" w:eastAsia="Arial" w:hAnsi="Arial"/>
      <w:b/>
      <w:bCs/>
      <w:sz w:val="20"/>
      <w:szCs w:val="20"/>
    </w:rPr>
  </w:style>
  <w:style w:styleId="Tekstbalonia" w:type="paragraph">
    <w:name w:val="Balloon Text"/>
    <w:basedOn w:val="Normal"/>
    <w:link w:val="TekstbaloniaChar"/>
    <w:rsid w:val="007311D8"/>
    <w:rPr>
      <w:rFonts w:ascii="Tahoma" w:cs="Tahoma" w:hAnsi="Tahoma"/>
      <w:sz w:val="16"/>
      <w:szCs w:val="16"/>
      <w:lang w:eastAsia="en-US" w:val="en-AU"/>
    </w:rPr>
  </w:style>
  <w:style w:customStyle="1" w:styleId="TekstbaloniaChar" w:type="character">
    <w:name w:val="Tekst balončića Char"/>
    <w:link w:val="Tekstbalonia"/>
    <w:rsid w:val="007311D8"/>
    <w:rPr>
      <w:rFonts w:ascii="Tahoma" w:cs="Tahoma" w:hAnsi="Tahoma"/>
      <w:sz w:val="16"/>
      <w:szCs w:val="16"/>
      <w:lang w:eastAsia="en-US" w:val="en-AU"/>
    </w:rPr>
  </w:style>
  <w:style w:customStyle="1" w:styleId="ZaglavljeChar" w:type="character">
    <w:name w:val="Zaglavlje Char"/>
    <w:link w:val="Zaglavlje"/>
    <w:uiPriority w:val="99"/>
    <w:locked/>
    <w:rsid w:val="007311D8"/>
    <w:rPr>
      <w:sz w:val="24"/>
      <w:szCs w:val="24"/>
    </w:rPr>
  </w:style>
  <w:style w:customStyle="1" w:styleId="PodnojeChar" w:type="character">
    <w:name w:val="Podnožje Char"/>
    <w:link w:val="Podnoje"/>
    <w:locked/>
    <w:rsid w:val="007311D8"/>
    <w:rPr>
      <w:sz w:val="24"/>
      <w:szCs w:val="24"/>
    </w:rPr>
  </w:style>
  <w:style w:customStyle="1" w:styleId="Default" w:type="paragraph">
    <w:name w:val="Default"/>
    <w:rsid w:val="007311D8"/>
    <w:pPr>
      <w:autoSpaceDE w:val="0"/>
      <w:autoSpaceDN w:val="0"/>
      <w:adjustRightInd w:val="0"/>
    </w:pPr>
    <w:rPr>
      <w:rFonts w:ascii="Verdana" w:cs="Verdana" w:hAnsi="Verdana"/>
      <w:color w:val="000000"/>
      <w:sz w:val="24"/>
      <w:szCs w:val="24"/>
    </w:rPr>
  </w:style>
  <w:style w:styleId="Referencakomentara" w:type="character">
    <w:name w:val="annotation reference"/>
    <w:rsid w:val="007311D8"/>
    <w:rPr>
      <w:rFonts w:cs="Times New Roman"/>
      <w:sz w:val="16"/>
      <w:szCs w:val="16"/>
    </w:rPr>
  </w:style>
  <w:style w:styleId="Tekstkomentara" w:type="paragraph">
    <w:name w:val="annotation text"/>
    <w:basedOn w:val="Normal"/>
    <w:link w:val="TekstkomentaraChar"/>
    <w:rsid w:val="007311D8"/>
    <w:pPr>
      <w:spacing w:after="200"/>
    </w:pPr>
    <w:rPr>
      <w:rFonts w:ascii="Calibri" w:hAnsi="Calibri"/>
      <w:sz w:val="20"/>
      <w:szCs w:val="20"/>
    </w:rPr>
  </w:style>
  <w:style w:customStyle="1" w:styleId="TekstkomentaraChar" w:type="character">
    <w:name w:val="Tekst komentara Char"/>
    <w:link w:val="Tekstkomentara"/>
    <w:rsid w:val="007311D8"/>
    <w:rPr>
      <w:rFonts w:ascii="Calibri" w:hAnsi="Calibri"/>
    </w:rPr>
  </w:style>
  <w:style w:styleId="Predmetkomentara" w:type="paragraph">
    <w:name w:val="annotation subject"/>
    <w:basedOn w:val="Tekstkomentara"/>
    <w:next w:val="Tekstkomentara"/>
    <w:link w:val="PredmetkomentaraChar"/>
    <w:rsid w:val="007311D8"/>
    <w:rPr>
      <w:b/>
      <w:bCs/>
    </w:rPr>
  </w:style>
  <w:style w:customStyle="1" w:styleId="PredmetkomentaraChar" w:type="character">
    <w:name w:val="Predmet komentara Char"/>
    <w:link w:val="Predmetkomentara"/>
    <w:rsid w:val="007311D8"/>
    <w:rPr>
      <w:rFonts w:ascii="Calibri" w:hAnsi="Calibri"/>
      <w:b/>
      <w:bCs/>
    </w:rPr>
  </w:style>
  <w:style w:customStyle="1" w:styleId="tabletextfield" w:type="character">
    <w:name w:val="table_text_field"/>
    <w:rsid w:val="007311D8"/>
    <w:rPr>
      <w:rFonts w:cs="Times New Roman"/>
    </w:rPr>
  </w:style>
  <w:style w:styleId="SlijeenaHiperveza" w:type="character">
    <w:name w:val="FollowedHyperlink"/>
    <w:rsid w:val="007311D8"/>
    <w:rPr>
      <w:rFonts w:cs="Times New Roman"/>
      <w:color w:val="800080"/>
      <w:u w:val="single"/>
    </w:rPr>
  </w:style>
  <w:style w:customStyle="1" w:styleId="xl65" w:type="paragraph">
    <w:name w:val="xl65"/>
    <w:basedOn w:val="Normal"/>
    <w:rsid w:val="007311D8"/>
    <w:pPr>
      <w:pBdr>
        <w:top w:color="auto" w:space="0" w:sz="8" w:val="single"/>
        <w:left w:color="auto" w:space="0" w:sz="8" w:val="single"/>
        <w:bottom w:color="auto" w:space="0" w:sz="4" w:val="single"/>
        <w:right w:color="auto" w:space="0" w:sz="4" w:val="single"/>
      </w:pBdr>
      <w:shd w:color="000000" w:fill="8DB4E2" w:val="clear"/>
      <w:spacing w:after="100" w:afterAutospacing="1" w:before="100" w:beforeAutospacing="1"/>
    </w:pPr>
    <w:rPr>
      <w:sz w:val="18"/>
      <w:szCs w:val="18"/>
    </w:rPr>
  </w:style>
  <w:style w:customStyle="1" w:styleId="xl66" w:type="paragraph">
    <w:name w:val="xl66"/>
    <w:basedOn w:val="Normal"/>
    <w:rsid w:val="007311D8"/>
    <w:pPr>
      <w:pBdr>
        <w:top w:color="auto" w:space="0" w:sz="8" w:val="single"/>
        <w:left w:color="auto" w:space="0" w:sz="4" w:val="single"/>
        <w:bottom w:color="auto" w:space="0" w:sz="4" w:val="single"/>
        <w:right w:color="auto" w:space="0" w:sz="4" w:val="single"/>
      </w:pBdr>
      <w:shd w:color="000000" w:fill="8DB4E2" w:val="clear"/>
      <w:spacing w:after="100" w:afterAutospacing="1" w:before="100" w:beforeAutospacing="1"/>
    </w:pPr>
    <w:rPr>
      <w:sz w:val="18"/>
      <w:szCs w:val="18"/>
    </w:rPr>
  </w:style>
  <w:style w:customStyle="1" w:styleId="xl67" w:type="paragraph">
    <w:name w:val="xl67"/>
    <w:basedOn w:val="Normal"/>
    <w:rsid w:val="007311D8"/>
    <w:pPr>
      <w:pBdr>
        <w:top w:color="auto" w:space="0" w:sz="8" w:val="single"/>
        <w:left w:color="auto" w:space="0" w:sz="4" w:val="single"/>
        <w:bottom w:color="auto" w:space="0" w:sz="4" w:val="single"/>
        <w:right w:color="auto" w:space="0" w:sz="4" w:val="single"/>
      </w:pBdr>
      <w:shd w:color="000000" w:fill="8DB4E2" w:val="clear"/>
      <w:spacing w:after="100" w:afterAutospacing="1" w:before="100" w:beforeAutospacing="1"/>
      <w:jc w:val="center"/>
    </w:pPr>
    <w:rPr>
      <w:sz w:val="18"/>
      <w:szCs w:val="18"/>
    </w:rPr>
  </w:style>
  <w:style w:customStyle="1" w:styleId="xl68" w:type="paragraph">
    <w:name w:val="xl68"/>
    <w:basedOn w:val="Normal"/>
    <w:rsid w:val="007311D8"/>
    <w:pPr>
      <w:pBdr>
        <w:top w:color="auto" w:space="0" w:sz="4" w:val="single"/>
        <w:left w:color="auto" w:space="0" w:sz="8" w:val="single"/>
        <w:bottom w:color="auto" w:space="0" w:sz="4" w:val="single"/>
        <w:right w:color="auto" w:space="0" w:sz="4" w:val="single"/>
      </w:pBdr>
      <w:spacing w:after="100" w:afterAutospacing="1" w:before="100" w:beforeAutospacing="1"/>
    </w:pPr>
    <w:rPr>
      <w:sz w:val="18"/>
      <w:szCs w:val="18"/>
    </w:rPr>
  </w:style>
  <w:style w:customStyle="1" w:styleId="xl69" w:type="paragraph">
    <w:name w:val="xl69"/>
    <w:basedOn w:val="Normal"/>
    <w:rsid w:val="007311D8"/>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rPr>
  </w:style>
  <w:style w:customStyle="1" w:styleId="xl70" w:type="paragraph">
    <w:name w:val="xl70"/>
    <w:basedOn w:val="Normal"/>
    <w:rsid w:val="007311D8"/>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rPr>
  </w:style>
  <w:style w:customStyle="1" w:styleId="xl71" w:type="paragraph">
    <w:name w:val="xl71"/>
    <w:basedOn w:val="Normal"/>
    <w:rsid w:val="007311D8"/>
    <w:pPr>
      <w:pBdr>
        <w:top w:color="auto" w:space="0" w:sz="4" w:val="single"/>
        <w:left w:color="auto" w:space="0" w:sz="8" w:val="single"/>
        <w:bottom w:color="auto" w:space="0" w:sz="8" w:val="single"/>
        <w:right w:color="auto" w:space="0" w:sz="4" w:val="single"/>
      </w:pBdr>
      <w:spacing w:after="100" w:afterAutospacing="1" w:before="100" w:beforeAutospacing="1"/>
    </w:pPr>
    <w:rPr>
      <w:sz w:val="18"/>
      <w:szCs w:val="18"/>
    </w:rPr>
  </w:style>
  <w:style w:customStyle="1" w:styleId="xl72" w:type="paragraph">
    <w:name w:val="xl72"/>
    <w:basedOn w:val="Normal"/>
    <w:rsid w:val="007311D8"/>
    <w:pPr>
      <w:pBdr>
        <w:top w:color="auto" w:space="0" w:sz="4" w:val="single"/>
        <w:left w:color="auto" w:space="0" w:sz="4" w:val="single"/>
        <w:bottom w:color="auto" w:space="0" w:sz="8" w:val="single"/>
        <w:right w:color="auto" w:space="0" w:sz="4" w:val="single"/>
      </w:pBdr>
      <w:spacing w:after="100" w:afterAutospacing="1" w:before="100" w:beforeAutospacing="1"/>
    </w:pPr>
    <w:rPr>
      <w:sz w:val="18"/>
      <w:szCs w:val="18"/>
    </w:rPr>
  </w:style>
  <w:style w:customStyle="1" w:styleId="xl73" w:type="paragraph">
    <w:name w:val="xl73"/>
    <w:basedOn w:val="Normal"/>
    <w:rsid w:val="007311D8"/>
    <w:pPr>
      <w:pBdr>
        <w:top w:color="auto" w:space="0" w:sz="4" w:val="single"/>
        <w:left w:color="auto" w:space="0" w:sz="4" w:val="single"/>
        <w:bottom w:color="auto" w:space="0" w:sz="8" w:val="single"/>
        <w:right w:color="auto" w:space="0" w:sz="4" w:val="single"/>
      </w:pBdr>
      <w:spacing w:after="100" w:afterAutospacing="1" w:before="100" w:beforeAutospacing="1"/>
      <w:jc w:val="center"/>
    </w:pPr>
    <w:rPr>
      <w:sz w:val="18"/>
      <w:szCs w:val="18"/>
    </w:rPr>
  </w:style>
  <w:style w:customStyle="1" w:styleId="xl74" w:type="paragraph">
    <w:name w:val="xl74"/>
    <w:basedOn w:val="Normal"/>
    <w:rsid w:val="007311D8"/>
    <w:pPr>
      <w:pBdr>
        <w:top w:color="auto" w:space="0" w:sz="8" w:val="single"/>
        <w:left w:color="auto" w:space="0" w:sz="4" w:val="single"/>
        <w:bottom w:color="auto" w:space="0" w:sz="4" w:val="single"/>
        <w:right w:color="auto" w:space="0" w:sz="4" w:val="single"/>
      </w:pBdr>
      <w:shd w:color="000000" w:fill="8DB4E2" w:val="clear"/>
      <w:spacing w:after="100" w:afterAutospacing="1" w:before="100" w:beforeAutospacing="1"/>
    </w:pPr>
    <w:rPr>
      <w:sz w:val="18"/>
      <w:szCs w:val="18"/>
    </w:rPr>
  </w:style>
  <w:style w:customStyle="1" w:styleId="xl75" w:type="paragraph">
    <w:name w:val="xl75"/>
    <w:basedOn w:val="Normal"/>
    <w:rsid w:val="007311D8"/>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rPr>
  </w:style>
  <w:style w:customStyle="1" w:styleId="xl76" w:type="paragraph">
    <w:name w:val="xl76"/>
    <w:basedOn w:val="Normal"/>
    <w:rsid w:val="007311D8"/>
    <w:pPr>
      <w:pBdr>
        <w:top w:color="auto" w:space="0" w:sz="4" w:val="single"/>
        <w:left w:color="auto" w:space="0" w:sz="4" w:val="single"/>
        <w:bottom w:color="auto" w:space="0" w:sz="8" w:val="single"/>
        <w:right w:color="auto" w:space="0" w:sz="4" w:val="single"/>
      </w:pBdr>
      <w:spacing w:after="100" w:afterAutospacing="1" w:before="100" w:beforeAutospacing="1"/>
    </w:pPr>
    <w:rPr>
      <w:sz w:val="18"/>
      <w:szCs w:val="18"/>
    </w:rPr>
  </w:style>
  <w:style w:customStyle="1" w:styleId="xl77" w:type="paragraph">
    <w:name w:val="xl77"/>
    <w:basedOn w:val="Normal"/>
    <w:rsid w:val="007311D8"/>
    <w:pPr>
      <w:spacing w:after="100" w:afterAutospacing="1" w:before="100" w:beforeAutospacing="1"/>
    </w:pPr>
  </w:style>
  <w:style w:customStyle="1" w:styleId="xl78" w:type="paragraph">
    <w:name w:val="xl78"/>
    <w:basedOn w:val="Normal"/>
    <w:rsid w:val="007311D8"/>
    <w:pPr>
      <w:pBdr>
        <w:top w:color="auto" w:space="0" w:sz="8" w:val="single"/>
        <w:left w:color="auto" w:space="0" w:sz="4" w:val="single"/>
        <w:bottom w:color="auto" w:space="0" w:sz="4" w:val="single"/>
        <w:right w:color="auto" w:space="0" w:sz="8" w:val="single"/>
      </w:pBdr>
      <w:shd w:color="000000" w:fill="8DB4E2" w:val="clear"/>
      <w:spacing w:after="100" w:afterAutospacing="1" w:before="100" w:beforeAutospacing="1"/>
    </w:pPr>
    <w:rPr>
      <w:sz w:val="18"/>
      <w:szCs w:val="18"/>
    </w:rPr>
  </w:style>
  <w:style w:customStyle="1" w:styleId="xl79" w:type="paragraph">
    <w:name w:val="xl79"/>
    <w:basedOn w:val="Normal"/>
    <w:rsid w:val="007311D8"/>
    <w:pPr>
      <w:pBdr>
        <w:top w:color="auto" w:space="0" w:sz="4" w:val="single"/>
        <w:left w:color="auto" w:space="0" w:sz="4" w:val="single"/>
        <w:bottom w:color="auto" w:space="0" w:sz="4" w:val="single"/>
        <w:right w:color="auto" w:space="0" w:sz="8" w:val="single"/>
      </w:pBdr>
      <w:spacing w:after="100" w:afterAutospacing="1" w:before="100" w:beforeAutospacing="1"/>
    </w:pPr>
    <w:rPr>
      <w:sz w:val="18"/>
      <w:szCs w:val="18"/>
    </w:rPr>
  </w:style>
  <w:style w:customStyle="1" w:styleId="xl80" w:type="paragraph">
    <w:name w:val="xl80"/>
    <w:basedOn w:val="Normal"/>
    <w:rsid w:val="007311D8"/>
    <w:pPr>
      <w:pBdr>
        <w:top w:color="auto" w:space="0" w:sz="4" w:val="single"/>
        <w:left w:color="auto" w:space="0" w:sz="4" w:val="single"/>
        <w:bottom w:color="auto" w:space="0" w:sz="8" w:val="single"/>
        <w:right w:color="auto" w:space="0" w:sz="8" w:val="single"/>
      </w:pBdr>
      <w:spacing w:after="100" w:afterAutospacing="1" w:before="100" w:beforeAutospacing="1"/>
    </w:pPr>
    <w:rPr>
      <w:sz w:val="18"/>
      <w:szCs w:val="18"/>
    </w:rPr>
  </w:style>
  <w:style w:customStyle="1" w:styleId="Svijetlipopis-Isticanje11" w:type="table">
    <w:name w:val="Svijetli popis - Isticanje 11"/>
    <w:rsid w:val="007311D8"/>
    <w:rPr>
      <w:rFonts w:ascii="Calibri" w:hAnsi="Calibri"/>
    </w:rPr>
    <w:tblPr>
      <w:tblStyleRowBandSize w:val="1"/>
      <w:tblStyleColBandSize w:val="1"/>
      <w:tblInd w:type="dxa" w:w="0"/>
      <w:tblBorders>
        <w:top w:color="4F81BD" w:space="0" w:sz="8" w:val="single"/>
        <w:left w:color="4F81BD" w:space="0" w:sz="8" w:val="single"/>
        <w:bottom w:color="4F81BD" w:space="0" w:sz="8" w:val="single"/>
        <w:right w:color="4F81BD" w:space="0" w:sz="8" w:val="single"/>
      </w:tblBorders>
      <w:tblCellMar>
        <w:top w:type="dxa" w:w="0"/>
        <w:left w:type="dxa" w:w="108"/>
        <w:bottom w:type="dxa" w:w="0"/>
        <w:right w:type="dxa" w:w="108"/>
      </w:tblCellMar>
    </w:tblPr>
  </w:style>
  <w:style w:customStyle="1" w:styleId="Revizija1" w:type="paragraph">
    <w:name w:val="Revizija1"/>
    <w:hidden/>
    <w:semiHidden/>
    <w:rsid w:val="007311D8"/>
    <w:rPr>
      <w:rFonts w:ascii="Calibri" w:hAnsi="Calibri"/>
      <w:sz w:val="22"/>
      <w:szCs w:val="22"/>
    </w:rPr>
  </w:style>
  <w:style w:customStyle="1" w:styleId="xl63" w:type="paragraph">
    <w:name w:val="xl63"/>
    <w:basedOn w:val="Normal"/>
    <w:rsid w:val="007311D8"/>
    <w:pPr>
      <w:pBdr>
        <w:top w:color="333399" w:space="0" w:sz="8" w:val="single"/>
        <w:left w:color="333399" w:space="0" w:sz="8" w:val="single"/>
        <w:bottom w:color="333399" w:space="0" w:sz="8" w:val="single"/>
      </w:pBdr>
      <w:spacing w:after="100" w:afterAutospacing="1" w:before="100" w:beforeAutospacing="1"/>
      <w:jc w:val="both"/>
      <w:textAlignment w:val="center"/>
    </w:pPr>
    <w:rPr>
      <w:rFonts w:ascii="Candara" w:hAnsi="Candara"/>
      <w:b/>
      <w:bCs/>
      <w:sz w:val="18"/>
      <w:szCs w:val="18"/>
    </w:rPr>
  </w:style>
  <w:style w:customStyle="1" w:styleId="xl64" w:type="paragraph">
    <w:name w:val="xl64"/>
    <w:basedOn w:val="Normal"/>
    <w:rsid w:val="007311D8"/>
    <w:pPr>
      <w:pBdr>
        <w:top w:color="333399" w:space="0" w:sz="8" w:val="single"/>
        <w:bottom w:color="333399" w:space="0" w:sz="8" w:val="single"/>
      </w:pBdr>
      <w:spacing w:after="100" w:afterAutospacing="1" w:before="100" w:beforeAutospacing="1"/>
      <w:jc w:val="both"/>
      <w:textAlignment w:val="center"/>
    </w:pPr>
    <w:rPr>
      <w:rFonts w:ascii="Candara" w:hAnsi="Candara"/>
      <w:sz w:val="18"/>
      <w:szCs w:val="18"/>
    </w:rPr>
  </w:style>
  <w:style w:styleId="Odlomakpopisa" w:type="paragraph">
    <w:name w:val="List Paragraph"/>
    <w:basedOn w:val="Normal"/>
    <w:uiPriority w:val="34"/>
    <w:qFormat/>
    <w:rsid w:val="007311D8"/>
    <w:pPr>
      <w:ind w:left="720"/>
    </w:pPr>
    <w:rPr>
      <w:sz w:val="20"/>
      <w:szCs w:val="20"/>
      <w:lang w:eastAsia="en-US" w:val="en-AU"/>
    </w:rPr>
  </w:style>
  <w:style w:styleId="Tekstrezerviranogmjesta" w:type="character">
    <w:name w:val="Placeholder Text"/>
    <w:basedOn w:val="Zadanifontodlomka"/>
    <w:uiPriority w:val="99"/>
    <w:semiHidden/>
    <w:rsid w:val="009E750C"/>
    <w:rPr>
      <w:color w:val="808080"/>
      <w:bdr w:color="auto" w:space="0" w:sz="0" w:val="none"/>
      <w:shd w:color="auto" w:fill="auto" w:val="clear"/>
    </w:rPr>
  </w:style>
  <w:style w:customStyle="1" w:styleId="eSPISCCParagraphDefaultFont" w:type="character">
    <w:name w:val="eSPIS_CC_Paragraph Default Font"/>
    <w:basedOn w:val="Zadanifontodlomka"/>
    <w:rsid w:val="009E75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750C"/>
    <w:rPr>
      <w:bdr w:color="auto" w:space="0" w:sz="0" w:val="none"/>
      <w:shd w:color="auto" w:fill="FFFFCC" w:val="clear"/>
      <w:lang w:val="hr-HR"/>
    </w:rPr>
  </w:style>
  <w:style w:customStyle="1" w:styleId="PozadinaSvijetloCrvena" w:type="character">
    <w:name w:val="Pozadina_SvijetloCrvena"/>
    <w:basedOn w:val="eSPISCCParagraphDefaultFont"/>
    <w:rsid w:val="009E75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75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23424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2015.</izvorni_sadrzaj>
    <derivirana_varijabla naziv="DomainObject.DatumDonosenjaOdluke_1">19.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Stpn-183/2014-62</izvorni_sadrzaj>
    <derivirana_varijabla naziv="DomainObject.Oznaka_1">Stpn-183/2014-62</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izvorni_sadrzaj>
    <derivirana_varijabla naziv="DomainObject.Predmet.Broj_1">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2014.</izvorni_sadrzaj>
    <derivirana_varijabla naziv="DomainObject.Predmet.DatumOsnivanja_1">16.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srpnja 2014.</izvorni_sadrzaj>
    <derivirana_varijabla naziv="DomainObject.Predmet.DatumRjesavanja_1">17. srpnja 2014.</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Stpn-183/2014</izvorni_sadrzaj>
    <derivirana_varijabla naziv="DomainObject.Predmet.OznakaBroj_1">Stpn-183/2014</derivirana_varijabla>
  </DomainObject.Predmet.OznakaBroj>
  <DomainObject.Predmet.OznakaBrojOptuznogAkta>
    <izvorni_sadrzaj/>
    <derivirana_varijabla naziv="DomainObject.Predmet.OznakaBrojOptuznogAkta_1"/>
  </DomainObject.Predmet.OznakaBrojOptuznogAkta>
  <DomainObject.Predmet.PredmetRijesio.Ime>
    <izvorni_sadrzaj>Nevenka</izvorni_sadrzaj>
    <derivirana_varijabla naziv="DomainObject.Predmet.PredmetRijesio.Ime_1">Nevenka</derivirana_varijabla>
  </DomainObject.Predmet.PredmetRijesio.Ime>
  <DomainObject.Predmet.PredmetRijesio.Oib>
    <izvorni_sadrzaj>62058550147</izvorni_sadrzaj>
    <derivirana_varijabla naziv="DomainObject.Predmet.PredmetRijesio.Oib_1">62058550147</derivirana_varijabla>
  </DomainObject.Predmet.PredmetRijesio.Oib>
  <DomainObject.Predmet.PredmetRijesio.Prezime>
    <izvorni_sadrzaj>Siladi Rstić</izvorni_sadrzaj>
    <derivirana_varijabla naziv="DomainObject.Predmet.PredmetRijesio.Prezime_1">Siladi Rstić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EPH media d.o.o. zastupanog po punomoćniku Josip Madirazza</izvorni_sadrzaj>
    <derivirana_varijabla naziv="DomainObject.Predmet.ProtustrankaFormated_1">  EPH media d.o.o. zastupanog po punomoćniku Josip Madirazza</derivirana_varijabla>
  </DomainObject.Predmet.ProtustrankaFormated>
  <DomainObject.Predmet.ProtustrankaFormatedOIB>
    <izvorni_sadrzaj>  EPH media d.o.o., OIB 07813238579 zastupanog po punomoćniku Josip Madirazza</izvorni_sadrzaj>
    <derivirana_varijabla naziv="DomainObject.Predmet.ProtustrankaFormatedOIB_1">  EPH media d.o.o., OIB 07813238579 zastupanog po punomoćniku Josip Madirazza</derivirana_varijabla>
  </DomainObject.Predmet.ProtustrankaFormatedOIB>
  <DomainObject.Predmet.ProtustrankaFormatedWithAdress>
    <izvorni_sadrzaj> EPH media d.o.o., Koranska 2, 10000 Zagreb zastupanog po punomoćniku Josip Madirazza</izvorni_sadrzaj>
    <derivirana_varijabla naziv="DomainObject.Predmet.ProtustrankaFormatedWithAdress_1"> EPH media d.o.o., Koranska 2, 10000 Zagreb zastupanog po punomoćniku Josip Madirazza</derivirana_varijabla>
  </DomainObject.Predmet.ProtustrankaFormatedWithAdress>
  <DomainObject.Predmet.ProtustrankaFormatedWithAdressOIB>
    <izvorni_sadrzaj> EPH media d.o.o., OIB 07813238579, Koranska 2, 10000 Zagreb zastupanog po punomoćniku Josip Madirazza</izvorni_sadrzaj>
    <derivirana_varijabla naziv="DomainObject.Predmet.ProtustrankaFormatedWithAdressOIB_1"> EPH media d.o.o., OIB 07813238579, Koranska 2, 10000 Zagreb zastupanog po punomoćniku Josip Madirazza</derivirana_varijabla>
  </DomainObject.Predmet.ProtustrankaFormatedWithAdressOIB>
  <DomainObject.Predmet.ProtustrankaWithAdress>
    <izvorni_sadrzaj>EPH media d.o.o. Koranska 2, 10000 Zagreb</izvorni_sadrzaj>
    <derivirana_varijabla naziv="DomainObject.Predmet.ProtustrankaWithAdress_1">EPH media d.o.o. Koranska 2, 10000 Zagreb</derivirana_varijabla>
  </DomainObject.Predmet.ProtustrankaWithAdress>
  <DomainObject.Predmet.ProtustrankaWithAdressOIB>
    <izvorni_sadrzaj>EPH media d.o.o., OIB 07813238579, Koranska 2, 10000 Zagreb</izvorni_sadrzaj>
    <derivirana_varijabla naziv="DomainObject.Predmet.ProtustrankaWithAdressOIB_1">EPH media d.o.o., OIB 07813238579, Koranska 2, 10000 Zagreb</derivirana_varijabla>
  </DomainObject.Predmet.ProtustrankaWithAdressOIB>
  <DomainObject.Predmet.ProtustrankaNazivFormated>
    <izvorni_sadrzaj>EPH media d.o.o.</izvorni_sadrzaj>
    <derivirana_varijabla naziv="DomainObject.Predmet.ProtustrankaNazivFormated_1">EPH media d.o.o.</derivirana_varijabla>
  </DomainObject.Predmet.ProtustrankaNazivFormated>
  <DomainObject.Predmet.ProtustrankaNazivFormatedOIB>
    <izvorni_sadrzaj>EPH media d.o.o., OIB 07813238579</izvorni_sadrzaj>
    <derivirana_varijabla naziv="DomainObject.Predmet.ProtustrankaNazivFormatedOIB_1">EPH media d.o.o., OIB 07813238579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EPH media d.o.o.</izvorni_sadrzaj>
    <derivirana_varijabla naziv="DomainObject.Predmet.StrankaFormated_1">  EPH media d.o.o.</derivirana_varijabla>
  </DomainObject.Predmet.StrankaFormated>
  <DomainObject.Predmet.StrankaFormatedOIB>
    <izvorni_sadrzaj>  EPH media d.o.o., OIB 07813238579</izvorni_sadrzaj>
    <derivirana_varijabla naziv="DomainObject.Predmet.StrankaFormatedOIB_1">  EPH media d.o.o., OIB 07813238579</derivirana_varijabla>
  </DomainObject.Predmet.StrankaFormatedOIB>
  <DomainObject.Predmet.StrankaFormatedWithAdress>
    <izvorni_sadrzaj> EPH media d.o.o., Koranska 2, 10000 Zagreb</izvorni_sadrzaj>
    <derivirana_varijabla naziv="DomainObject.Predmet.StrankaFormatedWithAdress_1"> EPH media d.o.o., Koranska 2, 10000 Zagreb</derivirana_varijabla>
  </DomainObject.Predmet.StrankaFormatedWithAdress>
  <DomainObject.Predmet.StrankaFormatedWithAdressOIB>
    <izvorni_sadrzaj> EPH media d.o.o., OIB 07813238579, Koranska 2, 10000 Zagreb</izvorni_sadrzaj>
    <derivirana_varijabla naziv="DomainObject.Predmet.StrankaFormatedWithAdressOIB_1"> EPH media d.o.o., OIB 07813238579, Koranska 2, 10000 Zagreb</derivirana_varijabla>
  </DomainObject.Predmet.StrankaFormatedWithAdressOIB>
  <DomainObject.Predmet.StrankaWithAdress>
    <izvorni_sadrzaj>EPH media d.o.o. Koranska 2,10000 Zagreb</izvorni_sadrzaj>
    <derivirana_varijabla naziv="DomainObject.Predmet.StrankaWithAdress_1">EPH media d.o.o. Koranska 2,10000 Zagreb</derivirana_varijabla>
  </DomainObject.Predmet.StrankaWithAdress>
  <DomainObject.Predmet.StrankaWithAdressOIB>
    <izvorni_sadrzaj>EPH media d.o.o., OIB 07813238579, Koranska 2,10000 Zagreb</izvorni_sadrzaj>
    <derivirana_varijabla naziv="DomainObject.Predmet.StrankaWithAdressOIB_1">EPH media d.o.o., OIB 07813238579, Koranska 2,10000 Zagreb</derivirana_varijabla>
  </DomainObject.Predmet.StrankaWithAdressOIB>
  <DomainObject.Predmet.StrankaNazivFormated>
    <izvorni_sadrzaj>EPH media d.o.o.</izvorni_sadrzaj>
    <derivirana_varijabla naziv="DomainObject.Predmet.StrankaNazivFormated_1">EPH media d.o.o.</derivirana_varijabla>
  </DomainObject.Predmet.StrankaNazivFormated>
  <DomainObject.Predmet.StrankaNazivFormatedOIB>
    <izvorni_sadrzaj>EPH media d.o.o., OIB 07813238579</izvorni_sadrzaj>
    <derivirana_varijabla naziv="DomainObject.Predmet.StrankaNazivFormatedOIB_1">EPH media d.o.o., OIB 07813238579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EPH media d.o.o.</item>
    </izvorni_sadrzaj>
    <derivirana_varijabla naziv="DomainObject.Predmet.StrankaListFormated_1">
      <item>EPH media d.o.o.</item>
    </derivirana_varijabla>
  </DomainObject.Predmet.StrankaListFormated>
  <DomainObject.Predmet.StrankaListFormatedOIB>
    <izvorni_sadrzaj>
      <item>EPH media d.o.o., OIB 07813238579</item>
    </izvorni_sadrzaj>
    <derivirana_varijabla naziv="DomainObject.Predmet.StrankaListFormatedOIB_1">
      <item>EPH media d.o.o., OIB 07813238579</item>
    </derivirana_varijabla>
  </DomainObject.Predmet.StrankaListFormatedOIB>
  <DomainObject.Predmet.StrankaListFormatedWithAdress>
    <izvorni_sadrzaj>
      <item>EPH media d.o.o., Koranska 2, 10000 Zagreb</item>
    </izvorni_sadrzaj>
    <derivirana_varijabla naziv="DomainObject.Predmet.StrankaListFormatedWithAdress_1">
      <item>EPH media d.o.o., Koranska 2, 10000 Zagreb</item>
    </derivirana_varijabla>
  </DomainObject.Predmet.StrankaListFormatedWithAdress>
  <DomainObject.Predmet.StrankaListFormatedWithAdressOIB>
    <izvorni_sadrzaj>
      <item>EPH media d.o.o., OIB 07813238579, Koranska 2, 10000 Zagreb</item>
    </izvorni_sadrzaj>
    <derivirana_varijabla naziv="DomainObject.Predmet.StrankaListFormatedWithAdressOIB_1">
      <item>EPH media d.o.o., OIB 07813238579, Koranska 2, 10000 Zagreb</item>
    </derivirana_varijabla>
  </DomainObject.Predmet.StrankaListFormatedWithAdressOIB>
  <DomainObject.Predmet.StrankaListNazivFormated>
    <izvorni_sadrzaj>
      <item>EPH media d.o.o.</item>
    </izvorni_sadrzaj>
    <derivirana_varijabla naziv="DomainObject.Predmet.StrankaListNazivFormated_1">
      <item>EPH media d.o.o.</item>
    </derivirana_varijabla>
  </DomainObject.Predmet.StrankaListNazivFormated>
  <DomainObject.Predmet.StrankaListNazivFormatedOIB>
    <izvorni_sadrzaj>
      <item>EPH media d.o.o., OIB 07813238579</item>
    </izvorni_sadrzaj>
    <derivirana_varijabla naziv="DomainObject.Predmet.StrankaListNazivFormatedOIB_1">
      <item>EPH media d.o.o., OIB 07813238579</item>
    </derivirana_varijabla>
  </DomainObject.Predmet.StrankaListNazivFormatedOIB>
  <DomainObject.Predmet.ProtuStrankaListFormated>
    <izvorni_sadrzaj>
      <item>EPH media d.o.o. zastupanog po punomoćniku Josip Madirazza</item>
    </izvorni_sadrzaj>
    <derivirana_varijabla naziv="DomainObject.Predmet.ProtuStrankaListFormated_1">
      <item>EPH media d.o.o. zastupanog po punomoćniku Josip Madirazza</item>
    </derivirana_varijabla>
  </DomainObject.Predmet.ProtuStrankaListFormated>
  <DomainObject.Predmet.ProtuStrankaListFormatedOIB>
    <izvorni_sadrzaj>
      <item>EPH media d.o.o., OIB 07813238579 zastupanog po punomoćniku Josip Madirazza</item>
    </izvorni_sadrzaj>
    <derivirana_varijabla naziv="DomainObject.Predmet.ProtuStrankaListFormatedOIB_1">
      <item>EPH media d.o.o., OIB 07813238579 zastupanog po punomoćniku Josip Madirazza</item>
    </derivirana_varijabla>
  </DomainObject.Predmet.ProtuStrankaListFormatedOIB>
  <DomainObject.Predmet.ProtuStrankaListFormatedWithAdress>
    <izvorni_sadrzaj>
      <item>EPH media d.o.o., Koranska 2, 10000 Zagreb zastupanog po punomoćniku Josip Madirazza</item>
    </izvorni_sadrzaj>
    <derivirana_varijabla naziv="DomainObject.Predmet.ProtuStrankaListFormatedWithAdress_1">
      <item>EPH media d.o.o., Koranska 2, 10000 Zagreb zastupanog po punomoćniku Josip Madirazza</item>
    </derivirana_varijabla>
  </DomainObject.Predmet.ProtuStrankaListFormatedWithAdress>
  <DomainObject.Predmet.ProtuStrankaListFormatedWithAdressOIB>
    <izvorni_sadrzaj>
      <item>EPH media d.o.o., OIB 07813238579, Koranska 2, 10000 Zagreb zastupanog po punomoćniku Josip Madirazza</item>
    </izvorni_sadrzaj>
    <derivirana_varijabla naziv="DomainObject.Predmet.ProtuStrankaListFormatedWithAdressOIB_1">
      <item>EPH media d.o.o., OIB 07813238579, Koranska 2, 10000 Zagreb zastupanog po punomoćniku Josip Madirazza</item>
    </derivirana_varijabla>
  </DomainObject.Predmet.ProtuStrankaListFormatedWithAdressOIB>
  <DomainObject.Predmet.ProtuStrankaListNazivFormated>
    <izvorni_sadrzaj>
      <item>EPH media d.o.o.</item>
    </izvorni_sadrzaj>
    <derivirana_varijabla naziv="DomainObject.Predmet.ProtuStrankaListNazivFormated_1">
      <item>EPH media d.o.o.</item>
    </derivirana_varijabla>
  </DomainObject.Predmet.ProtuStrankaListNazivFormated>
  <DomainObject.Predmet.ProtuStrankaListNazivFormatedOIB>
    <izvorni_sadrzaj>
      <item>EPH media d.o.o., OIB 07813238579</item>
    </izvorni_sadrzaj>
    <derivirana_varijabla naziv="DomainObject.Predmet.ProtuStrankaListNazivFormatedOIB_1">
      <item>EPH media d.o.o., OIB 07813238579</item>
    </derivirana_varijabla>
  </DomainObject.Predmet.ProtuStrankaListNazivFormatedOIB>
  <DomainObject.Predmet.OstaliListFormated>
    <izvorni_sadrzaj>
      <item>Josip Madirazza punomoćnik sudionika u postupku EPH media d.o.o.</item>
      <item>Sandra Dragičević</item>
      <item>Hrvoje Šimić</item>
    </izvorni_sadrzaj>
    <derivirana_varijabla naziv="DomainObject.Predmet.OstaliListFormated_1">
      <item>Josip Madirazza punomoćnik sudionika u postupku EPH media d.o.o.</item>
      <item>Sandra Dragičević</item>
      <item>Hrvoje Šimić</item>
    </derivirana_varijabla>
  </DomainObject.Predmet.OstaliListFormated>
  <DomainObject.Predmet.OstaliListFormatedOIB>
    <izvorni_sadrzaj>
      <item>Josip Madirazza punomoćnik sudionika u postupku EPH media d.o.o.</item>
      <item>Sandra Dragičević</item>
      <item>Hrvoje Šimić, OIB 45735250142</item>
    </izvorni_sadrzaj>
    <derivirana_varijabla naziv="DomainObject.Predmet.OstaliListFormatedOIB_1">
      <item>Josip Madirazza punomoćnik sudionika u postupku EPH media d.o.o.</item>
      <item>Sandra Dragičević</item>
      <item>Hrvoje Šimić, OIB 45735250142</item>
    </derivirana_varijabla>
  </DomainObject.Predmet.OstaliListFormatedOIB>
  <DomainObject.Predmet.OstaliListFormatedWithAdress>
    <izvorni_sadrzaj>
      <item>Josip Madirazza, Masarykova 21, 10000 Zagreb punomoćnik sudionika u postupku EPH media d.o.o.</item>
      <item>Sandra Dragičević, Palmotićeva 60, 10000 Zagreb</item>
      <item>Hrvoje Šimić, Bleiweisova Ulica 27, 10000 Zagreb</item>
    </izvorni_sadrzaj>
    <derivirana_varijabla naziv="DomainObject.Predmet.OstaliListFormatedWithAdress_1">
      <item>Josip Madirazza, Masarykova 21, 10000 Zagreb punomoćnik sudionika u postupku EPH media d.o.o.</item>
      <item>Sandra Dragičević, Palmotićeva 60, 10000 Zagreb</item>
      <item>Hrvoje Šimić, Bleiweisova Ulica 27, 10000 Zagreb</item>
    </derivirana_varijabla>
  </DomainObject.Predmet.OstaliListFormatedWithAdress>
  <DomainObject.Predmet.OstaliListFormatedWithAdressOIB>
    <izvorni_sadrzaj>
      <item>Josip Madirazza, Masarykova 21, 10000 Zagreb punomoćnik sudionika u postupku EPH media d.o.o.</item>
      <item>Sandra Dragičević, Palmotićeva 60, 10000 Zagreb</item>
      <item>Hrvoje Šimić, OIB 45735250142, Bleiweisova Ulica 27, 10000 Zagreb</item>
    </izvorni_sadrzaj>
    <derivirana_varijabla naziv="DomainObject.Predmet.OstaliListFormatedWithAdressOIB_1">
      <item>Josip Madirazza, Masarykova 21, 10000 Zagreb punomoćnik sudionika u postupku EPH media d.o.o.</item>
      <item>Sandra Dragičević, Palmotićeva 60, 10000 Zagreb</item>
      <item>Hrvoje Šimić, OIB 45735250142, Bleiweisova Ulica 27, 10000 Zagreb</item>
    </derivirana_varijabla>
  </DomainObject.Predmet.OstaliListFormatedWithAdressOIB>
  <DomainObject.Predmet.OstaliListNazivFormated>
    <izvorni_sadrzaj>
      <item>Josip Madirazza</item>
      <item>Sandra Dragičević</item>
      <item>Hrvoje Šimić</item>
    </izvorni_sadrzaj>
    <derivirana_varijabla naziv="DomainObject.Predmet.OstaliListNazivFormated_1">
      <item>Josip Madirazza</item>
      <item>Sandra Dragičević</item>
      <item>Hrvoje Šimić</item>
    </derivirana_varijabla>
  </DomainObject.Predmet.OstaliListNazivFormated>
  <DomainObject.Predmet.OstaliListNazivFormatedOIB>
    <izvorni_sadrzaj>
      <item>Josip Madirazza</item>
      <item>Sandra Dragičević</item>
      <item>Hrvoje Šimić, OIB 45735250142</item>
    </izvorni_sadrzaj>
    <derivirana_varijabla naziv="DomainObject.Predmet.OstaliListNazivFormatedOIB_1">
      <item>Josip Madirazza</item>
      <item>Sandra Dragičević</item>
      <item>Hrvoje Šimić, OIB 45735250142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2015.</izvorni_sadrzaj>
    <derivirana_varijabla naziv="DomainObject.Datum_1">22. listopada 2015.</derivirana_varijabla>
  </DomainObject.Datum>
  <DomainObject.PoslovniBrojDokumenta>
    <izvorni_sadrzaj>Stpn-183/2014-62</izvorni_sadrzaj>
    <derivirana_varijabla naziv="DomainObject.PoslovniBrojDokumenta_1">Stpn-183/2014-62</derivirana_varijabla>
  </DomainObject.PoslovniBrojDokumenta>
  <DomainObject.Predmet.StrankaIDrugi>
    <izvorni_sadrzaj>EPH media d.o.o.</izvorni_sadrzaj>
    <derivirana_varijabla naziv="DomainObject.Predmet.StrankaIDrugi_1">EPH media d.o.o.</derivirana_varijabla>
  </DomainObject.Predmet.StrankaIDrugi>
  <DomainObject.Predmet.ProtustrankaIDrugi>
    <izvorni_sadrzaj>EPH media d.o.o.</izvorni_sadrzaj>
    <derivirana_varijabla naziv="DomainObject.Predmet.ProtustrankaIDrugi_1">EPH media d.o.o.</derivirana_varijabla>
  </DomainObject.Predmet.ProtustrankaIDrugi>
  <DomainObject.Predmet.StrankaIDrugiAdressOIB>
    <izvorni_sadrzaj>EPH media d.o.o., OIB 07813238579, Koranska 2, 10000 Zagreb</izvorni_sadrzaj>
    <derivirana_varijabla naziv="DomainObject.Predmet.StrankaIDrugiAdressOIB_1">EPH media d.o.o., OIB 07813238579, Koranska 2, 10000 Zagreb</derivirana_varijabla>
  </DomainObject.Predmet.StrankaIDrugiAdressOIB>
  <DomainObject.Predmet.ProtustrankaIDrugiAdressOIB>
    <izvorni_sadrzaj>EPH media d.o.o., OIB 07813238579, Koranska 2, 10000 Zagreb</izvorni_sadrzaj>
    <derivirana_varijabla naziv="DomainObject.Predmet.ProtustrankaIDrugiAdressOIB_1">EPH media d.o.o., OIB 07813238579, Koranska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srpnja 2014.</izvorni_sadrzaj>
    <derivirana_varijabla naziv="DomainObject.Predmet.OdlukaRjesenje.DatumDonosenjaOdluke_1">16. srpnja 2014.</derivirana_varijabla>
  </DomainObject.Predmet.OdlukaRjesenje.DatumDonosenjaOdluke>
  <DomainObject.Predmet.OdlukaRjesenje.DatumPravomocnosti>
    <izvorni_sadrzaj>27. kolovoza 2014.</izvorni_sadrzaj>
    <derivirana_varijabla naziv="DomainObject.Predmet.OdlukaRjesenje.DatumPravomocnosti_1">27. kolovoza 2014.</derivirana_varijabla>
  </DomainObject.Predmet.OdlukaRjesenje.DatumPravomocnosti>
  <DomainObject.Predmet.OdlukaRjesenje.Oznaka>
    <izvorni_sadrzaj>Stpn-183/2014-12</izvorni_sadrzaj>
    <derivirana_varijabla naziv="DomainObject.Predmet.OdlukaRjesenje.Oznaka_1">Stpn-183/2014-12</derivirana_varijabla>
  </DomainObject.Predmet.OdlukaRjesenje.Oznaka>
  <DomainObject.Predmet.SudioniciListNaziv>
    <izvorni_sadrzaj>
      <item>EPH media d.o.o.</item>
      <item>EPH media d.o.o.</item>
      <item>Josip Madirazza</item>
      <item>Sandra Dragičević</item>
      <item>Hrvoje Šimić</item>
    </izvorni_sadrzaj>
    <derivirana_varijabla naziv="DomainObject.Predmet.SudioniciListNaziv_1">
      <item>EPH media d.o.o.</item>
      <item>EPH media d.o.o.</item>
      <item>Josip Madirazza</item>
      <item>Sandra Dragičević</item>
      <item>Hrvoje Šimić</item>
    </derivirana_varijabla>
  </DomainObject.Predmet.SudioniciListNaziv>
  <DomainObject.Predmet.SudioniciListAdressOIB>
    <izvorni_sadrzaj>
      <item>EPH media d.o.o., OIB 07813238579, Koranska 2,10000 Zagreb</item>
      <item>EPH media d.o.o., OIB 07813238579, Koranska 2,10000 Zagreb</item>
      <item>Josip Madirazza, Masarykova 21,10000 Zagreb</item>
      <item>Sandra Dragičević, Palmotićeva 60,10000 Zagreb</item>
      <item>Hrvoje Šimić, OIB 45735250142, Bleiweisova Ulica 27,10000 Zagreb</item>
    </izvorni_sadrzaj>
    <derivirana_varijabla naziv="DomainObject.Predmet.SudioniciListAdressOIB_1">
      <item>EPH media d.o.o., OIB 07813238579, Koranska 2,10000 Zagreb</item>
      <item>EPH media d.o.o., OIB 07813238579, Koranska 2,10000 Zagreb</item>
      <item>Josip Madirazza, Masarykova 21,10000 Zagreb</item>
      <item>Sandra Dragičević, Palmotićeva 60,10000 Zagreb</item>
      <item>Hrvoje Šimić, OIB 45735250142, Bleiweisova Ulica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07813238579</item>
      <item>, OIB 07813238579</item>
      <item>, OIB null</item>
      <item>, OIB null</item>
      <item>, OIB 45735250142</item>
    </izvorni_sadrzaj>
    <derivirana_varijabla naziv="DomainObject.Predmet.SudioniciListNazivOIB_1">
      <item>, OIB 07813238579</item>
      <item>, OIB 07813238579</item>
      <item>, OIB null</item>
      <item>, OIB null</item>
      <item>, OIB 45735250142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3DB6DE-562D-4AA8-8CB3-5ACF984168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2605</properties:Words>
  <properties:Characters>14955</properties:Characters>
  <properties:Lines>263</properties:Lines>
  <properties:Paragraphs>50</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2015-10-22T08:26:00Z</dcterms:created>
  <dc:creator>vdopar</dc:creator>
  <cp:lastModifiedBy>Ana Brlek</cp:lastModifiedBy>
  <cp:lastPrinted>2015-10-22T09:40:00Z</cp:lastPrinted>
  <dcterms:modified xmlns:xsi="http://www.w3.org/2001/XMLSchema-instance" xsi:type="dcterms:W3CDTF">2015-10-22T09:40:00Z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Stpn-183/2014-62 / Odluka - Rješenje - odbijen zahtjev/prijedlog</vt:lpwstr>
  </prop:property>
  <prop:property name="CC_coloring" pid="4" fmtid="{D5CDD505-2E9C-101B-9397-08002B2CF9AE}">
    <vt:bool>false</vt:bool>
  </prop:property>
  <prop:property name="BrojStranica" pid="5" fmtid="{D5CDD505-2E9C-101B-9397-08002B2CF9AE}">
    <vt:i4>6</vt:i4>
  </prop:property>
</prop:Properties>
</file>