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41575" w:rsidRPr="00C61EDF">
        <w:trPr>
          <w:trHeight w:val="2231"/>
        </w:trPr>
        <w:tc>
          <w:tcPr>
            <w:tcW w:type="dxa" w:w="3369"/>
            <w:vAlign w:val="center"/>
          </w:tcPr>
          <w:p w:rsidRDefault="00C41575" w:rsidP="00A66C00" w:rsidR="00C41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41575" w:rsidP="00A66C00" w:rsidR="00C41575" w:rsidRPr="00F24FD8">
            <w:pPr>
              <w:spacing w:before="100"/>
            </w:pPr>
            <w:r w:rsidRPr="00F24FD8">
              <w:t>REPUBLIKA HRVATSKA</w:t>
            </w:r>
          </w:p>
          <w:p w:rsidRDefault="00C41575" w:rsidP="00A66C00" w:rsidR="00C41575" w:rsidRPr="00F24FD8">
            <w:r w:rsidRPr="00F24FD8">
              <w:t>TRGOVAČKI SUD U SPLITU</w:t>
            </w:r>
          </w:p>
          <w:p w:rsidRDefault="00C41575" w:rsidP="00DA5B9D" w:rsidR="00C41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right"/>
            </w:pPr>
          </w:p>
          <w:p w:rsidRDefault="00C41575" w:rsidP="00DA5B9D" w:rsidR="00C41575">
            <w:pPr>
              <w:jc w:val="right"/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D13B7F" w:rsidP="00D13B7F" w:rsidR="00C41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11.St-204</w:t>
            </w:r>
            <w:r w:rsidR="00C41575">
              <w:rPr>
                <w:noProof/>
              </w:rPr>
              <w:t>0</w:t>
            </w:r>
            <w:r w:rsidR="00C41575" w:rsidRPr="00E003B6">
              <w:rPr>
                <w:noProof/>
              </w:rPr>
              <w:t>/201</w:t>
            </w:r>
            <w:r w:rsidR="00C41575">
              <w:rPr>
                <w:noProof/>
              </w:rPr>
              <w:t>6</w:t>
            </w:r>
          </w:p>
        </w:tc>
      </w:tr>
    </w:tbl>
    <w:p w14:textId="2ce0dab" w14:paraId="2ce0dab" w:rsidRDefault="00A16878" w:rsidP="001E259C" w:rsidR="00A16878" w:rsidRPr="00A16878">
      <w:pPr>
        <w:spacing w:after="240" w:before="24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1E259C" w:rsidR="00A16878" w:rsidRPr="00A16878">
      <w:pPr>
        <w:spacing w:after="24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 </w:t>
      </w:r>
      <w:r w:rsidR="00D13B7F" w:rsidRPr="00D13B7F">
        <w:t>ARHITEKTONSKO – GRAĐEVNI KAMEN DINARIT d.o.o. u stečaju, OIB: 92671429499, Vrlika, Radna zona Kosore bb</w:t>
      </w:r>
      <w:r w:rsidR="00002171" w:rsidRPr="00002171">
        <w:t xml:space="preserve">, </w:t>
      </w:r>
      <w:r w:rsidR="001E259C">
        <w:t>2. ožujka</w:t>
      </w:r>
      <w:r w:rsidR="00C41575">
        <w:t xml:space="preserve"> 2018</w:t>
      </w:r>
      <w:r w:rsidR="00CB1662">
        <w:t>.</w:t>
      </w:r>
    </w:p>
    <w:p w:rsidRDefault="006951FE" w:rsidP="001E259C" w:rsidR="006951FE" w:rsidRPr="00037EED">
      <w:pPr>
        <w:spacing w:after="300" w:before="300"/>
        <w:jc w:val="center"/>
      </w:pPr>
      <w:r w:rsidRPr="00037EED">
        <w:t xml:space="preserve">r i j e š i o  j e </w:t>
      </w:r>
    </w:p>
    <w:p w:rsidRDefault="001E7D3C" w:rsidP="001E259C" w:rsidR="001E7D3C">
      <w:pPr>
        <w:pStyle w:val="Tijeloteksta2"/>
        <w:spacing w:after="200"/>
        <w:ind w:firstLine="709"/>
      </w:pPr>
      <w:r w:rsidRPr="001E7D3C">
        <w:t xml:space="preserve">Prihvaća se zahtjev </w:t>
      </w:r>
      <w:r>
        <w:t>Željka Ćurka iz Vrlike, Bana Berislavića 3</w:t>
      </w:r>
      <w:r w:rsidRPr="001E7D3C">
        <w:t>, OIB: 7405089683</w:t>
      </w:r>
      <w:r>
        <w:t>8</w:t>
      </w:r>
      <w:r w:rsidR="00BA61D2">
        <w:t>,</w:t>
      </w:r>
      <w:r w:rsidRPr="001E7D3C">
        <w:t xml:space="preserve"> od </w:t>
      </w:r>
      <w:r>
        <w:t>9. veljače</w:t>
      </w:r>
      <w:r w:rsidRPr="001E7D3C">
        <w:t xml:space="preserve"> 2018. te se ispravlja</w:t>
      </w:r>
      <w:r>
        <w:t xml:space="preserve"> tablica </w:t>
      </w:r>
      <w:r w:rsidR="00BA61D2">
        <w:t>ispitanih</w:t>
      </w:r>
      <w:r>
        <w:t xml:space="preserve"> tražbina 11.St-2040/2016 od </w:t>
      </w:r>
      <w:r w:rsidRPr="001E7D3C">
        <w:t>13. listopada 2017.</w:t>
      </w:r>
      <w:r w:rsidR="009D6AB0">
        <w:t xml:space="preserve"> u odnosu na drugi viši isplatni red</w:t>
      </w:r>
      <w:r>
        <w:t xml:space="preserve"> na način da ista sada glasi:</w:t>
      </w:r>
    </w:p>
    <w:tbl>
      <w:tblPr>
        <w:tblW w:type="auto" w:w="0"/>
        <w:jc w:val="center"/>
        <w:tblInd w:type="dxa" w:w="-10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08"/>
        <w:gridCol w:w="2366"/>
        <w:gridCol w:w="1546"/>
        <w:gridCol w:w="1445"/>
        <w:gridCol w:w="1416"/>
        <w:gridCol w:w="1305"/>
        <w:gridCol w:w="1443"/>
      </w:tblGrid>
      <w:tr w:rsidTr="00FD0647" w:rsidR="001E7D3C" w:rsidRPr="001E7D3C">
        <w:trPr>
          <w:trHeight w:val="907"/>
          <w:jc w:val="center"/>
        </w:trPr>
        <w:tc>
          <w:tcPr>
            <w:tcW w:type="dxa" w:w="808"/>
            <w:vAlign w:val="center"/>
          </w:tcPr>
          <w:p w:rsidRDefault="001E7D3C" w:rsidP="001E7D3C" w:rsidR="001E7D3C" w:rsidRPr="001E7D3C">
            <w:pPr>
              <w:jc w:val="center"/>
            </w:pPr>
            <w:r w:rsidRPr="001E7D3C">
              <w:t>R. br.</w:t>
            </w:r>
          </w:p>
        </w:tc>
        <w:tc>
          <w:tcPr>
            <w:tcW w:type="dxa" w:w="2366"/>
            <w:shd w:fill="auto" w:color="auto" w:val="clear"/>
            <w:vAlign w:val="center"/>
            <w:hideMark/>
          </w:tcPr>
          <w:p w:rsidRDefault="001E7D3C" w:rsidP="001E7D3C" w:rsidR="001E7D3C" w:rsidRPr="001E7D3C">
            <w:pPr>
              <w:jc w:val="center"/>
            </w:pPr>
            <w:r w:rsidRPr="001E7D3C">
              <w:t>Vjerovnik</w:t>
            </w:r>
          </w:p>
        </w:tc>
        <w:tc>
          <w:tcPr>
            <w:tcW w:type="dxa" w:w="1546"/>
            <w:shd w:fill="auto" w:color="auto" w:val="clear"/>
            <w:vAlign w:val="center"/>
            <w:hideMark/>
          </w:tcPr>
          <w:p w:rsidRDefault="001E7D3C" w:rsidP="001E7D3C" w:rsidR="001E7D3C" w:rsidRPr="001E7D3C">
            <w:pPr>
              <w:jc w:val="center"/>
            </w:pPr>
            <w:r w:rsidRPr="001E7D3C">
              <w:t>OIB</w:t>
            </w:r>
          </w:p>
        </w:tc>
        <w:tc>
          <w:tcPr>
            <w:tcW w:type="dxa" w:w="1445"/>
            <w:shd w:fill="auto" w:color="auto" w:val="clear"/>
            <w:vAlign w:val="center"/>
            <w:hideMark/>
          </w:tcPr>
          <w:p w:rsidRDefault="001E7D3C" w:rsidP="001E7D3C" w:rsidR="001E7D3C" w:rsidRPr="001E7D3C">
            <w:pPr>
              <w:jc w:val="center"/>
              <w:rPr>
                <w:color w:val="000000"/>
              </w:rPr>
            </w:pPr>
            <w:r w:rsidRPr="001E7D3C">
              <w:rPr>
                <w:color w:val="000000"/>
              </w:rPr>
              <w:t>Iznos prijavljene tražbine u kn</w:t>
            </w:r>
          </w:p>
        </w:tc>
        <w:tc>
          <w:tcPr>
            <w:tcW w:type="dxa" w:w="1416"/>
            <w:vAlign w:val="center"/>
          </w:tcPr>
          <w:p w:rsidRDefault="001E7D3C" w:rsidP="001E7D3C" w:rsidR="001E7D3C" w:rsidRPr="001E7D3C">
            <w:pPr>
              <w:jc w:val="center"/>
              <w:rPr>
                <w:color w:val="000000"/>
              </w:rPr>
            </w:pPr>
            <w:r w:rsidRPr="001E7D3C">
              <w:rPr>
                <w:color w:val="000000"/>
              </w:rPr>
              <w:t>Iznos utvrđene tražbine u kn</w:t>
            </w:r>
          </w:p>
        </w:tc>
        <w:tc>
          <w:tcPr>
            <w:tcW w:type="dxa" w:w="1305"/>
            <w:vAlign w:val="center"/>
          </w:tcPr>
          <w:p w:rsidRDefault="001E7D3C" w:rsidP="001E7D3C" w:rsidR="001E7D3C" w:rsidRPr="001E7D3C">
            <w:pPr>
              <w:jc w:val="center"/>
              <w:rPr>
                <w:color w:val="000000"/>
              </w:rPr>
            </w:pPr>
            <w:r w:rsidRPr="001E7D3C">
              <w:rPr>
                <w:color w:val="000000"/>
              </w:rPr>
              <w:t>Iznos osporene tražbine u kn</w:t>
            </w:r>
          </w:p>
        </w:tc>
        <w:tc>
          <w:tcPr>
            <w:tcW w:type="dxa" w:w="1443"/>
            <w:vAlign w:val="center"/>
          </w:tcPr>
          <w:p w:rsidRDefault="001E7D3C" w:rsidP="001E7D3C" w:rsidR="001E7D3C" w:rsidRPr="001E7D3C">
            <w:pPr>
              <w:jc w:val="center"/>
              <w:rPr>
                <w:color w:val="000000"/>
              </w:rPr>
            </w:pPr>
            <w:r w:rsidRPr="001E7D3C">
              <w:rPr>
                <w:color w:val="000000"/>
              </w:rPr>
              <w:t>Osporavatelj</w:t>
            </w:r>
          </w:p>
        </w:tc>
      </w:tr>
      <w:tr w:rsidTr="00FD0647" w:rsidR="001E7D3C" w:rsidRPr="001E7D3C">
        <w:trPr>
          <w:trHeight w:val="1020"/>
          <w:jc w:val="center"/>
        </w:trPr>
        <w:tc>
          <w:tcPr>
            <w:tcW w:type="dxa" w:w="808"/>
            <w:vAlign w:val="center"/>
          </w:tcPr>
          <w:p w:rsidRDefault="001E7D3C" w:rsidP="001E7D3C" w:rsidR="001E7D3C" w:rsidRPr="001E7D3C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1E7D3C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type="dxa" w:w="2366"/>
            <w:shd w:fill="auto" w:color="auto" w:val="clear"/>
            <w:vAlign w:val="center"/>
          </w:tcPr>
          <w:p w:rsidRDefault="001E7D3C" w:rsidP="001E7D3C" w:rsidR="001E7D3C" w:rsidRPr="001E7D3C">
            <w:pPr>
              <w:jc w:val="center"/>
              <w:rPr>
                <w:rFonts w:eastAsiaTheme="minorHAnsi"/>
                <w:lang w:eastAsia="en-US"/>
              </w:rPr>
            </w:pPr>
            <w:r w:rsidRPr="001E7D3C">
              <w:rPr>
                <w:rFonts w:eastAsiaTheme="minorHAnsi"/>
                <w:lang w:eastAsia="en-US"/>
              </w:rPr>
              <w:t>Republika Hrvatska</w:t>
            </w:r>
          </w:p>
          <w:p w:rsidRDefault="001E7D3C" w:rsidP="001E7D3C" w:rsidR="001E7D3C" w:rsidRPr="001E7D3C">
            <w:pPr>
              <w:jc w:val="center"/>
              <w:rPr>
                <w:rFonts w:eastAsiaTheme="minorHAnsi"/>
                <w:lang w:eastAsia="en-US"/>
              </w:rPr>
            </w:pPr>
            <w:r w:rsidRPr="001E7D3C">
              <w:rPr>
                <w:rFonts w:eastAsiaTheme="minorHAnsi"/>
                <w:lang w:eastAsia="en-US"/>
              </w:rPr>
              <w:t>Ministarstvo financija</w:t>
            </w:r>
          </w:p>
          <w:p w:rsidRDefault="001E7D3C" w:rsidP="001E7D3C" w:rsidR="001E7D3C" w:rsidRPr="001E7D3C">
            <w:pPr>
              <w:jc w:val="center"/>
              <w:rPr>
                <w:rFonts w:eastAsiaTheme="minorHAnsi"/>
                <w:lang w:eastAsia="en-US"/>
              </w:rPr>
            </w:pPr>
            <w:r w:rsidRPr="001E7D3C">
              <w:rPr>
                <w:rFonts w:eastAsiaTheme="minorHAnsi"/>
                <w:lang w:eastAsia="en-US"/>
              </w:rPr>
              <w:t>Porezna uprava</w:t>
            </w:r>
          </w:p>
        </w:tc>
        <w:tc>
          <w:tcPr>
            <w:tcW w:type="dxa" w:w="1546"/>
            <w:shd w:fill="auto" w:color="auto" w:val="clear"/>
            <w:vAlign w:val="center"/>
          </w:tcPr>
          <w:p w:rsidRDefault="001E7D3C" w:rsidP="001E7D3C" w:rsidR="001E7D3C" w:rsidRPr="001E7D3C">
            <w:pPr>
              <w:spacing w:lineRule="auto" w:line="276"/>
              <w:jc w:val="center"/>
              <w:rPr>
                <w:color w:val="000000"/>
              </w:rPr>
            </w:pPr>
            <w:r w:rsidRPr="001E7D3C">
              <w:rPr>
                <w:color w:val="000000"/>
              </w:rPr>
              <w:t>18683136487</w:t>
            </w:r>
          </w:p>
        </w:tc>
        <w:tc>
          <w:tcPr>
            <w:tcW w:type="dxa" w:w="1445"/>
            <w:shd w:fill="auto" w:color="auto" w:val="clear"/>
            <w:vAlign w:val="center"/>
          </w:tcPr>
          <w:p w:rsidRDefault="001E7D3C" w:rsidP="001E7D3C" w:rsidR="001E7D3C" w:rsidRPr="001E7D3C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1E7D3C">
              <w:rPr>
                <w:rFonts w:eastAsiaTheme="minorHAnsi"/>
                <w:lang w:eastAsia="en-US"/>
              </w:rPr>
              <w:t>11.082,86</w:t>
            </w:r>
          </w:p>
        </w:tc>
        <w:tc>
          <w:tcPr>
            <w:tcW w:type="dxa" w:w="1416"/>
            <w:vAlign w:val="center"/>
          </w:tcPr>
          <w:p w:rsidRDefault="001E7D3C" w:rsidP="001E7D3C" w:rsidR="001E7D3C" w:rsidRPr="001E7D3C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1E7D3C">
              <w:rPr>
                <w:rFonts w:eastAsiaTheme="minorHAnsi"/>
                <w:lang w:eastAsia="en-US"/>
              </w:rPr>
              <w:t>11.082,86</w:t>
            </w:r>
          </w:p>
        </w:tc>
        <w:tc>
          <w:tcPr>
            <w:tcW w:type="dxa" w:w="1305"/>
            <w:vAlign w:val="center"/>
          </w:tcPr>
          <w:p w:rsidRDefault="001E7D3C" w:rsidP="001E7D3C" w:rsidR="001E7D3C" w:rsidRPr="001E7D3C">
            <w:pPr>
              <w:jc w:val="center"/>
              <w:rPr>
                <w:rFonts w:eastAsiaTheme="minorHAnsi"/>
                <w:lang w:eastAsia="en-US"/>
              </w:rPr>
            </w:pPr>
            <w:r w:rsidRPr="001E7D3C">
              <w:rPr>
                <w:rFonts w:eastAsiaTheme="minorHAnsi"/>
                <w:lang w:eastAsia="en-US"/>
              </w:rPr>
              <w:t>0,00</w:t>
            </w:r>
          </w:p>
        </w:tc>
        <w:tc>
          <w:tcPr>
            <w:tcW w:type="dxa" w:w="1443"/>
            <w:vAlign w:val="center"/>
          </w:tcPr>
          <w:p w:rsidRDefault="001E7D3C" w:rsidP="001E7D3C" w:rsidR="001E7D3C" w:rsidRPr="001E7D3C">
            <w:pPr>
              <w:jc w:val="center"/>
              <w:rPr>
                <w:rFonts w:eastAsiaTheme="minorHAnsi"/>
                <w:lang w:eastAsia="en-US"/>
              </w:rPr>
            </w:pPr>
            <w:r w:rsidRPr="001E7D3C">
              <w:rPr>
                <w:rFonts w:eastAsiaTheme="minorHAnsi"/>
                <w:lang w:eastAsia="en-US"/>
              </w:rPr>
              <w:t>/</w:t>
            </w:r>
          </w:p>
        </w:tc>
      </w:tr>
      <w:tr w:rsidTr="00FD0647" w:rsidR="001E7D3C" w:rsidRPr="001E7D3C">
        <w:trPr>
          <w:trHeight w:val="737"/>
          <w:jc w:val="center"/>
        </w:trPr>
        <w:tc>
          <w:tcPr>
            <w:tcW w:type="dxa" w:w="808"/>
            <w:vAlign w:val="center"/>
          </w:tcPr>
          <w:p w:rsidRDefault="001E7D3C" w:rsidP="001E7D3C" w:rsidR="001E7D3C" w:rsidRPr="001E7D3C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1E7D3C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type="dxa" w:w="2366"/>
            <w:shd w:fill="auto" w:color="auto" w:val="clear"/>
            <w:vAlign w:val="center"/>
          </w:tcPr>
          <w:p w:rsidRDefault="001E7D3C" w:rsidP="00FD0647" w:rsidR="001E7D3C" w:rsidRPr="001E7D3C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1E7D3C">
              <w:rPr>
                <w:rFonts w:eastAsiaTheme="minorHAnsi"/>
                <w:lang w:eastAsia="en-US"/>
              </w:rPr>
              <w:t>Željko Ćurko</w:t>
            </w:r>
          </w:p>
        </w:tc>
        <w:tc>
          <w:tcPr>
            <w:tcW w:type="dxa" w:w="1546"/>
            <w:shd w:fill="auto" w:color="auto" w:val="clear"/>
            <w:vAlign w:val="center"/>
          </w:tcPr>
          <w:p w:rsidRDefault="001E7D3C" w:rsidP="00FD0647" w:rsidR="001E7D3C" w:rsidRPr="001E7D3C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1E7D3C">
              <w:rPr>
                <w:rFonts w:eastAsiaTheme="minorHAnsi"/>
                <w:lang w:eastAsia="en-US"/>
              </w:rPr>
              <w:t>7405089683</w:t>
            </w:r>
          </w:p>
        </w:tc>
        <w:tc>
          <w:tcPr>
            <w:tcW w:type="dxa" w:w="1445"/>
            <w:shd w:fill="auto" w:color="auto" w:val="clear"/>
            <w:vAlign w:val="center"/>
          </w:tcPr>
          <w:p w:rsidRDefault="001E7D3C" w:rsidP="001E7D3C" w:rsidR="001E7D3C" w:rsidRPr="001E7D3C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1E7D3C">
              <w:rPr>
                <w:rFonts w:eastAsiaTheme="minorHAnsi"/>
                <w:lang w:eastAsia="en-US"/>
              </w:rPr>
              <w:t>4.364,02</w:t>
            </w:r>
          </w:p>
        </w:tc>
        <w:tc>
          <w:tcPr>
            <w:tcW w:type="dxa" w:w="1416"/>
            <w:vAlign w:val="center"/>
          </w:tcPr>
          <w:p w:rsidRDefault="001E7D3C" w:rsidP="001E7D3C" w:rsidR="001E7D3C" w:rsidRPr="001E7D3C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1E7D3C">
              <w:rPr>
                <w:rFonts w:eastAsiaTheme="minorHAnsi"/>
                <w:lang w:eastAsia="en-US"/>
              </w:rPr>
              <w:t>4.364,02</w:t>
            </w:r>
          </w:p>
        </w:tc>
        <w:tc>
          <w:tcPr>
            <w:tcW w:type="dxa" w:w="1305"/>
            <w:vAlign w:val="center"/>
          </w:tcPr>
          <w:p w:rsidRDefault="001E7D3C" w:rsidP="001E7D3C" w:rsidR="001E7D3C" w:rsidRPr="001E7D3C">
            <w:pPr>
              <w:jc w:val="center"/>
              <w:rPr>
                <w:rFonts w:eastAsiaTheme="minorHAnsi"/>
                <w:lang w:eastAsia="en-US"/>
              </w:rPr>
            </w:pPr>
            <w:r w:rsidRPr="001E7D3C">
              <w:rPr>
                <w:rFonts w:eastAsiaTheme="minorHAnsi"/>
                <w:lang w:eastAsia="en-US"/>
              </w:rPr>
              <w:t>0,00</w:t>
            </w:r>
          </w:p>
        </w:tc>
        <w:tc>
          <w:tcPr>
            <w:tcW w:type="dxa" w:w="1443"/>
            <w:vAlign w:val="center"/>
          </w:tcPr>
          <w:p w:rsidRDefault="001E7D3C" w:rsidP="001E7D3C" w:rsidR="001E7D3C" w:rsidRPr="001E7D3C">
            <w:pPr>
              <w:jc w:val="center"/>
              <w:rPr>
                <w:rFonts w:eastAsiaTheme="minorHAnsi"/>
                <w:lang w:eastAsia="en-US"/>
              </w:rPr>
            </w:pPr>
            <w:r w:rsidRPr="001E7D3C">
              <w:rPr>
                <w:rFonts w:eastAsiaTheme="minorHAnsi"/>
                <w:lang w:eastAsia="en-US"/>
              </w:rPr>
              <w:t>/</w:t>
            </w:r>
          </w:p>
        </w:tc>
      </w:tr>
      <w:tr w:rsidTr="00FD0647" w:rsidR="001E7D3C" w:rsidRPr="001E7D3C">
        <w:trPr>
          <w:trHeight w:val="737"/>
          <w:jc w:val="center"/>
        </w:trPr>
        <w:tc>
          <w:tcPr>
            <w:tcW w:type="dxa" w:w="4720"/>
            <w:gridSpan w:val="3"/>
            <w:vAlign w:val="center"/>
          </w:tcPr>
          <w:p w:rsidRDefault="001E7D3C" w:rsidP="001E7D3C" w:rsidR="001E7D3C" w:rsidRPr="001E259C">
            <w:pPr>
              <w:spacing w:lineRule="auto" w:line="276"/>
              <w:jc w:val="center"/>
              <w:rPr>
                <w:rFonts w:eastAsiaTheme="minorHAnsi"/>
                <w:lang w:eastAsia="en-US"/>
              </w:rPr>
            </w:pPr>
            <w:r w:rsidRPr="001E259C">
              <w:rPr>
                <w:rFonts w:eastAsiaTheme="minorHAnsi"/>
                <w:lang w:eastAsia="en-US"/>
              </w:rPr>
              <w:t>UKUPNO:</w:t>
            </w:r>
          </w:p>
        </w:tc>
        <w:tc>
          <w:tcPr>
            <w:tcW w:type="dxa" w:w="1445"/>
            <w:shd w:fill="auto" w:color="auto" w:val="clear"/>
            <w:vAlign w:val="center"/>
          </w:tcPr>
          <w:p w:rsidRDefault="001E259C" w:rsidP="001E7D3C" w:rsidR="001E7D3C" w:rsidRPr="001E259C">
            <w:pPr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15.446,88</w:t>
            </w:r>
          </w:p>
        </w:tc>
        <w:tc>
          <w:tcPr>
            <w:tcW w:type="dxa" w:w="1416"/>
            <w:vAlign w:val="center"/>
          </w:tcPr>
          <w:p w:rsidRDefault="001E259C" w:rsidP="001E7D3C" w:rsidR="001E7D3C" w:rsidRPr="001E259C">
            <w:pPr>
              <w:spacing w:lineRule="auto" w:line="276"/>
              <w:jc w:val="center"/>
              <w:rPr>
                <w:color w:val="000000"/>
              </w:rPr>
            </w:pPr>
            <w:r>
              <w:rPr>
                <w:color w:val="000000"/>
              </w:rPr>
              <w:t>15.446,88</w:t>
            </w:r>
          </w:p>
        </w:tc>
        <w:tc>
          <w:tcPr>
            <w:tcW w:type="dxa" w:w="1305"/>
            <w:vAlign w:val="center"/>
          </w:tcPr>
          <w:p w:rsidRDefault="001E259C" w:rsidP="001E7D3C" w:rsidR="001E7D3C" w:rsidRPr="001E259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0,00</w:t>
            </w:r>
          </w:p>
        </w:tc>
        <w:tc>
          <w:tcPr>
            <w:tcW w:type="dxa" w:w="1443"/>
            <w:vAlign w:val="center"/>
          </w:tcPr>
          <w:p w:rsidRDefault="001E7D3C" w:rsidP="001E7D3C" w:rsidR="001E7D3C" w:rsidRPr="00CA6166">
            <w:pPr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1E259C">
              <w:rPr>
                <w:rFonts w:eastAsiaTheme="minorHAnsi"/>
                <w:lang w:eastAsia="en-US"/>
              </w:rPr>
              <w:t>/</w:t>
            </w:r>
          </w:p>
        </w:tc>
      </w:tr>
    </w:tbl>
    <w:p w:rsidRDefault="006236C9" w:rsidP="001E259C" w:rsidR="001E7D3C">
      <w:pPr>
        <w:pStyle w:val="Tijeloteksta2"/>
        <w:spacing w:after="140" w:before="300"/>
        <w:jc w:val="center"/>
      </w:pPr>
      <w:r>
        <w:t>Obrazloženje</w:t>
      </w:r>
    </w:p>
    <w:p w:rsidRDefault="006236C9" w:rsidP="006236C9" w:rsidR="006236C9" w:rsidRPr="006236C9">
      <w:pPr>
        <w:ind w:firstLine="708"/>
        <w:jc w:val="both"/>
        <w:rPr>
          <w:rFonts w:eastAsia="Calibri"/>
          <w:lang w:eastAsia="en-US"/>
        </w:rPr>
      </w:pPr>
      <w:r w:rsidRPr="006236C9">
        <w:rPr>
          <w:rFonts w:eastAsia="Calibri"/>
          <w:lang w:eastAsia="en-US"/>
        </w:rPr>
        <w:t>Rješenjem 11.St-2040/2016 od 5. srpnja 2017. otvoren je stečajni postupak nad dužnikom, trgovačkim društvom ARHITEKTONSKO – GRAĐEVNI KAMEN DINARIT d.o.o., OIB: 92671429499, Vrlika, Radna zona Kosore bb. Istim rješenjem za stečajnog upravitelja imenovan je Ivo Bučan.</w:t>
      </w:r>
    </w:p>
    <w:p w:rsidRDefault="006236C9" w:rsidP="006236C9" w:rsidR="006236C9" w:rsidRPr="006236C9">
      <w:pPr>
        <w:spacing w:before="200"/>
        <w:ind w:firstLine="708"/>
        <w:jc w:val="both"/>
        <w:rPr>
          <w:rFonts w:eastAsia="Calibri"/>
          <w:lang w:eastAsia="en-US"/>
        </w:rPr>
      </w:pPr>
      <w:r w:rsidRPr="006236C9">
        <w:rPr>
          <w:rFonts w:eastAsia="Calibri"/>
          <w:lang w:eastAsia="en-US"/>
        </w:rPr>
        <w:t xml:space="preserve">Na ispitnom ročištu, održanom kod ovog suda 13. listopada 2017., ispitane su tražbine stečajnih vjerovnika I. i II. višeg isplatnog reda, a koje su prijavljene u roku iz rješenja 11. St-2040/2016 od 5. srpnja 2017., </w:t>
      </w:r>
      <w:r>
        <w:rPr>
          <w:rFonts w:eastAsia="Calibri"/>
          <w:lang w:eastAsia="en-US"/>
        </w:rPr>
        <w:t>nakon čega je sud sastavio tablicu ispitanih tražbina 11.St-2040/2016 od 13. listopada 2017.</w:t>
      </w:r>
      <w:r w:rsidR="00CA6166">
        <w:rPr>
          <w:rFonts w:eastAsia="Calibri"/>
          <w:lang w:eastAsia="en-US"/>
        </w:rPr>
        <w:t xml:space="preserve"> (list 148 spisa).</w:t>
      </w:r>
    </w:p>
    <w:p w:rsidRDefault="006236C9" w:rsidP="006236C9" w:rsidR="006236C9">
      <w:pPr>
        <w:pStyle w:val="Tijeloteksta2"/>
        <w:spacing w:before="200"/>
      </w:pPr>
      <w:r>
        <w:lastRenderedPageBreak/>
        <w:tab/>
        <w:t xml:space="preserve">U predmetnoj tablici utvrđena je tražbina vjerovnika II. višeg isplatnog reda Financijske agencije u iznosu od </w:t>
      </w:r>
      <w:r w:rsidRPr="006236C9">
        <w:t>4.364,02</w:t>
      </w:r>
      <w:r>
        <w:t xml:space="preserve"> kn.</w:t>
      </w:r>
    </w:p>
    <w:p w:rsidRDefault="006236C9" w:rsidP="006236C9" w:rsidR="006236C9">
      <w:pPr>
        <w:pStyle w:val="Tijeloteksta2"/>
        <w:spacing w:before="200"/>
      </w:pPr>
      <w:r>
        <w:tab/>
        <w:t xml:space="preserve">Dana 9. veljače 2018. kod ovog suda zaprimljen je podnesak Željka Ćurka </w:t>
      </w:r>
      <w:r w:rsidR="00BA61D2">
        <w:t xml:space="preserve">kojim </w:t>
      </w:r>
      <w:r>
        <w:t xml:space="preserve">isti dostavlja </w:t>
      </w:r>
      <w:r w:rsidR="00CA6166">
        <w:t>Ugovor</w:t>
      </w:r>
      <w:r>
        <w:t xml:space="preserve"> o prijenosu tražbine ovjeren kod javnog bilježnika Ive Dujmović iz Zagreba pod poslovnim brojem Ov-3490/17 </w:t>
      </w:r>
      <w:r w:rsidR="00CA6166">
        <w:t xml:space="preserve">u izvorniku </w:t>
      </w:r>
      <w:r>
        <w:t>te moli ispravak tražbine stečajnog vjerovnika u II. višem isplatnom redu tako da umjesto vjerovnika stečajnog vjerovnika Financijska agencija njegovo mjesto zauzme novi stečajni vjerovnik Željko Ćurko</w:t>
      </w:r>
      <w:r w:rsidR="00CA6166">
        <w:t xml:space="preserve"> (list 194-196 spisa)</w:t>
      </w:r>
      <w:r>
        <w:t>.</w:t>
      </w:r>
    </w:p>
    <w:p w:rsidRDefault="006236C9" w:rsidP="00CA6166" w:rsidR="001E259C">
      <w:pPr>
        <w:pStyle w:val="Tijeloteksta2"/>
        <w:spacing w:before="200"/>
      </w:pPr>
      <w:r>
        <w:tab/>
      </w:r>
      <w:r w:rsidR="00CA6166" w:rsidRPr="00CA6166">
        <w:t xml:space="preserve">S obzirom da je </w:t>
      </w:r>
      <w:r w:rsidR="00BA61D2">
        <w:t>Željko Ćurko</w:t>
      </w:r>
      <w:r w:rsidR="00CA6166" w:rsidRPr="00CA6166">
        <w:t xml:space="preserve"> dostavio javno ovjerovljen</w:t>
      </w:r>
      <w:r w:rsidR="00CA6166">
        <w:t>i Ugovor</w:t>
      </w:r>
      <w:r w:rsidR="00CA6166" w:rsidRPr="00CA6166">
        <w:t xml:space="preserve"> o ustupu tražbine </w:t>
      </w:r>
      <w:r w:rsidR="00CA6166">
        <w:t>kojim</w:t>
      </w:r>
      <w:r w:rsidR="00BA61D2">
        <w:t>,</w:t>
      </w:r>
      <w:r w:rsidR="00CA6166">
        <w:t xml:space="preserve"> kao cesionar</w:t>
      </w:r>
      <w:r w:rsidR="00BA61D2">
        <w:t>,</w:t>
      </w:r>
      <w:r w:rsidR="00CA6166">
        <w:t xml:space="preserve"> prima tražbinu u iznosu od 4.364,02 kn</w:t>
      </w:r>
      <w:r w:rsidR="00BA61D2">
        <w:t>,</w:t>
      </w:r>
      <w:r w:rsidR="00CA6166">
        <w:t xml:space="preserve"> koju cedent</w:t>
      </w:r>
      <w:r w:rsidR="00BA61D2">
        <w:t xml:space="preserve"> -</w:t>
      </w:r>
      <w:r w:rsidR="00CA6166">
        <w:t xml:space="preserve"> </w:t>
      </w:r>
      <w:r w:rsidR="00CA6166" w:rsidRPr="00CA6166">
        <w:t>Financijska agencija</w:t>
      </w:r>
      <w:r w:rsidR="00CA6166">
        <w:t xml:space="preserve"> ima utvrđenu u ovom stečajnom postupku kao vjerovnik II. višeg isplatnog reda, </w:t>
      </w:r>
      <w:r w:rsidR="00CA6166" w:rsidRPr="00CA6166">
        <w:t>to ovaj sud smatra da isti u odnosu na prenesen</w:t>
      </w:r>
      <w:r w:rsidR="00CA6166">
        <w:t>u</w:t>
      </w:r>
      <w:r w:rsidR="00CA6166" w:rsidRPr="00CA6166">
        <w:t xml:space="preserve"> tražbin</w:t>
      </w:r>
      <w:r w:rsidR="00BA61D2">
        <w:t>u</w:t>
      </w:r>
      <w:r w:rsidR="00CA6166" w:rsidRPr="00CA6166">
        <w:t xml:space="preserve"> ulazi u pravni položaj vjerovnika koji mu </w:t>
      </w:r>
      <w:r w:rsidR="00CA6166">
        <w:t>je</w:t>
      </w:r>
      <w:r w:rsidR="00CA6166" w:rsidRPr="00CA6166">
        <w:t xml:space="preserve"> </w:t>
      </w:r>
      <w:r w:rsidR="00CA6166">
        <w:t xml:space="preserve">tu </w:t>
      </w:r>
      <w:r w:rsidR="00CA6166" w:rsidRPr="00CA6166">
        <w:t>tražbin</w:t>
      </w:r>
      <w:r w:rsidR="00CA6166">
        <w:t>u</w:t>
      </w:r>
      <w:r w:rsidR="00CA6166" w:rsidRPr="00CA6166">
        <w:t xml:space="preserve"> preni</w:t>
      </w:r>
      <w:r w:rsidR="00CA6166">
        <w:t>o</w:t>
      </w:r>
      <w:r w:rsidR="00BA61D2">
        <w:t xml:space="preserve"> te</w:t>
      </w:r>
      <w:r w:rsidR="00CA6166" w:rsidRPr="00CA6166">
        <w:t xml:space="preserve"> je stoga nj</w:t>
      </w:r>
      <w:r w:rsidR="00BA61D2">
        <w:t>egov zahtjev za ispravak tablice</w:t>
      </w:r>
      <w:r w:rsidR="00CA6166" w:rsidRPr="00CA6166">
        <w:t xml:space="preserve"> ispitanih tražbina vjerovnika </w:t>
      </w:r>
      <w:r w:rsidR="00BA61D2">
        <w:t>drug</w:t>
      </w:r>
      <w:r w:rsidR="00CA6166" w:rsidRPr="00CA6166">
        <w:t>og višeg isplatnog reda os</w:t>
      </w:r>
      <w:r w:rsidR="001E259C">
        <w:t xml:space="preserve">novan, a sve u skladu s odredbom čl. 146. </w:t>
      </w:r>
      <w:r w:rsidR="001E259C" w:rsidRPr="0032578D">
        <w:t xml:space="preserve">Stečajnog zakona („Narodne novine“ </w:t>
      </w:r>
      <w:r w:rsidR="001E259C">
        <w:t>71/15 i 104/17; dalje SZ).</w:t>
      </w:r>
    </w:p>
    <w:p w:rsidRDefault="00CA6166" w:rsidP="006236C9" w:rsidR="006236C9">
      <w:pPr>
        <w:pStyle w:val="Tijeloteksta2"/>
        <w:spacing w:before="200"/>
      </w:pPr>
      <w:r>
        <w:tab/>
        <w:t>Nadalje, u tablic</w:t>
      </w:r>
      <w:r w:rsidR="008737FE">
        <w:t>u</w:t>
      </w:r>
      <w:r>
        <w:t xml:space="preserve"> </w:t>
      </w:r>
      <w:r w:rsidRPr="00CA6166">
        <w:t>ispitanih tražbina od 13. l</w:t>
      </w:r>
      <w:r w:rsidR="008737FE">
        <w:t>istopada 2017. (list 148 spisa)  u drugom višem isplatnom redu pod rednim brojem 3. uvrštena je kao osporena (od strane stečajnog upravitelja) tražbina vjerovnika Željka Ćurka u iznosu od 682.798,00 kn.</w:t>
      </w:r>
    </w:p>
    <w:p w:rsidRDefault="008737FE" w:rsidP="006236C9" w:rsidR="008737FE">
      <w:pPr>
        <w:pStyle w:val="Tijeloteksta2"/>
        <w:spacing w:before="200"/>
      </w:pPr>
      <w:r>
        <w:tab/>
        <w:t>Pravomoćnim rješenjem ovoga suda broj St-2040/2016 od 20. prosinca 2017. godine odbačena je predmetna prijava tražbine pa istu valja izostaviti iz tablice ispitanih tražbina.</w:t>
      </w:r>
    </w:p>
    <w:p w:rsidRDefault="008737FE" w:rsidP="006236C9" w:rsidR="008737FE">
      <w:pPr>
        <w:pStyle w:val="Tijeloteksta2"/>
        <w:spacing w:before="200"/>
      </w:pPr>
      <w:r>
        <w:tab/>
        <w:t>Slijedom navedenog, odlučeno je kao u izreci ovog rješenja.</w:t>
      </w:r>
    </w:p>
    <w:p w:rsidRDefault="001E7D3C" w:rsidP="008737FE" w:rsidR="001E7D3C">
      <w:pPr>
        <w:pStyle w:val="Tijeloteksta2"/>
      </w:pPr>
    </w:p>
    <w:p w:rsidRDefault="00CB1662" w:rsidP="001E7D3C" w:rsidR="00770222">
      <w:pPr>
        <w:pStyle w:val="Tijeloteksta2"/>
        <w:jc w:val="center"/>
      </w:pPr>
      <w:r>
        <w:t xml:space="preserve">U Splitu </w:t>
      </w:r>
      <w:r w:rsidR="001E259C">
        <w:t>2. ožujka</w:t>
      </w:r>
      <w:r w:rsidR="00C41575" w:rsidRPr="00C41575">
        <w:t xml:space="preserve"> 2018</w:t>
      </w:r>
      <w:r>
        <w:t>.</w:t>
      </w:r>
    </w:p>
    <w:p w:rsidRDefault="00770222" w:rsidP="00D13B7F" w:rsidR="00770222">
      <w:pPr>
        <w:spacing w:before="1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10DF3">
        <w:t xml:space="preserve">                                      </w:t>
      </w:r>
      <w:r w:rsidR="00210DF3">
        <w:tab/>
        <w:t xml:space="preserve">  Sutkinja</w:t>
      </w:r>
    </w:p>
    <w:p w:rsidRDefault="00210DF3" w:rsidP="00770222" w:rsidR="00770222">
      <w:pPr>
        <w:jc w:val="right"/>
      </w:pPr>
      <w:r>
        <w:t xml:space="preserve">   Ana Golub Gruić</w:t>
      </w:r>
    </w:p>
    <w:p w:rsidRDefault="00D13B7F" w:rsidP="00D13B7F" w:rsidR="00770222">
      <w:pPr>
        <w:spacing w:before="140"/>
        <w:jc w:val="both"/>
      </w:pPr>
      <w:r>
        <w:t>Uputa o pravnom lijeku</w:t>
      </w:r>
      <w:r w:rsidR="00770222">
        <w:t>: Protiv ovog rješenja nije dopuštena žalba (č</w:t>
      </w:r>
      <w:r>
        <w:t>l.</w:t>
      </w:r>
      <w:r w:rsidR="00770222">
        <w:t xml:space="preserve"> 278. st</w:t>
      </w:r>
      <w:r>
        <w:t>.</w:t>
      </w:r>
      <w:r w:rsidR="00770222">
        <w:t xml:space="preserve"> 2. Zakona o parničnom postupku (˝Narodne novine˝ broj 53/91, 91/92, 112/99, 88/01, 117/03, 88/05, 2/07, 84/08, 96/08, 123/08, 57/11 i 25/13, u vezi sa čl</w:t>
      </w:r>
      <w:r>
        <w:t>.</w:t>
      </w:r>
      <w:r w:rsidR="00770222">
        <w:t xml:space="preserve"> 6. SZ-a).</w:t>
      </w:r>
      <w:r w:rsidR="00770222">
        <w:tab/>
      </w:r>
      <w:r w:rsidR="00770222">
        <w:tab/>
      </w:r>
    </w:p>
    <w:p w:rsidRDefault="00D13B7F" w:rsidP="00D13B7F" w:rsidR="00770222">
      <w:pPr>
        <w:spacing w:before="140"/>
      </w:pPr>
      <w:r>
        <w:t>Dna</w:t>
      </w:r>
      <w:r w:rsidR="00770222">
        <w:t>:</w:t>
      </w:r>
    </w:p>
    <w:p w:rsidRDefault="001E259C" w:rsidP="00770222" w:rsidR="00770222">
      <w:r>
        <w:t xml:space="preserve">- </w:t>
      </w:r>
      <w:r w:rsidR="00770222">
        <w:t>stečajnom upravitelju</w:t>
      </w:r>
      <w:r w:rsidR="00210DF3">
        <w:t xml:space="preserve"> </w:t>
      </w:r>
    </w:p>
    <w:p w:rsidRDefault="008737FE" w:rsidP="00770222" w:rsidR="008737FE">
      <w:r>
        <w:t xml:space="preserve">- </w:t>
      </w:r>
      <w:r w:rsidR="001E259C">
        <w:t>stečajnom vjerovniku Željku Ćurku po punomoćniku</w:t>
      </w:r>
    </w:p>
    <w:p w:rsidRDefault="001E259C" w:rsidP="00770222" w:rsidR="001E259C">
      <w:r>
        <w:t>- Financijska agencija, Regionalni centar Zagreb, Ul. grada Vukovara 70</w:t>
      </w:r>
    </w:p>
    <w:p w:rsidRDefault="001E259C" w:rsidP="00770222" w:rsidR="00770222">
      <w:r>
        <w:t xml:space="preserve">- </w:t>
      </w:r>
      <w:r w:rsidR="00770222">
        <w:t xml:space="preserve">mrežna stranica e-Oglasna ploča sudova </w:t>
      </w:r>
    </w:p>
    <w:p w:rsidRDefault="001E259C" w:rsidP="00770222" w:rsidR="008B4A56">
      <w:r>
        <w:t xml:space="preserve">- </w:t>
      </w:r>
      <w:r w:rsidR="00770222">
        <w:t>u spis</w:t>
      </w:r>
    </w:p>
    <w:p w:rsidRDefault="009D6AB0" w:rsidP="00770222" w:rsidR="009D6AB0"/>
    <w:sectPr w:rsidSect="003100FD" w:rsidR="009D6AB0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696" w:rsidP="00B92914" w:rsidR="006F3696">
      <w:r>
        <w:separator/>
      </w:r>
    </w:p>
  </w:endnote>
  <w:endnote w:id="0" w:type="continuationSeparator">
    <w:p w:rsidRDefault="006F3696" w:rsidP="00B92914" w:rsidR="006F3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696" w:rsidP="00B92914" w:rsidR="006F3696">
      <w:r>
        <w:separator/>
      </w:r>
    </w:p>
  </w:footnote>
  <w:footnote w:id="0" w:type="continuationSeparator">
    <w:p w:rsidRDefault="006F3696" w:rsidP="00B92914" w:rsidR="006F3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BCB" w:rsidP="00C41575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CC4F36">
          <w:fldChar w:fldCharType="begin"/>
        </w:r>
        <w:r w:rsidR="00B12AE6">
          <w:instrText>PAGE   \* MERGEFORMAT</w:instrText>
        </w:r>
        <w:r w:rsidR="00CC4F36">
          <w:fldChar w:fldCharType="separate"/>
        </w:r>
        <w:r>
          <w:rPr>
            <w:noProof/>
          </w:rPr>
          <w:t>2</w:t>
        </w:r>
        <w:r w:rsidR="00CC4F36">
          <w:fldChar w:fldCharType="end"/>
        </w:r>
        <w:r w:rsidR="00C41575">
          <w:tab/>
        </w:r>
      </w:sdtContent>
    </w:sdt>
    <w:r w:rsidR="00C41575">
      <w:t xml:space="preserve">Poslovni broj: </w:t>
    </w:r>
    <w:r w:rsidR="00B12AE6" w:rsidRPr="00B12AE6">
      <w:t>11.St-</w:t>
    </w:r>
    <w:r w:rsidR="001E259C">
      <w:t>204</w:t>
    </w:r>
    <w:r w:rsidR="00C41575">
      <w:t>0</w:t>
    </w:r>
    <w:r w:rsidR="00002171">
      <w:t>/201</w:t>
    </w:r>
    <w:r w:rsidR="00C41575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C41575" w:rsidR="00B12AE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45667E4"/>
    <w:multiLevelType w:val="hybridMultilevel"/>
    <w:tmpl w:val="0B24C390"/>
    <w:lvl w:tplc="CA5E25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12564"/>
    <w:rsid w:val="00127977"/>
    <w:rsid w:val="00135CCC"/>
    <w:rsid w:val="001B7F9A"/>
    <w:rsid w:val="001D1A6B"/>
    <w:rsid w:val="001D66B6"/>
    <w:rsid w:val="001E259C"/>
    <w:rsid w:val="001E4FF8"/>
    <w:rsid w:val="001E7D3C"/>
    <w:rsid w:val="00210DF3"/>
    <w:rsid w:val="00227E08"/>
    <w:rsid w:val="002337B3"/>
    <w:rsid w:val="00236D6F"/>
    <w:rsid w:val="00237BF5"/>
    <w:rsid w:val="00256C42"/>
    <w:rsid w:val="002D3B07"/>
    <w:rsid w:val="003100FD"/>
    <w:rsid w:val="0032667F"/>
    <w:rsid w:val="00347638"/>
    <w:rsid w:val="0038748A"/>
    <w:rsid w:val="003D72B1"/>
    <w:rsid w:val="003F3F9F"/>
    <w:rsid w:val="003F73D8"/>
    <w:rsid w:val="0042518B"/>
    <w:rsid w:val="00426C37"/>
    <w:rsid w:val="00466E01"/>
    <w:rsid w:val="004C5A03"/>
    <w:rsid w:val="004F77B6"/>
    <w:rsid w:val="00517FEF"/>
    <w:rsid w:val="00531D81"/>
    <w:rsid w:val="00541BC9"/>
    <w:rsid w:val="00566433"/>
    <w:rsid w:val="00581597"/>
    <w:rsid w:val="00590E39"/>
    <w:rsid w:val="005C3750"/>
    <w:rsid w:val="005D5016"/>
    <w:rsid w:val="005F6BFE"/>
    <w:rsid w:val="006236C9"/>
    <w:rsid w:val="00624107"/>
    <w:rsid w:val="006922B0"/>
    <w:rsid w:val="006951FE"/>
    <w:rsid w:val="006F308F"/>
    <w:rsid w:val="006F3696"/>
    <w:rsid w:val="0071428A"/>
    <w:rsid w:val="00757BCB"/>
    <w:rsid w:val="00760BEA"/>
    <w:rsid w:val="007659A5"/>
    <w:rsid w:val="00770222"/>
    <w:rsid w:val="00792894"/>
    <w:rsid w:val="007A4677"/>
    <w:rsid w:val="007A7272"/>
    <w:rsid w:val="007B40F5"/>
    <w:rsid w:val="007C20FA"/>
    <w:rsid w:val="007E2957"/>
    <w:rsid w:val="0080300F"/>
    <w:rsid w:val="008044F0"/>
    <w:rsid w:val="008737FE"/>
    <w:rsid w:val="008B4A56"/>
    <w:rsid w:val="008D31C1"/>
    <w:rsid w:val="009133B2"/>
    <w:rsid w:val="009239C8"/>
    <w:rsid w:val="00933253"/>
    <w:rsid w:val="00973DE1"/>
    <w:rsid w:val="009848CF"/>
    <w:rsid w:val="009B26C0"/>
    <w:rsid w:val="009D6AB0"/>
    <w:rsid w:val="009E1423"/>
    <w:rsid w:val="009E1F18"/>
    <w:rsid w:val="009F0FC8"/>
    <w:rsid w:val="00A0601A"/>
    <w:rsid w:val="00A16878"/>
    <w:rsid w:val="00A22485"/>
    <w:rsid w:val="00A602EA"/>
    <w:rsid w:val="00A70B74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A61D2"/>
    <w:rsid w:val="00BC35B1"/>
    <w:rsid w:val="00C14E5E"/>
    <w:rsid w:val="00C261FE"/>
    <w:rsid w:val="00C41575"/>
    <w:rsid w:val="00C6200F"/>
    <w:rsid w:val="00CA6166"/>
    <w:rsid w:val="00CB1662"/>
    <w:rsid w:val="00CB2F65"/>
    <w:rsid w:val="00CC4F36"/>
    <w:rsid w:val="00D13B7F"/>
    <w:rsid w:val="00D348BD"/>
    <w:rsid w:val="00D36C8E"/>
    <w:rsid w:val="00D40A16"/>
    <w:rsid w:val="00D44082"/>
    <w:rsid w:val="00D46B98"/>
    <w:rsid w:val="00D661F4"/>
    <w:rsid w:val="00DF524F"/>
    <w:rsid w:val="00E03FDC"/>
    <w:rsid w:val="00E07A93"/>
    <w:rsid w:val="00E14F85"/>
    <w:rsid w:val="00E63084"/>
    <w:rsid w:val="00E80E84"/>
    <w:rsid w:val="00E92F2C"/>
    <w:rsid w:val="00EB5514"/>
    <w:rsid w:val="00EC0023"/>
    <w:rsid w:val="00EC6337"/>
    <w:rsid w:val="00EC6EC7"/>
    <w:rsid w:val="00ED0106"/>
    <w:rsid w:val="00F045D4"/>
    <w:rsid w:val="00F07947"/>
    <w:rsid w:val="00F139CE"/>
    <w:rsid w:val="00F25213"/>
    <w:rsid w:val="00F326A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12 St-1516/2016</izvorni_sadrzaj>
    <derivirana_varijabla naziv="DomainObject.Predmet.Opis_1">ZAPRIMLJEN NOVI PRIJEDLOG POD POSLOVNIM BROJEM 12 St-1516/2016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St-2040/2016</izvorni_sadrzaj>
    <derivirana_varijabla naziv="DomainObject.Predmet.OznakaBroj_1">St-2040/2016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ARHITEKTONSKO - GRAĐEVNI KAMEN DINARIT za eksploataciju i obradu kamena, društvo s ograničenom odgovornošću</izvorni_sadrzaj>
    <derivirana_varijabla naziv="DomainObject.Predmet.ProtustrankaFormated_1">  ARHITEKTONSKO - GRAĐEVNI KAMEN DINARIT za eksploataciju i obradu kamena, društvo s ograničenom odgovornošću</derivirana_varijabla>
  </DomainObject.Predmet.ProtustrankaFormated>
  <DomainObject.Predmet.ProtustrankaFormatedOIB>
    <izvorni_sadrzaj>  ARHITEKTONSKO - GRAĐEVNI KAMEN DINARIT za eksploataciju i obradu kamena, društvo s ograničenom odgovornošću, OIB 92671429499</izvorni_sadrzaj>
    <derivirana_varijabla naziv="DomainObject.Predmet.ProtustrankaFormatedOIB_1">  ARHITEKTONSKO - GRAĐEVNI KAMEN DINARIT za eksploataciju i obradu kamena, društvo s ograničenom odgovornošću, OIB 92671429499</derivirana_varijabla>
  </DomainObject.Predmet.ProtustrankaFormatedOIB>
  <DomainObject.Predmet.ProtustrankaFormatedWithAdress>
    <izvorni_sadrzaj> ARHITEKTONSKO - GRAĐEVNI KAMEN DINARIT za eksploataciju i obradu kamena, društvo s ograničenom odgovornošću, Radna Zona Kosore/bb, 21236 Vrlika</izvorni_sadrzaj>
    <derivirana_varijabla naziv="DomainObject.Predmet.ProtustrankaFormatedWithAdress_1"> ARHITEKTONSKO - GRAĐEVNI KAMEN DINARIT za eksploataciju i obradu kamena, društvo s ograničenom odgovornošću, Radna Zona Kosore/bb, 21236 Vrlika</derivirana_varijabla>
  </DomainObject.Predmet.ProtustrankaFormatedWithAdress>
  <DomainObject.Predmet.ProtustrankaFormatedWithAdressOIB>
    <izvorni_sadrzaj> ARHITEKTONSKO - GRAĐEVNI KAMEN DINARIT za eksploataciju i obradu kamena, društvo s ograničenom odgovornošću, OIB 92671429499, Radna Zona Kosore/bb, 21236 Vrlika</izvorni_sadrzaj>
    <derivirana_varijabla naziv="DomainObject.Predmet.ProtustrankaFormatedWithAdressOIB_1"> ARHITEKTONSKO - GRAĐEVNI KAMEN DINARIT za eksploataciju i obradu kamena, društvo s ograničenom odgovornošću, OIB 92671429499, Radna Zona Kosore/bb, 21236 Vrlika</derivirana_varijabla>
  </DomainObject.Predmet.ProtustrankaFormatedWithAdressOIB>
  <DomainObject.Predmet.ProtustrankaWithAdress>
    <izvorni_sadrzaj>ARHITEKTONSKO - GRAĐEVNI KAMEN DINARIT za eksploataciju i obradu kamena, društvo s ograničenom odgovornošću Radna Zona Kosore/bb, 21236 Vrlika</izvorni_sadrzaj>
    <derivirana_varijabla naziv="DomainObject.Predmet.ProtustrankaWithAdress_1">ARHITEKTONSKO - GRAĐEVNI KAMEN DINARIT za eksploataciju i obradu kamena, društvo s ograničenom odgovornošću Radna Zona Kosore/bb, 21236 Vrlika</derivirana_varijabla>
  </DomainObject.Predmet.ProtustrankaWithAdress>
  <DomainObject.Predmet.ProtustrankaWithAdressOIB>
    <izvorni_sadrzaj>ARHITEKTONSKO - GRAĐEVNI KAMEN DINARIT za eksploataciju i obradu kamena, društvo s ograničenom odgovornošću, OIB 92671429499, Radna Zona Kosore/bb, 21236 Vrlika</izvorni_sadrzaj>
    <derivirana_varijabla naziv="DomainObject.Predmet.ProtustrankaWithAdressOIB_1">ARHITEKTONSKO - GRAĐEVNI KAMEN DINARIT za eksploataciju i obradu kamena, društvo s ograničenom odgovornošću, OIB 92671429499, Radna Zona Kosore/bb, 21236 Vrlika</derivirana_varijabla>
  </DomainObject.Predmet.ProtustrankaWithAdressOIB>
  <DomainObject.Predmet.ProtustrankaNazivFormated>
    <izvorni_sadrzaj>ARHITEKTONSKO - GRAĐEVNI KAMEN DINARIT za eksploataciju i obradu kamena, društvo s ograničenom odgovornošću</izvorni_sadrzaj>
    <derivirana_varijabla naziv="DomainObject.Predmet.ProtustrankaNazivFormated_1">ARHITEKTONSKO - GRAĐEVNI KAMEN DINARIT za eksploataciju i obradu kamena, društvo s ograničenom odgovornošću</derivirana_varijabla>
  </DomainObject.Predmet.ProtustrankaNazivFormated>
  <DomainObject.Predmet.ProtustrankaNazivFormatedOIB>
    <izvorni_sadrzaj>ARHITEKTONSKO - GRAĐEVNI KAMEN DINARIT za eksploataciju i obradu kamena, društvo s ograničenom odgovornošću, OIB 92671429499</izvorni_sadrzaj>
    <derivirana_varijabla naziv="DomainObject.Predmet.ProtustrankaNazivFormatedOIB_1">ARHITEKTONSKO - GRAĐEVNI KAMEN DINARIT za eksploataciju i obradu kamena, društvo s ograničenom odgovornošću, OIB 92671429499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91832.24</izvorni_sadrzaj>
    <derivirana_varijabla naziv="DomainObject.Predmet.TrenutnaVrijednost_1">91832.24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ARHITEKTONSKO - GRAĐEVNI KAMEN DINARIT za eksploataciju i obradu kamena, društvo s ograničenom odgovornošću</item>
    </izvorni_sadrzaj>
    <derivirana_varijabla naziv="DomainObject.Predmet.ProtuStrankaListFormated_1">
      <item>ARHITEKTONSKO - GRAĐEVNI KAMEN DINARIT za eksploataciju i obradu kamena, društvo s ograničenom odgovornošću</item>
    </derivirana_varijabla>
  </DomainObject.Predmet.ProtuStrankaListFormated>
  <DomainObject.Predmet.ProtuStrankaListFormatedOIB>
    <izvorni_sadrzaj>
      <item>ARHITEKTONSKO - GRAĐEVNI KAMEN DINARIT za eksploataciju i obradu kamena, društvo s ograničenom odgovornošću, OIB 92671429499</item>
    </izvorni_sadrzaj>
    <derivirana_varijabla naziv="DomainObject.Predmet.ProtuStrankaListFormatedOIB_1">
      <item>ARHITEKTONSKO - GRAĐEVNI KAMEN DINARIT za eksploataciju i obradu kamena, društvo s ograničenom odgovornošću, OIB 92671429499</item>
    </derivirana_varijabla>
  </DomainObject.Predmet.ProtuStrankaListFormatedOIB>
  <DomainObject.Predmet.ProtuStrankaListFormatedWithAdress>
    <izvorni_sadrzaj>
      <item>ARHITEKTONSKO - GRAĐEVNI KAMEN DINARIT za eksploataciju i obradu kamena, društvo s ograničenom odgovornošću, Radna Zona Kosore/bb, 21236 Vrlika</item>
    </izvorni_sadrzaj>
    <derivirana_varijabla naziv="DomainObject.Predmet.ProtuStrankaListFormatedWithAdress_1">
      <item>ARHITEKTONSKO - GRAĐEVNI KAMEN DINARIT za eksploataciju i obradu kamena, društvo s ograničenom odgovornošću, Radna Zona Kosore/bb, 21236 Vrlika</item>
    </derivirana_varijabla>
  </DomainObject.Predmet.ProtuStrankaListFormatedWithAdress>
  <DomainObject.Predmet.ProtuStrankaListFormatedWithAdressOIB>
    <izvorni_sadrzaj>
      <item>ARHITEKTONSKO - GRAĐEVNI KAMEN DINARIT za eksploataciju i obradu kamena, društvo s ograničenom odgovornošću, OIB 92671429499, Radna Zona Kosore/bb, 21236 Vrlika</item>
    </izvorni_sadrzaj>
    <derivirana_varijabla naziv="DomainObject.Predmet.ProtuStrankaListFormatedWithAdressOIB_1">
      <item>ARHITEKTONSKO - GRAĐEVNI KAMEN DINARIT za eksploataciju i obradu kamena, društvo s ograničenom odgovornošću, OIB 92671429499, Radna Zona Kosore/bb, 21236 Vrlika</item>
    </derivirana_varijabla>
  </DomainObject.Predmet.ProtuStrankaListFormatedWithAdressOIB>
  <DomainObject.Predmet.ProtuStrankaListNazivFormated>
    <izvorni_sadrzaj>
      <item>ARHITEKTONSKO - GRAĐEVNI KAMEN DINARIT za eksploataciju i obradu kamena, društvo s ograničenom odgovornošću</item>
    </izvorni_sadrzaj>
    <derivirana_varijabla naziv="DomainObject.Predmet.ProtuStrankaListNazivFormated_1">
      <item>ARHITEKTONSKO - GRAĐEVNI KAMEN DINARIT za eksploataciju i obradu kamena, društvo s ograničenom odgovornošću</item>
    </derivirana_varijabla>
  </DomainObject.Predmet.ProtuStrankaListNazivFormated>
  <DomainObject.Predmet.ProtuStrankaListNazivFormatedOIB>
    <izvorni_sadrzaj>
      <item>ARHITEKTONSKO - GRAĐEVNI KAMEN DINARIT za eksploataciju i obradu kamena, društvo s ograničenom odgovornošću, OIB 92671429499</item>
    </izvorni_sadrzaj>
    <derivirana_varijabla naziv="DomainObject.Predmet.ProtuStrankaListNazivFormatedOIB_1">
      <item>ARHITEKTONSKO - GRAĐEVNI KAMEN DINARIT za eksploataciju i obradu kamena, društvo s ograničenom odgovornošću, OIB 92671429499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Željko Ćurko</item>
    </izvorni_sadrzaj>
    <derivirana_varijabla naziv="DomainObject.Predmet.OstaliListFormated_1">
      <item>Županijsko državno odvjetništvo u Splitu punomoćnik sudionika u postupku Ministarstvo financija RH</item>
      <item>Željko Ćurko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Željko Ćurko, OIB 74050896838</item>
    </izvorni_sadrzaj>
    <derivirana_varijabla naziv="DomainObject.Predmet.OstaliListFormatedOIB_1">
      <item>Županijsko državno odvjetništvo u Splitu punomoćnik sudionika u postupku Ministarstvo financija RH</item>
      <item>Željko Ćurko, OIB 74050896838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Željko Ćurko, Kupreška 6, 22300 Knin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Željko Ćurko, Kupreška 6, 22300 Knin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Željko Ćurko, OIB 74050896838, Kupreška 6, 22300 Knin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Željko Ćurko, OIB 74050896838, Kupreška 6, 22300 Knin</item>
    </derivirana_varijabla>
  </DomainObject.Predmet.OstaliListFormatedWithAdressOIB>
  <DomainObject.Predmet.OstaliListNazivFormated>
    <izvorni_sadrzaj>
      <item>Županijsko državno odvjetništvo u Splitu</item>
      <item>Željko Ćurko</item>
    </izvorni_sadrzaj>
    <derivirana_varijabla naziv="DomainObject.Predmet.OstaliListNazivFormated_1">
      <item>Županijsko državno odvjetništvo u Splitu</item>
      <item>Željko Ćurko</item>
    </derivirana_varijabla>
  </DomainObject.Predmet.OstaliListNazivFormated>
  <DomainObject.Predmet.OstaliListNazivFormatedOIB>
    <izvorni_sadrzaj>
      <item>Županijsko državno odvjetništvo u Splitu</item>
      <item>Željko Ćurko, OIB 74050896838</item>
    </izvorni_sadrzaj>
    <derivirana_varijabla naziv="DomainObject.Predmet.OstaliListNazivFormatedOIB_1">
      <item>Županijsko državno odvjetništvo u Splitu</item>
      <item>Željko Ćurko, OIB 74050896838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ARHITEKTONSKO - GRAĐEVNI KAMEN DINARIT za eksploataciju i obradu kamena, društvo s ograničenom odgovornošću</izvorni_sadrzaj>
    <derivirana_varijabla naziv="DomainObject.Predmet.ProtustrankaIDrugi_1">ARHITEKTONSKO - GRAĐEVNI KAMEN DINARIT za eksploataciju i obradu kamena,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ARHITEKTONSKO - GRAĐEVNI KAMEN DINARIT za eksploataciju i obradu kamena, društvo s ograničenom odgovornošću, OIB 92671429499, Radna Zona Kosore/bb, 21236 Vrlika</izvorni_sadrzaj>
    <derivirana_varijabla naziv="DomainObject.Predmet.ProtustrankaIDrugiAdressOIB_1">ARHITEKTONSKO - GRAĐEVNI KAMEN DINARIT za eksploataciju i obradu kamena, društvo s ograničenom odgovornošću, OIB 92671429499, Radna Zona Kosore/bb,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izvorni_sadrzaj>
    <derivirana_varijabla naziv="DomainObject.Predmet.SudioniciListNaziv_1"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derivirana_varijabla>
  </DomainObject.Predmet.SudioniciListNaziv>
  <DomainObject.Predmet.SudioniciListAdressOIB>
    <izvorni_sadrzaj>
      <item>ARHITEKTONSKO - GRAĐEVNI KAMEN DINARIT za eksploataciju i obradu kamena, društvo s ograničenom odgovornošću, OIB 92671429499, Radna Zona Kosore/bb,21236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izvorni_sadrzaj>
    <derivirana_varijabla naziv="DomainObject.Predmet.SudioniciListAdressOIB_1">
      <item>ARHITEKTONSKO - GRAĐEVNI KAMEN DINARIT za eksploataciju i obradu kamena, društvo s ograničenom odgovornošću, OIB 92671429499, Radna Zona Kosore/bb,21236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92671429499</item>
      <item>, OIB 85821130368</item>
      <item>, OIB 18683136487</item>
      <item>, OIB null</item>
      <item>, OIB 74050896838</item>
    </izvorni_sadrzaj>
    <derivirana_varijabla naziv="DomainObject.Predmet.SudioniciListNazivOIB_1">
      <item>, OIB 92671429499</item>
      <item>, OIB 85821130368</item>
      <item>, OIB 18683136487</item>
      <item>, OIB null</item>
      <item>, OIB 74050896838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BEA627-4CB8-4665-A590-044A84588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576</properties:Words>
  <properties:Characters>3105</properties:Characters>
  <properties:Lines>101</properties:Lines>
  <properties:Paragraphs>56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2016-11-17T08:43:00Z</dcterms:created>
  <dc:creator>Tatjana Kujundžić-Novak</dc:creator>
  <cp:lastModifiedBy>Ana Golub Gruić</cp:lastModifiedBy>
  <cp:lastPrinted>2018-03-02T11:56:00Z</cp:lastPrinted>
  <dcterms:modified xmlns:xsi="http://www.w3.org/2001/XMLSchema-instance" xsi:type="dcterms:W3CDTF">2018-03-02T12:00:00Z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(St-2040-2016 Rješenje - prijenos - stjecanje tražbine - ispravak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