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588954" w14:paraId="e588954" w:rsidRDefault="00186527" w:rsidP="00186527" w:rsidR="00D36B90" w:rsidRPr="0003427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427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 xml:space="preserve">Zagreb, Amruševa 2/II     </w:t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="00604ACE" w:rsidRPr="0003427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48</w:t>
      </w:r>
      <w:r w:rsidR="00604ACE" w:rsidRPr="00034275">
        <w:rPr>
          <w:sz w:val="24"/>
          <w:szCs w:val="24"/>
          <w:lang w:eastAsia="en-US"/>
        </w:rPr>
        <w:t>. St-</w:t>
      </w:r>
      <w:r w:rsidR="00C21229">
        <w:rPr>
          <w:sz w:val="24"/>
          <w:szCs w:val="24"/>
          <w:lang w:eastAsia="en-US"/>
        </w:rPr>
        <w:t>1141/17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034275">
      <w:pPr>
        <w:rPr>
          <w:sz w:val="24"/>
          <w:szCs w:val="24"/>
        </w:rPr>
      </w:pPr>
    </w:p>
    <w:p w:rsidRDefault="001912CF" w:rsidP="00034275" w:rsidR="001912CF" w:rsidRPr="00034275">
      <w:pPr>
        <w:ind w:firstLine="708" w:right="-283"/>
        <w:jc w:val="both"/>
        <w:rPr>
          <w:szCs w:val="24"/>
        </w:rPr>
      </w:pPr>
      <w:r w:rsidRPr="00034275">
        <w:rPr>
          <w:bCs/>
          <w:sz w:val="24"/>
          <w:szCs w:val="24"/>
        </w:rPr>
        <w:t>Trgovački sud u Zagrebu, p</w:t>
      </w:r>
      <w:r w:rsidRPr="0003427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</w:t>
      </w:r>
      <w:r w:rsidR="0056362C">
        <w:rPr>
          <w:sz w:val="24"/>
          <w:szCs w:val="24"/>
        </w:rPr>
        <w:t>stečajnom masom iza stečajnog dužnika</w:t>
      </w:r>
      <w:r w:rsidRPr="00034275">
        <w:rPr>
          <w:sz w:val="24"/>
          <w:szCs w:val="24"/>
        </w:rPr>
        <w:t xml:space="preserve"> </w:t>
      </w:r>
      <w:r w:rsidR="00C21229" w:rsidRPr="00E637B8">
        <w:rPr>
          <w:sz w:val="24"/>
          <w:szCs w:val="24"/>
          <w:lang w:val="pt-BR"/>
        </w:rPr>
        <w:t>F</w:t>
      </w:r>
      <w:r w:rsidR="00C21229" w:rsidRPr="00E637B8">
        <w:rPr>
          <w:rFonts w:eastAsiaTheme="minorEastAsia"/>
          <w:sz w:val="24"/>
          <w:szCs w:val="24"/>
        </w:rPr>
        <w:t>.G. NEKRETNINE d.o.o., Velika Gorica, Zagrebačka 17, OIB: 36845630494</w:t>
      </w:r>
      <w:r w:rsidRPr="00746507">
        <w:rPr>
          <w:sz w:val="24"/>
          <w:szCs w:val="24"/>
        </w:rPr>
        <w:t xml:space="preserve">,  dana </w:t>
      </w:r>
      <w:r w:rsidR="00C21229">
        <w:rPr>
          <w:sz w:val="24"/>
          <w:szCs w:val="24"/>
        </w:rPr>
        <w:t>04. listopada 2018</w:t>
      </w:r>
      <w:r w:rsidRPr="00746507">
        <w:rPr>
          <w:sz w:val="24"/>
          <w:szCs w:val="24"/>
        </w:rPr>
        <w:t>. godine</w:t>
      </w:r>
    </w:p>
    <w:p w:rsidRDefault="005D5E30" w:rsidP="00655B27" w:rsidR="005D5E30" w:rsidRPr="00034275">
      <w:pPr>
        <w:widowControl/>
        <w:rPr>
          <w:sz w:val="24"/>
          <w:szCs w:val="24"/>
        </w:rPr>
      </w:pPr>
    </w:p>
    <w:p w:rsidRDefault="004D45C7" w:rsidP="00E42C0C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>r i j e š i o   j e</w:t>
      </w:r>
    </w:p>
    <w:p w:rsidRDefault="005D7DE5" w:rsidP="0063661A" w:rsidR="005D7DE5" w:rsidRPr="00034275">
      <w:pPr>
        <w:widowControl/>
        <w:rPr>
          <w:sz w:val="24"/>
          <w:szCs w:val="24"/>
        </w:rPr>
      </w:pPr>
    </w:p>
    <w:p w:rsidRDefault="00D1322D" w:rsidP="00E17326" w:rsidR="00E17326">
      <w:pPr>
        <w:jc w:val="both"/>
        <w:rPr>
          <w:sz w:val="24"/>
          <w:szCs w:val="24"/>
        </w:rPr>
      </w:pPr>
      <w:r w:rsidRPr="00034275">
        <w:rPr>
          <w:sz w:val="24"/>
          <w:szCs w:val="24"/>
        </w:rPr>
        <w:t>Utvrđene tražbine viših isplatnih redova</w:t>
      </w:r>
      <w:r w:rsidR="00474885" w:rsidRPr="00034275">
        <w:rPr>
          <w:sz w:val="24"/>
          <w:szCs w:val="24"/>
        </w:rPr>
        <w:t xml:space="preserve">: </w:t>
      </w:r>
    </w:p>
    <w:p w:rsidRDefault="00746507" w:rsidP="00E17326" w:rsidR="00746507" w:rsidRPr="00034275">
      <w:pPr>
        <w:jc w:val="both"/>
        <w:rPr>
          <w:sz w:val="24"/>
          <w:szCs w:val="24"/>
        </w:rPr>
      </w:pPr>
    </w:p>
    <w:p w:rsidRDefault="0056362C" w:rsidP="00274FFC" w:rsidR="00746507">
      <w:pPr>
        <w:jc w:val="both"/>
        <w:rPr>
          <w:sz w:val="24"/>
          <w:szCs w:val="24"/>
        </w:rPr>
      </w:pPr>
      <w:r>
        <w:rPr>
          <w:sz w:val="24"/>
          <w:szCs w:val="24"/>
        </w:rPr>
        <w:t>II. viši isplatni red:</w:t>
      </w:r>
    </w:p>
    <w:p w:rsidRDefault="0056362C" w:rsidP="00274FFC" w:rsidR="0056362C">
      <w:pPr>
        <w:jc w:val="both"/>
        <w:rPr>
          <w:sz w:val="24"/>
          <w:szCs w:val="24"/>
        </w:rPr>
      </w:pPr>
    </w:p>
    <w:tbl>
      <w:tblPr>
        <w:tblW w:type="pct" w:w="500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89"/>
        <w:gridCol w:w="1222"/>
        <w:gridCol w:w="2126"/>
        <w:gridCol w:w="1997"/>
        <w:gridCol w:w="1793"/>
        <w:gridCol w:w="1793"/>
      </w:tblGrid>
      <w:tr w:rsidTr="00596C2F" w:rsidR="00596C2F" w:rsidRPr="00C21229">
        <w:trPr>
          <w:trHeight w:val="785"/>
        </w:trPr>
        <w:tc>
          <w:tcPr>
            <w:tcW w:type="pct" w:w="3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spacing w:lineRule="auto" w:line="276"/>
              <w:jc w:val="center"/>
              <w:rPr>
                <w:bCs/>
                <w:sz w:val="24"/>
                <w:szCs w:val="24"/>
              </w:rPr>
            </w:pPr>
            <w:r w:rsidRPr="00C21229">
              <w:rPr>
                <w:bCs/>
                <w:sz w:val="24"/>
                <w:szCs w:val="24"/>
              </w:rPr>
              <w:t>Rb</w:t>
            </w:r>
          </w:p>
        </w:tc>
        <w:tc>
          <w:tcPr>
            <w:tcW w:type="pct" w:w="6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spacing w:lineRule="auto" w:line="276"/>
              <w:jc w:val="center"/>
              <w:rPr>
                <w:bCs/>
                <w:sz w:val="24"/>
                <w:szCs w:val="24"/>
              </w:rPr>
            </w:pPr>
            <w:r w:rsidRPr="00C21229">
              <w:rPr>
                <w:bCs/>
                <w:sz w:val="24"/>
                <w:szCs w:val="24"/>
              </w:rPr>
              <w:t xml:space="preserve">Br prijave </w:t>
            </w:r>
          </w:p>
        </w:tc>
        <w:tc>
          <w:tcPr>
            <w:tcW w:type="pct" w:w="110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spacing w:lineRule="auto" w:line="276"/>
              <w:jc w:val="center"/>
              <w:rPr>
                <w:b/>
                <w:bCs/>
                <w:sz w:val="24"/>
                <w:szCs w:val="24"/>
              </w:rPr>
            </w:pPr>
            <w:r w:rsidRPr="00C21229">
              <w:rPr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pct" w:w="103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spacing w:lineRule="auto" w:line="276"/>
              <w:jc w:val="center"/>
              <w:rPr>
                <w:b/>
                <w:bCs/>
                <w:sz w:val="24"/>
                <w:szCs w:val="24"/>
              </w:rPr>
            </w:pPr>
            <w:r w:rsidRPr="00C21229">
              <w:rPr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pct" w:w="9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spacing w:lineRule="auto" w:line="276"/>
              <w:jc w:val="center"/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Iznos prijavljene tražbine (kn)</w:t>
            </w:r>
          </w:p>
        </w:tc>
        <w:tc>
          <w:tcPr>
            <w:tcW w:type="pct" w:w="9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C21229">
              <w:rPr>
                <w:rFonts w:eastAsia="Calibri"/>
                <w:sz w:val="24"/>
                <w:szCs w:val="24"/>
                <w:lang w:eastAsia="en-US"/>
              </w:rPr>
              <w:t>Iznos priznate tražbine (kn)</w:t>
            </w:r>
          </w:p>
        </w:tc>
      </w:tr>
      <w:tr w:rsidTr="00596C2F" w:rsidR="00596C2F" w:rsidRPr="00C21229">
        <w:trPr>
          <w:trHeight w:val="785"/>
        </w:trPr>
        <w:tc>
          <w:tcPr>
            <w:tcW w:type="pct" w:w="3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spacing w:lineRule="auto" w:line="276"/>
              <w:jc w:val="center"/>
              <w:rPr>
                <w:bCs/>
                <w:sz w:val="24"/>
                <w:szCs w:val="24"/>
              </w:rPr>
            </w:pPr>
            <w:r w:rsidRPr="00C2122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type="pct" w:w="6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1.</w:t>
            </w:r>
          </w:p>
        </w:tc>
        <w:tc>
          <w:tcPr>
            <w:tcW w:type="pct" w:w="110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 xml:space="preserve">Republika Hrvatska, Ministarstvo pravosuđa  </w:t>
            </w:r>
          </w:p>
          <w:p w:rsidRDefault="00596C2F" w:rsidP="00C21229" w:rsidR="00596C2F" w:rsidRPr="00C21229">
            <w:pPr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 xml:space="preserve">OIB: 52634238587 zastupa Županijsko državno odvjetništvo u Velikoj Gorici </w:t>
            </w:r>
          </w:p>
        </w:tc>
        <w:tc>
          <w:tcPr>
            <w:tcW w:type="pct" w:w="103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rPr>
                <w:sz w:val="24"/>
                <w:szCs w:val="24"/>
              </w:rPr>
            </w:pPr>
          </w:p>
        </w:tc>
        <w:tc>
          <w:tcPr>
            <w:tcW w:type="pct" w:w="9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8.416,22</w:t>
            </w:r>
          </w:p>
        </w:tc>
        <w:tc>
          <w:tcPr>
            <w:tcW w:type="pct" w:w="9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8.416,22</w:t>
            </w:r>
          </w:p>
        </w:tc>
      </w:tr>
      <w:tr w:rsidTr="00596C2F" w:rsidR="00596C2F" w:rsidRPr="00C21229">
        <w:trPr>
          <w:trHeight w:val="785"/>
        </w:trPr>
        <w:tc>
          <w:tcPr>
            <w:tcW w:type="pct" w:w="3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spacing w:lineRule="auto" w:line="276"/>
              <w:jc w:val="center"/>
              <w:rPr>
                <w:bCs/>
                <w:sz w:val="24"/>
                <w:szCs w:val="24"/>
              </w:rPr>
            </w:pPr>
            <w:r w:rsidRPr="00C21229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type="pct" w:w="6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2</w:t>
            </w:r>
          </w:p>
        </w:tc>
        <w:tc>
          <w:tcPr>
            <w:tcW w:type="pct" w:w="110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HEP ELEKTRA d.o.o.</w:t>
            </w:r>
          </w:p>
          <w:p w:rsidRDefault="00596C2F" w:rsidP="00C21229" w:rsidR="00596C2F" w:rsidRPr="00C21229">
            <w:pPr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OIB: 43965974818</w:t>
            </w:r>
          </w:p>
        </w:tc>
        <w:tc>
          <w:tcPr>
            <w:tcW w:type="pct" w:w="103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Zagreb, Gundulićeva 32</w:t>
            </w:r>
          </w:p>
        </w:tc>
        <w:tc>
          <w:tcPr>
            <w:tcW w:type="pct" w:w="9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 xml:space="preserve">8.670,82 </w:t>
            </w:r>
          </w:p>
        </w:tc>
        <w:tc>
          <w:tcPr>
            <w:tcW w:type="pct" w:w="9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8.670,82</w:t>
            </w:r>
          </w:p>
        </w:tc>
      </w:tr>
      <w:tr w:rsidTr="00596C2F" w:rsidR="00596C2F" w:rsidRPr="00C21229">
        <w:trPr>
          <w:trHeight w:val="785"/>
        </w:trPr>
        <w:tc>
          <w:tcPr>
            <w:tcW w:type="pct" w:w="3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spacing w:lineRule="auto" w:line="276"/>
              <w:jc w:val="center"/>
              <w:rPr>
                <w:bCs/>
                <w:sz w:val="24"/>
                <w:szCs w:val="24"/>
              </w:rPr>
            </w:pPr>
            <w:r w:rsidRPr="00C21229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type="pct" w:w="6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3.</w:t>
            </w:r>
          </w:p>
        </w:tc>
        <w:tc>
          <w:tcPr>
            <w:tcW w:type="pct" w:w="110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Republika Hrvatska, Ministarstvo financija, Porezna uprava, zastupani po ŽDO u Velikoj Gorici</w:t>
            </w:r>
          </w:p>
          <w:p w:rsidRDefault="00596C2F" w:rsidP="00C21229" w:rsidR="00596C2F" w:rsidRPr="00C21229">
            <w:pPr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OIB: 18683136487</w:t>
            </w:r>
          </w:p>
        </w:tc>
        <w:tc>
          <w:tcPr>
            <w:tcW w:type="pct" w:w="103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rPr>
                <w:sz w:val="24"/>
                <w:szCs w:val="24"/>
              </w:rPr>
            </w:pPr>
          </w:p>
        </w:tc>
        <w:tc>
          <w:tcPr>
            <w:tcW w:type="pct" w:w="9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 xml:space="preserve">617.830,87 </w:t>
            </w:r>
          </w:p>
        </w:tc>
        <w:tc>
          <w:tcPr>
            <w:tcW w:type="pct" w:w="9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sz w:val="24"/>
                <w:szCs w:val="24"/>
              </w:rPr>
            </w:pPr>
            <w:r w:rsidRPr="00C21229">
              <w:rPr>
                <w:sz w:val="24"/>
                <w:szCs w:val="24"/>
              </w:rPr>
              <w:t>617.830,87</w:t>
            </w:r>
          </w:p>
        </w:tc>
      </w:tr>
      <w:tr w:rsidTr="00596C2F" w:rsidR="00596C2F" w:rsidRPr="00C21229">
        <w:trPr>
          <w:trHeight w:val="785"/>
        </w:trPr>
        <w:tc>
          <w:tcPr>
            <w:tcW w:type="pct" w:w="3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spacing w:lineRule="auto" w:line="276"/>
              <w:jc w:val="center"/>
              <w:rPr>
                <w:bCs/>
                <w:sz w:val="24"/>
                <w:szCs w:val="24"/>
              </w:rPr>
            </w:pPr>
          </w:p>
          <w:p w:rsidRDefault="00596C2F" w:rsidP="00C21229" w:rsidR="00596C2F" w:rsidRPr="00C21229">
            <w:pPr>
              <w:spacing w:lineRule="auto" w:line="276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type="pct" w:w="6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110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rPr>
                <w:sz w:val="24"/>
                <w:szCs w:val="24"/>
              </w:rPr>
            </w:pPr>
          </w:p>
        </w:tc>
        <w:tc>
          <w:tcPr>
            <w:tcW w:type="pct" w:w="103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9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b/>
                <w:sz w:val="24"/>
                <w:szCs w:val="24"/>
              </w:rPr>
            </w:pPr>
            <w:r w:rsidRPr="00C21229">
              <w:rPr>
                <w:b/>
                <w:sz w:val="24"/>
                <w:szCs w:val="24"/>
              </w:rPr>
              <w:t>634.917,91</w:t>
            </w:r>
          </w:p>
        </w:tc>
        <w:tc>
          <w:tcPr>
            <w:tcW w:type="pct" w:w="9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96C2F" w:rsidP="00C21229" w:rsidR="00596C2F" w:rsidRPr="00C21229">
            <w:pPr>
              <w:jc w:val="center"/>
              <w:rPr>
                <w:b/>
                <w:sz w:val="24"/>
                <w:szCs w:val="24"/>
              </w:rPr>
            </w:pPr>
            <w:r w:rsidRPr="00C21229">
              <w:rPr>
                <w:b/>
                <w:sz w:val="24"/>
                <w:szCs w:val="24"/>
              </w:rPr>
              <w:t>634.917,91</w:t>
            </w:r>
          </w:p>
        </w:tc>
      </w:tr>
    </w:tbl>
    <w:p w:rsidRDefault="0056362C" w:rsidP="00274FFC" w:rsidR="0056362C">
      <w:pPr>
        <w:jc w:val="both"/>
        <w:rPr>
          <w:sz w:val="24"/>
          <w:szCs w:val="24"/>
        </w:rPr>
      </w:pPr>
    </w:p>
    <w:p w:rsidRDefault="00974F0E" w:rsidP="00974F0E" w:rsidR="00974F0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974F0E" w:rsidP="00274FFC" w:rsidR="00974F0E">
      <w:pPr>
        <w:jc w:val="both"/>
        <w:rPr>
          <w:sz w:val="24"/>
          <w:szCs w:val="24"/>
        </w:rPr>
      </w:pPr>
    </w:p>
    <w:p w:rsidRDefault="00C04EC7" w:rsidP="00C04EC7" w:rsidR="00C04EC7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</w:t>
      </w:r>
      <w:r w:rsidR="00376E64" w:rsidRPr="00034275">
        <w:rPr>
          <w:sz w:val="24"/>
          <w:szCs w:val="24"/>
        </w:rPr>
        <w:t xml:space="preserve"> i</w:t>
      </w:r>
      <w:r w:rsidR="006B0579" w:rsidRPr="00034275">
        <w:rPr>
          <w:sz w:val="24"/>
          <w:szCs w:val="24"/>
        </w:rPr>
        <w:t xml:space="preserve">spitnom ročištu održanom dana </w:t>
      </w:r>
      <w:r w:rsidR="00C21229">
        <w:rPr>
          <w:sz w:val="24"/>
          <w:szCs w:val="24"/>
        </w:rPr>
        <w:t>04. listopada</w:t>
      </w:r>
      <w:r w:rsidR="000B7987" w:rsidRPr="00034275">
        <w:rPr>
          <w:sz w:val="24"/>
          <w:szCs w:val="24"/>
        </w:rPr>
        <w:t xml:space="preserve"> 2018</w:t>
      </w:r>
      <w:r w:rsidRPr="00034275">
        <w:rPr>
          <w:sz w:val="24"/>
          <w:szCs w:val="24"/>
        </w:rPr>
        <w:t>. ispitane su sve pr</w:t>
      </w:r>
      <w:r w:rsidR="00991E04" w:rsidRPr="00034275">
        <w:rPr>
          <w:sz w:val="24"/>
          <w:szCs w:val="24"/>
        </w:rPr>
        <w:t xml:space="preserve">ijavljene tražbine prema svojim </w:t>
      </w:r>
      <w:r w:rsidRPr="00034275">
        <w:rPr>
          <w:sz w:val="24"/>
          <w:szCs w:val="24"/>
        </w:rPr>
        <w:t xml:space="preserve">iznosima i redu. 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034275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 xml:space="preserve">U </w:t>
      </w:r>
      <w:r w:rsidR="004D45C7" w:rsidRPr="00034275">
        <w:rPr>
          <w:sz w:val="24"/>
          <w:szCs w:val="24"/>
        </w:rPr>
        <w:t>Zagreb</w:t>
      </w:r>
      <w:r w:rsidRPr="00034275">
        <w:rPr>
          <w:sz w:val="24"/>
          <w:szCs w:val="24"/>
        </w:rPr>
        <w:t>u</w:t>
      </w:r>
      <w:r w:rsidR="004D45C7" w:rsidRPr="00034275">
        <w:rPr>
          <w:sz w:val="24"/>
          <w:szCs w:val="24"/>
        </w:rPr>
        <w:t xml:space="preserve"> </w:t>
      </w:r>
      <w:r w:rsidR="00C21229">
        <w:rPr>
          <w:sz w:val="24"/>
          <w:szCs w:val="24"/>
        </w:rPr>
        <w:t>04. listopada</w:t>
      </w:r>
      <w:r w:rsidR="0068262F" w:rsidRPr="00034275">
        <w:rPr>
          <w:sz w:val="24"/>
          <w:szCs w:val="24"/>
        </w:rPr>
        <w:t xml:space="preserve"> 2018. godine</w:t>
      </w:r>
    </w:p>
    <w:p w:rsidRDefault="00C32F5A" w:rsidP="004D45C7" w:rsidR="00C32F5A" w:rsidRPr="00034275">
      <w:pPr>
        <w:widowControl/>
        <w:ind w:firstLine="720" w:left="5040"/>
        <w:jc w:val="right"/>
        <w:rPr>
          <w:sz w:val="24"/>
          <w:szCs w:val="24"/>
        </w:rPr>
      </w:pPr>
      <w:r w:rsidRPr="00034275">
        <w:rPr>
          <w:sz w:val="24"/>
          <w:szCs w:val="24"/>
        </w:rPr>
        <w:t xml:space="preserve">   </w:t>
      </w:r>
    </w:p>
    <w:p w:rsidRDefault="00991E04" w:rsidP="00C4416C" w:rsidR="00C32F5A" w:rsidRPr="00034275">
      <w:pPr>
        <w:widowControl/>
        <w:ind w:firstLine="708" w:left="6372"/>
        <w:rPr>
          <w:sz w:val="24"/>
          <w:szCs w:val="24"/>
        </w:rPr>
      </w:pPr>
      <w:r w:rsidRPr="00034275">
        <w:rPr>
          <w:sz w:val="24"/>
          <w:szCs w:val="24"/>
        </w:rPr>
        <w:t xml:space="preserve">        </w:t>
      </w:r>
      <w:r w:rsidR="004D45C7" w:rsidRPr="00034275">
        <w:rPr>
          <w:sz w:val="24"/>
          <w:szCs w:val="24"/>
        </w:rPr>
        <w:t>SUDAC:</w:t>
      </w:r>
    </w:p>
    <w:p w:rsidRDefault="00C32F5A" w:rsidP="00E53D3D" w:rsidR="001D78BE">
      <w:pPr>
        <w:pStyle w:val="Uvuenotijeloteksta"/>
        <w:ind w:firstLine="141" w:left="1983"/>
        <w:jc w:val="right"/>
      </w:pPr>
      <w:r w:rsidRPr="00034275">
        <w:tab/>
      </w:r>
      <w:r w:rsidR="00991E04" w:rsidRPr="00034275">
        <w:t>Vesna Sremac Šoštar</w:t>
      </w:r>
      <w:r w:rsidRPr="00034275">
        <w:t xml:space="preserve"> </w:t>
      </w:r>
      <w:r w:rsidR="001D78BE">
        <w:t>,v.r.</w:t>
      </w:r>
    </w:p>
    <w:p w:rsidRDefault="001D78BE" w:rsidP="00D338FD" w:rsidR="001D78BE">
      <w:pPr>
        <w:pStyle w:val="Uvuenotijeloteksta"/>
        <w:ind w:firstLine="141" w:left="1983"/>
        <w:jc w:val="right"/>
      </w:pPr>
      <w:r>
        <w:t>Za točnost otpravka</w:t>
      </w:r>
    </w:p>
    <w:p w:rsidRDefault="001D78BE" w:rsidP="00C32F5A" w:rsidR="00C32F5A" w:rsidRPr="001D78BE">
      <w:pPr>
        <w:jc w:val="right"/>
        <w:rPr>
          <w:sz w:val="24"/>
          <w:szCs w:val="24"/>
        </w:rPr>
      </w:pPr>
      <w:r w:rsidRPr="001D78BE">
        <w:rPr>
          <w:sz w:val="24"/>
          <w:szCs w:val="24"/>
        </w:rPr>
        <w:t>Matea Bizjak</w:t>
      </w:r>
    </w:p>
    <w:p w:rsidRDefault="004D45C7" w:rsidP="00C32F5A" w:rsidR="004D45C7" w:rsidRPr="00034275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034275">
      <w:pPr>
        <w:widowControl/>
        <w:jc w:val="both"/>
        <w:rPr>
          <w:sz w:val="24"/>
          <w:szCs w:val="24"/>
        </w:rPr>
      </w:pPr>
    </w:p>
    <w:p w:rsidRDefault="007C1B3D" w:rsidP="004D45C7" w:rsidR="004D45C7" w:rsidRPr="00034275">
      <w:pPr>
        <w:widowControl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UPUTA </w:t>
      </w:r>
      <w:r w:rsidR="004D45C7" w:rsidRPr="00034275">
        <w:rPr>
          <w:sz w:val="24"/>
          <w:szCs w:val="24"/>
        </w:rPr>
        <w:t>O PRAVNOM LIJEKU:</w:t>
      </w:r>
    </w:p>
    <w:p w:rsidRDefault="00E67B25" w:rsidP="00F5127C" w:rsidR="00F5127C" w:rsidRPr="00034275">
      <w:pPr>
        <w:jc w:val="both"/>
        <w:rPr>
          <w:sz w:val="24"/>
          <w:szCs w:val="24"/>
          <w:lang w:val="pl-PL"/>
        </w:rPr>
      </w:pPr>
      <w:r w:rsidRPr="000342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034275">
        <w:rPr>
          <w:sz w:val="24"/>
          <w:szCs w:val="24"/>
        </w:rPr>
        <w:t xml:space="preserve">i stečajni upravitelj </w:t>
      </w:r>
      <w:r w:rsidRPr="00034275">
        <w:rPr>
          <w:sz w:val="24"/>
          <w:szCs w:val="24"/>
        </w:rPr>
        <w:t xml:space="preserve">(čl. 265. st 3. SZ). </w:t>
      </w:r>
      <w:r w:rsidR="00F5127C" w:rsidRPr="0003427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034275">
      <w:pPr>
        <w:widowControl/>
        <w:jc w:val="both"/>
        <w:rPr>
          <w:sz w:val="24"/>
          <w:szCs w:val="24"/>
        </w:rPr>
      </w:pPr>
    </w:p>
    <w:p w:rsidRDefault="00312D23" w:rsidP="004D45C7" w:rsidR="00312D23" w:rsidRPr="00034275">
      <w:pPr>
        <w:widowControl/>
        <w:jc w:val="both"/>
        <w:rPr>
          <w:sz w:val="24"/>
          <w:szCs w:val="24"/>
        </w:rPr>
      </w:pPr>
    </w:p>
    <w:sectPr w:rsidSect="0056362C" w:rsidR="00312D23" w:rsidRPr="00034275">
      <w:headerReference w:type="even" r:id="rId11"/>
      <w:headerReference w:type="defaul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8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C21229">
      <w:rPr>
        <w:sz w:val="24"/>
        <w:szCs w:val="24"/>
      </w:rPr>
      <w:t>1141/17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4"/>
  </w:num>
  <w:num w:numId="3">
    <w:abstractNumId w:val="7"/>
  </w:num>
  <w:num w:numId="4">
    <w:abstractNumId w:val="45"/>
  </w:num>
  <w:num w:numId="5">
    <w:abstractNumId w:val="40"/>
  </w:num>
  <w:num w:numId="6">
    <w:abstractNumId w:val="18"/>
  </w:num>
  <w:num w:numId="7">
    <w:abstractNumId w:val="46"/>
  </w:num>
  <w:num w:numId="8">
    <w:abstractNumId w:val="33"/>
  </w:num>
  <w:num w:numId="9">
    <w:abstractNumId w:val="5"/>
  </w:num>
  <w:num w:numId="10">
    <w:abstractNumId w:val="27"/>
  </w:num>
  <w:num w:numId="11">
    <w:abstractNumId w:val="37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6"/>
  </w:num>
  <w:num w:numId="17">
    <w:abstractNumId w:val="32"/>
  </w:num>
  <w:num w:numId="18">
    <w:abstractNumId w:val="19"/>
  </w:num>
  <w:num w:numId="19">
    <w:abstractNumId w:val="20"/>
  </w:num>
  <w:num w:numId="20">
    <w:abstractNumId w:val="1"/>
  </w:num>
  <w:num w:numId="21">
    <w:abstractNumId w:val="38"/>
  </w:num>
  <w:num w:numId="22">
    <w:abstractNumId w:val="42"/>
  </w:num>
  <w:num w:numId="23">
    <w:abstractNumId w:val="39"/>
  </w:num>
  <w:num w:numId="24">
    <w:abstractNumId w:val="30"/>
  </w:num>
  <w:num w:numId="25">
    <w:abstractNumId w:val="15"/>
  </w:num>
  <w:num w:numId="26">
    <w:abstractNumId w:val="23"/>
  </w:num>
  <w:num w:numId="27">
    <w:abstractNumId w:val="16"/>
  </w:num>
  <w:num w:numId="28">
    <w:abstractNumId w:val="26"/>
  </w:num>
  <w:num w:numId="29">
    <w:abstractNumId w:val="17"/>
  </w:num>
  <w:num w:numId="30">
    <w:abstractNumId w:val="10"/>
  </w:num>
  <w:num w:numId="31">
    <w:abstractNumId w:val="3"/>
  </w:num>
  <w:num w:numId="32">
    <w:abstractNumId w:val="8"/>
  </w:num>
  <w:num w:numId="33">
    <w:abstractNumId w:val="31"/>
  </w:num>
  <w:num w:numId="34">
    <w:abstractNumId w:val="24"/>
  </w:num>
  <w:num w:numId="35">
    <w:abstractNumId w:val="29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11"/>
  </w:num>
  <w:num w:numId="39">
    <w:abstractNumId w:val="4"/>
  </w:num>
  <w:num w:numId="40">
    <w:abstractNumId w:val="43"/>
  </w:num>
  <w:num w:numId="41">
    <w:abstractNumId w:val="41"/>
  </w:num>
  <w:num w:numId="42">
    <w:abstractNumId w:val="0"/>
  </w:num>
  <w:num w:numId="43">
    <w:abstractNumId w:val="36"/>
  </w:num>
  <w:num w:numId="44">
    <w:abstractNumId w:val="14"/>
  </w:num>
  <w:num w:numId="45">
    <w:abstractNumId w:val="13"/>
  </w:num>
  <w:num w:numId="46">
    <w:abstractNumId w:val="34"/>
  </w:num>
  <w:num w:numId="4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0127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480E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D78BE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74FFC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6362C"/>
    <w:rsid w:val="0057206A"/>
    <w:rsid w:val="0057441D"/>
    <w:rsid w:val="005902AA"/>
    <w:rsid w:val="0059682F"/>
    <w:rsid w:val="00596C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1681C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2247B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74F0E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1229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44E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33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1D78BE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1D78B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1D78BE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1D78B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F.G. NEKRETNINE d.o.o. u stečaju</izvorni_sadrzaj>
    <derivirana_varijabla naziv="DomainObject.Predmet.ProtustrankaFormated_1">  Stečajna masa iza F.G. NEKRETNINE d.o.o. u stečaju</derivirana_varijabla>
  </DomainObject.Predmet.ProtustrankaFormated>
  <DomainObject.Predmet.ProtustrankaFormatedOIB>
    <izvorni_sadrzaj>  Stečajna masa iza F.G. NEKRETNINE d.o.o. u stečaju, OIB 57684841556</izvorni_sadrzaj>
    <derivirana_varijabla naziv="DomainObject.Predmet.ProtustrankaFormatedOIB_1">  Stečajna masa iza F.G. NEKRETNINE d.o.o. u stečaju, OIB 57684841556</derivirana_varijabla>
  </DomainObject.Predmet.ProtustrankaFormatedOIB>
  <DomainObject.Predmet.ProtustrankaFormatedWithAdress>
    <izvorni_sadrzaj> Stečajna masa iza F.G. NEKRETNINE d.o.o. u stečaju, Josipa Jelačića 12, 43000 Bjelovar</izvorni_sadrzaj>
    <derivirana_varijabla naziv="DomainObject.Predmet.ProtustrankaFormatedWithAdress_1"> Stečajna masa iza F.G. NEKRETNINE d.o.o. u stečaju, Josipa Jelačića 12, 43000 Bjelovar</derivirana_varijabla>
  </DomainObject.Predmet.ProtustrankaFormatedWithAdress>
  <DomainObject.Predmet.ProtustrankaFormatedWithAdressOIB>
    <izvorni_sadrzaj> Stečajna masa iza F.G. NEKRETNINE d.o.o. u stečaju, OIB 57684841556, Josipa Jelačića 12, 43000 Bjelovar</izvorni_sadrzaj>
    <derivirana_varijabla naziv="DomainObject.Predmet.ProtustrankaFormatedWithAdressOIB_1"> Stečajna masa iza F.G. NEKRETNINE d.o.o. u stečaju, OIB 57684841556, Josipa Jelačića 12, 43000 Bjelovar</derivirana_varijabla>
  </DomainObject.Predmet.ProtustrankaFormatedWithAdressOIB>
  <DomainObject.Predmet.ProtustrankaWithAdress>
    <izvorni_sadrzaj>Stečajna masa iza F.G. NEKRETNINE d.o.o. u stečaju Josipa Jelačića 12, 43000 Bjelovar</izvorni_sadrzaj>
    <derivirana_varijabla naziv="DomainObject.Predmet.ProtustrankaWithAdress_1">Stečajna masa iza F.G. NEKRETNINE d.o.o. u stečaju Josipa Jelačića 12, 43000 Bjelovar</derivirana_varijabla>
  </DomainObject.Predmet.ProtustrankaWithAdress>
  <DomainObject.Predmet.ProtustrankaWithAdressOIB>
    <izvorni_sadrzaj>Stečajna masa iza F.G. NEKRETNINE d.o.o. u stečaju, OIB 57684841556, Josipa Jelačića 12, 43000 Bjelovar</izvorni_sadrzaj>
    <derivirana_varijabla naziv="DomainObject.Predmet.ProtustrankaWithAdressOIB_1">Stečajna masa iza F.G. NEKRETNINE d.o.o. u stečaju, OIB 57684841556, Josipa Jelačića 12, 43000 Bjelovar</derivirana_varijabla>
  </DomainObject.Predmet.ProtustrankaWithAdressOIB>
  <DomainObject.Predmet.ProtustrankaNazivFormated>
    <izvorni_sadrzaj>Stečajna masa iza F.G. NEKRETNINE d.o.o. u stečaju</izvorni_sadrzaj>
    <derivirana_varijabla naziv="DomainObject.Predmet.ProtustrankaNazivFormated_1">Stečajna masa iza F.G. NEKRETNINE d.o.o. u stečaju</derivirana_varijabla>
  </DomainObject.Predmet.ProtustrankaNazivFormated>
  <DomainObject.Predmet.ProtustrankaNazivFormatedOIB>
    <izvorni_sadrzaj>Stečajna masa iza F.G. NEKRETNINE d.o.o. u stečaju, OIB 57684841556</izvorni_sadrzaj>
    <derivirana_varijabla naziv="DomainObject.Predmet.ProtustrankaNazivFormatedOIB_1">Stečajna masa iza F.G. NEKRETNINE d.o.o. u stečaju, OIB 57684841556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F.G. NEKRETNINE d.o.o. u stečaju</item>
    </izvorni_sadrzaj>
    <derivirana_varijabla naziv="DomainObject.Predmet.ProtuStrankaListFormated_1">
      <item>Stečajna masa iza F.G. NEKRETNINE d.o.o. u stečaju</item>
    </derivirana_varijabla>
  </DomainObject.Predmet.ProtuStrankaListFormated>
  <DomainObject.Predmet.ProtuStrankaListFormatedOIB>
    <izvorni_sadrzaj>
      <item>Stečajna masa iza F.G. NEKRETNINE d.o.o. u stečaju, OIB 57684841556</item>
    </izvorni_sadrzaj>
    <derivirana_varijabla naziv="DomainObject.Predmet.ProtuStrankaListFormatedOIB_1">
      <item>Stečajna masa iza F.G. NEKRETNINE d.o.o. u stečaju, OIB 57684841556</item>
    </derivirana_varijabla>
  </DomainObject.Predmet.ProtuStrankaListFormatedOIB>
  <DomainObject.Predmet.ProtuStrankaListFormatedWithAdress>
    <izvorni_sadrzaj>
      <item>Stečajna masa iza F.G. NEKRETNINE d.o.o. u stečaju, Josipa Jelačića 12, 43000 Bjelovar</item>
    </izvorni_sadrzaj>
    <derivirana_varijabla naziv="DomainObject.Predmet.ProtuStrankaListFormatedWithAdress_1">
      <item>Stečajna masa iza F.G. NEKRETNINE d.o.o. u stečaju, Josipa Jelačića 12, 43000 Bjelovar</item>
    </derivirana_varijabla>
  </DomainObject.Predmet.ProtuStrankaListFormatedWithAdress>
  <DomainObject.Predmet.ProtuStrankaListFormatedWithAdressOIB>
    <izvorni_sadrzaj>
      <item>Stečajna masa iza F.G. NEKRETNINE d.o.o. u stečaju, OIB 57684841556, Josipa Jelačića 12, 43000 Bjelovar</item>
    </izvorni_sadrzaj>
    <derivirana_varijabla naziv="DomainObject.Predmet.ProtuStrankaListFormatedWithAdressOIB_1">
      <item>Stečajna masa iza F.G. NEKRETNINE d.o.o. u stečaju, OIB 57684841556, Josipa Jelačića 12, 43000 Bjelovar</item>
    </derivirana_varijabla>
  </DomainObject.Predmet.ProtuStrankaListFormatedWithAdressOIB>
  <DomainObject.Predmet.ProtuStrankaListNazivFormated>
    <izvorni_sadrzaj>
      <item>Stečajna masa iza F.G. NEKRETNINE d.o.o. u stečaju</item>
    </izvorni_sadrzaj>
    <derivirana_varijabla naziv="DomainObject.Predmet.ProtuStrankaListNazivFormated_1">
      <item>Stečajna masa iza F.G. NEKRETNINE d.o.o. u stečaju</item>
    </derivirana_varijabla>
  </DomainObject.Predmet.ProtuStrankaListNazivFormated>
  <DomainObject.Predmet.ProtuStrankaListNazivFormatedOIB>
    <izvorni_sadrzaj>
      <item>Stečajna masa iza F.G. NEKRETNINE d.o.o. u stečaju, OIB 57684841556</item>
    </izvorni_sadrzaj>
    <derivirana_varijabla naziv="DomainObject.Predmet.ProtuStrankaListNazivFormatedOIB_1">
      <item>Stečajna masa iza F.G. NEKRETNINE d.o.o. u stečaju, OIB 57684841556</item>
    </derivirana_varijabla>
  </DomainObject.Predmet.ProtuStrankaListNazivFormatedOIB>
  <DomainObject.Predmet.OstaliListFormated>
    <izvorni_sadrzaj>
      <item>EOLFGANG VNOUCEK</item>
    </izvorni_sadrzaj>
    <derivirana_varijabla naziv="DomainObject.Predmet.OstaliListFormated_1">
      <item>EOLFGANG VNOUCEK</item>
    </derivirana_varijabla>
  </DomainObject.Predmet.OstaliListFormated>
  <DomainObject.Predmet.OstaliListFormatedOIB>
    <izvorni_sadrzaj>
      <item>EOLFGANG VNOUCEK</item>
    </izvorni_sadrzaj>
    <derivirana_varijabla naziv="DomainObject.Predmet.OstaliListFormatedOIB_1">
      <item>EOLFGANG VNOUCEK</item>
    </derivirana_varijabla>
  </DomainObject.Predmet.OstaliListFormatedOIB>
  <DomainObject.Predmet.OstaliListFormatedWithAdress>
    <izvorni_sadrzaj>
      <item>EOLFGANG VNOUCEK, Seuttergasse 24., 2492 Eggendorf</item>
    </izvorni_sadrzaj>
    <derivirana_varijabla naziv="DomainObject.Predmet.OstaliListFormatedWithAdress_1">
      <item>EOLFGANG VNOUCEK, Seuttergasse 24., 2492 Eggendorf</item>
    </derivirana_varijabla>
  </DomainObject.Predmet.OstaliListFormatedWithAdress>
  <DomainObject.Predmet.OstaliListFormatedWithAdressOIB>
    <izvorni_sadrzaj>
      <item>EOLFGANG VNOUCEK, Seuttergasse 24., 2492 Eggendorf</item>
    </izvorni_sadrzaj>
    <derivirana_varijabla naziv="DomainObject.Predmet.OstaliListFormatedWithAdressOIB_1">
      <item>EOLFGANG VNOUCEK, Seuttergasse 24., 2492 Eggendorf</item>
    </derivirana_varijabla>
  </DomainObject.Predmet.OstaliListFormatedWithAdressOIB>
  <DomainObject.Predmet.OstaliListNazivFormated>
    <izvorni_sadrzaj>
      <item>EOLFGANG VNOUCEK</item>
    </izvorni_sadrzaj>
    <derivirana_varijabla naziv="DomainObject.Predmet.OstaliListNazivFormated_1">
      <item>EOLFGANG VNOUCEK</item>
    </derivirana_varijabla>
  </DomainObject.Predmet.OstaliListNazivFormated>
  <DomainObject.Predmet.OstaliListNazivFormatedOIB>
    <izvorni_sadrzaj>
      <item>EOLFGANG VNOUCEK</item>
    </izvorni_sadrzaj>
    <derivirana_varijabla naziv="DomainObject.Predmet.OstaliListNazivFormatedOIB_1">
      <item>EOLFGANG VNOUCEK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F.G. NEKRETNINE d.o.o. u stečaju</izvorni_sadrzaj>
    <derivirana_varijabla naziv="DomainObject.Predmet.ProtustrankaIDrugi_1">Stečajna masa iza F.G. NEKRETNINE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F.G. NEKRETNINE d.o.o. u stečaju, OIB 57684841556, Josipa Jelačića 12, 43000 Bjelovar</izvorni_sadrzaj>
    <derivirana_varijabla naziv="DomainObject.Predmet.ProtustrankaIDrugiAdressOIB_1">Stečajna masa iza F.G. NEKRETNINE d.o.o. u stečaju, OIB 57684841556,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F.G. NEKRETNINE d.o.o. u stečaju</item>
      <item>FINA Regionalni centar Zagreb</item>
      <item>EOLFGANG VNOUCEK</item>
    </izvorni_sadrzaj>
    <derivirana_varijabla naziv="DomainObject.Predmet.SudioniciListNaziv_1">
      <item>Stečajna masa iza F.G. NEKRETNINE d.o.o. u stečaju</item>
      <item>FINA Regionalni centar Zagreb</item>
      <item>EOLFGANG VNOUCEK</item>
    </derivirana_varijabla>
  </DomainObject.Predmet.SudioniciListNaziv>
  <DomainObject.Predmet.SudioniciListAdressOIB>
    <izvorni_sadrzaj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izvorni_sadrzaj>
    <derivirana_varijabla naziv="DomainObject.Predmet.SudioniciListAdressOIB_1"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57684841556</item>
      <item>, OIB 85821130368</item>
      <item>, OIB null</item>
    </izvorni_sadrzaj>
    <derivirana_varijabla naziv="DomainObject.Predmet.SudioniciListNazivOIB_1">
      <item>, OIB 57684841556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2361B-4754-4B67-B299-A510FC4D4A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1850</properties:Characters>
  <properties:Lines>105</properties:Lines>
  <properties:Paragraphs>50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2018-10-04T06:59:00Z</dcterms:created>
  <dc:creator>ilukac</dc:creator>
  <cp:lastModifiedBy>Matea Bizjak</cp:lastModifiedBy>
  <cp:lastPrinted>2018-10-04T09:40:00Z</cp:lastPrinted>
  <dcterms:modified xmlns:xsi="http://www.w3.org/2001/XMLSchema-instance" xsi:type="dcterms:W3CDTF">2018-10-04T09:40:00Z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(St-1141-17-rješenje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