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24b0" w14:paraId="ca224b0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0548C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48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48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48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48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48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48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4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4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272508.32</izvorni_sadrzaj>
    <derivirana_varijabla naziv="DomainObject.Predmet.TrenutnaVrijednost_1">272508.32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DARIO KOP d.o.o. VODNJAN</item>
    </izvorni_sadrzaj>
    <derivirana_varijabla naziv="DomainObject.Predmet.SudioniciListNaziv_1">
      <item>FINANCIJSKA AGENCIJA, RC RIJEKA, PODRUŽNICA PULA, PULA</item>
      <item>DARIO KOP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DARIO KOP d.o.o. VODNJAN, OIB 18431783243, Trgovačka 5,52100 Vodnjan</item>
    </izvorni_sadrzaj>
    <derivirana_varijabla naziv="DomainObject.Predmet.SudioniciListAdressOIB_1">
      <item>FINANCIJSKA AGENCIJA, RC RIJEKA, PODRUŽNICA PULA, PULA, OIB 85821130368, Giardini 5,52100 Pula</item>
      <item>DARIO KOP d.o.o. VODNJAN, OIB 18431783243, Trgovačka 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18431783243</item>
    </izvorni_sadrzaj>
    <derivirana_varijabla naziv="DomainObject.Predmet.SudioniciListNazivOIB_1">
      <item>, OIB 85821130368</item>
      <item>, OIB 18431783243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