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bd02" w14:paraId="173bd02"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15:collapsed w:val="false"/>
        <w:rPr>
          <w:rFonts w:cs="Century Gothic" w:eastAsia="Century Gothic" w:hAnsi="Century Gothic" w:ascii="Century Gothic"/>
          <w:kern w:val="3"/>
        </w:rPr>
      </w:pPr>
      <w:bookmarkStart w:name="_GoBack" w:id="0"/>
      <w:bookmarkEnd w:id="0"/>
      <w:r>
        <w:rPr>
          <w:rFonts w:hAnsi="Century Gothic" w:ascii="Century Gothic"/>
          <w:b/>
          <w:bCs/>
          <w:kern w:val="3"/>
        </w:rPr>
        <w:t>Nadležan trgovački sud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Trgovački sud u Varaždinu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kern w:val="3"/>
        </w:rPr>
      </w:pPr>
      <w:r>
        <w:rPr>
          <w:rFonts w:hAnsi="Century Gothic" w:ascii="Century Gothic"/>
          <w:b/>
          <w:bCs/>
          <w:kern w:val="3"/>
        </w:rPr>
        <w:t>Poslovni broj spisa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St-544/16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 xml:space="preserve">Dužnik: </w:t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VRTNI CENTAR VALENT d.o.o. u stečaju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>Zavrtna 16, Donji Kneginec, OIB: 51122034054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Nakon održanog ročišta</w:t>
      </w:r>
      <w:r>
        <w:t xml:space="preserve"> </w:t>
      </w:r>
      <w:r>
        <w:rPr>
          <w:rFonts w:hAnsi="Arial" w:ascii="Arial"/>
          <w:kern w:val="3"/>
        </w:rPr>
        <w:t>radi rasprave o pretpostavkama za otvaranje stečajnog postupka nad  TD VRTNI CENTAR VALENT d.o.o. otvoren je dana 16. ožujka 2017. godine, Rješenjem Trgovačkog suda u Varaždinu poslovni broj: 4 St-544/16-23, stečajni postupak u kojem sam postupku imenovan stečajnim upraviteljem,  te temeljem čl. 227.  Stečajnog zakona  podnosim: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IZVJEŠĆE O GOSPODARSKOM POLOŽ</w:t>
      </w:r>
      <w:r>
        <w:rPr>
          <w:rFonts w:hAnsi="Arial" w:ascii="Arial"/>
          <w:b/>
          <w:bCs/>
          <w:kern w:val="3"/>
          <w:lang w:val="de-DE"/>
        </w:rPr>
        <w:t>AJU STE</w:t>
      </w:r>
      <w:r>
        <w:rPr>
          <w:rFonts w:hAnsi="Arial" w:ascii="Arial"/>
          <w:b/>
          <w:bCs/>
          <w:kern w:val="3"/>
        </w:rPr>
        <w:t>ČAJNOG DUŽ</w:t>
      </w:r>
      <w:r>
        <w:rPr>
          <w:rFonts w:hAnsi="Arial" w:ascii="Arial"/>
          <w:b/>
          <w:bCs/>
          <w:kern w:val="3"/>
          <w:lang w:val="de-DE"/>
        </w:rPr>
        <w:t xml:space="preserve">NIKA 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 NJEGOVIM UZROCIMA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i/>
          <w:iCs/>
          <w:kern w:val="3"/>
          <w:u w:val="single"/>
        </w:rPr>
      </w:pPr>
      <w:r>
        <w:rPr>
          <w:rFonts w:hAnsi="Arial" w:ascii="Arial"/>
          <w:b/>
          <w:bCs/>
          <w:i/>
          <w:iCs/>
          <w:kern w:val="3"/>
          <w:u w:val="single"/>
        </w:rPr>
        <w:t>I.  Opći podaci o stečajnom dužniku i poduzete radnje stečajnog upravitelja</w:t>
      </w: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876C7" w:rsidP="007876C7" w:rsidR="007876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Stečajni dužnik VRTNI CENTAR VALENT d.o.o.,  skraćeno VALENT d.o.o., registriran je kod Trgovačkog suda u Varaždinu pod MBS: 070031760. Osnovna djelatnost stečajnog dužnika prije otvaranja stečajnog postupka bila je uzgoj sadnog materijala i ukrasnog bilja, šifre djelatnosti 0130 po NKD-u. Na dan otvaranja stečajnog postuka stečajni dužnik nije imao zaposlene radnike.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Sukladno Stečajnom zakonu, nakon otvaranja stečajnog postupka nad navedenim dužnikom, objavljen je oglas o otvaranju stečajnog postupka sa pozivom vjerovnicima za prijavu tražbina u stečajni postupak,  te održanja ispitnog ročišta određenih za dan 8. lipnja 2017. godine na e-oglasnoj ploči suda dana</w:t>
      </w:r>
      <w:r>
        <w:rPr>
          <w:rFonts w:hAnsi="Arial" w:ascii="Arial"/>
          <w:b/>
          <w:bCs/>
          <w:kern w:val="3"/>
        </w:rPr>
        <w:t>: </w:t>
      </w:r>
      <w:r>
        <w:rPr>
          <w:rFonts w:hAnsi="Arial" w:ascii="Arial"/>
          <w:kern w:val="3"/>
        </w:rPr>
        <w:t>16.03.2017. 13:03:38 h.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Stečajni upravitelj preuzeo je dužnost danom otvaranja stečajnog postupka te su nakon preuzimanja dužnosti poduzete aktivnosti kako slijedi: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preuzet je stari štambilj i izrađen je novi štambilj stečajnog dužnika s oznakom „</w:t>
      </w:r>
      <w:r>
        <w:rPr>
          <w:rFonts w:hAnsi="Arial" w:ascii="Arial"/>
          <w:lang w:val="de-DE"/>
        </w:rPr>
        <w:t>u ste</w:t>
      </w:r>
      <w:r>
        <w:rPr>
          <w:rFonts w:hAnsi="Arial" w:ascii="Arial"/>
        </w:rPr>
        <w:t xml:space="preserve">čaju“, 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otvoreni je račun za poslovanje u stečaju u Podravska banka d.d., IBAN HR1523860021119016638,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ovjeren je potpis stečajnog upravitelja i isti deponiran na Trgovačkom sudu u Varaždinu,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poslana je obavijest Državnom zavodu za statistiku za razvrstavanje stečajnog dužnika po djelatnosti, 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predan podnesak Trgovačkom sudu u Varaždinu o prijenosu uplaćenog predujma na otvoreni rač</w:t>
      </w:r>
      <w:r>
        <w:rPr>
          <w:rFonts w:hAnsi="Arial" w:ascii="Arial"/>
          <w:lang w:val="nl-NL"/>
        </w:rPr>
        <w:t>un ste</w:t>
      </w:r>
      <w:r>
        <w:rPr>
          <w:rFonts w:hAnsi="Arial" w:ascii="Arial"/>
        </w:rPr>
        <w:t>čajnog dužnika,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zatražena je dokumentacija stečajnog dužnika 22.03.2017. godine,</w:t>
      </w:r>
    </w:p>
    <w:p w:rsidRDefault="007876C7" w:rsidP="007876C7" w:rsidR="007876C7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lastRenderedPageBreak/>
        <w:t>izvršena je analiza radi utvrđivanja osnovanosti svih tražbina pristiglih vjerovnika stečajnog dužnika i utvrđene su tražbine bivših zaposlenika stečajnog dužnika,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sklopljen je ugovor o obavljanju knjigovodstvenih usluga sa društvom Biro plus d.o.o. iz Čakovca, </w:t>
      </w:r>
    </w:p>
    <w:p w:rsidRDefault="007876C7" w:rsidP="007876C7" w:rsidR="007876C7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izvršena je analiza imovine stečajnog dužnika, te je sačinjen popis predmeta stečajne mase sukladno čl. 221. Stečajnog zakona,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izvršena je analiza pribavljene dokumentacije u pogledu imovine i obveza stečajnog dužnika, te je sačinjen pregled imovine i obveza sukladno čl. 223. Stečajnog zakona,</w:t>
      </w:r>
    </w:p>
    <w:p w:rsidRDefault="007876C7" w:rsidP="007876C7" w:rsidR="007876C7">
      <w:pPr>
        <w:pStyle w:val="Odlomakpopisa"/>
        <w:widowControl w:val="false"/>
        <w:numPr>
          <w:ilvl w:val="0"/>
          <w:numId w:val="2"/>
        </w:numPr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sačinjen je popis vjerovnika sukladno čl. 222. Stečajnog zakona,</w:t>
      </w:r>
    </w:p>
    <w:p w:rsidRDefault="007876C7" w:rsidP="007876C7" w:rsidR="007876C7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izrađena je početna stečajna bilanca,</w:t>
      </w:r>
    </w:p>
    <w:p w:rsidRDefault="007876C7" w:rsidP="007876C7" w:rsidR="007876C7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sastavljene su tablice tražbina prema isplatnim redovima ( I i II viši isplatni red).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ind w:left="357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  <w:i/>
          <w:iCs/>
          <w:u w:val="single"/>
        </w:rPr>
      </w:pPr>
      <w:r>
        <w:rPr>
          <w:rFonts w:hAnsi="Arial" w:ascii="Arial"/>
          <w:b/>
          <w:bCs/>
          <w:i/>
          <w:iCs/>
          <w:u w:val="single"/>
        </w:rPr>
        <w:t>II. Stanje stečajne mase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Za potrebe prethodnog postupka korištena je dokumentacija koja se odnosila na razdoblje od 01.01.2015. do 31.12.2015. godine, te je utvrđeno da se imovina prema knjigovodstvenim podacima sastojala od pokretnina, sirovina i materijala, robe na skladištu i potraživanja. Danom otvaranja stečajnog postupka ponovno je zatražena dokumentacija dana 22.03.2017. godine koja do  izrade ovog izvješća </w:t>
      </w:r>
      <w:r>
        <w:rPr>
          <w:rFonts w:hAnsi="Arial" w:ascii="Arial"/>
          <w:u w:val="single"/>
        </w:rPr>
        <w:t>nije dostavljena</w:t>
      </w:r>
      <w:r>
        <w:rPr>
          <w:rFonts w:hAnsi="Arial" w:ascii="Arial"/>
        </w:rPr>
        <w:t xml:space="preserve">. 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Imovina na dan 16.3.2017. godine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U odnosu na knjigovodstvenu imovinu korištenu za potrebe prethodnog postupka izvršena je inventura te je utvrđeno da u poslovnim evidencijama nisu izvršena potrebna evidentiranja ni knjiženja, da sirovina, materijala i zaliha robe nema, da je vozilo Mercedes 312 D-KA 2.9 D Sprinter, godina proizvodnje 1998, broj šasije WDB9034631P788684, reg. oznaka VŽ0001VA, odjavljeno 1.12.2010., za koje je vozilo evidentirana zabrana otuđenja, deponirano na otpad, a drugo vozilo Iveco Daily 35 C 13 V, godina proizvodnje 2002., broj šasije ZCFC3591005375745, reg. oznaka VŽ867 FU, za koje je vozilo evidentirana zabrana otuđenja, u karamboliranom stanju u dubrovačko-neretvanskoj županiji. Dokument o deponiranju vozila na otpad, te policijsko izvješće o nezgodi nije dostavljeno od strane bivše direktora. U odnosu na knjigovodstvenu evidenciju pokretnina pronađeni su samo dva staklenika, a da ostalih pokretnina nema jer su zastarjele i uništene, a u odnosu na potraživanja da su neuskladiva i zastarjela.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  <w:b/>
          <w:bCs/>
        </w:rPr>
        <w:t>Napomena:</w:t>
      </w:r>
      <w:r>
        <w:rPr>
          <w:rFonts w:hAnsi="Arial" w:ascii="Arial"/>
        </w:rPr>
        <w:t xml:space="preserve"> Zaprimljena je obavijest vjerovnika MF, Porezna uprava o postojanju razlučnog prava na teretnom automobilu Iveco Daily, broj šasije ZCFC3591005375745, VŽ 867-FU, koje je vozilo uništeno u prometnoj nesreći i ne nalazi se na adresi stečajnog dužnika, a dokazi o prometnoj nesreći nisu dostavljeni od strane bivšeg direktora. Slijedom navedenog upućen je dopis Ministarstvu unutarnjih poslova da dostavi stečajnom upravitelju dokumentaciju glede spomenute prometne nezgode.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Temeljem navedenog stečajna masa se sastoji od </w:t>
      </w:r>
      <w:r>
        <w:rPr>
          <w:rFonts w:hAnsi="Arial" w:ascii="Arial"/>
          <w:b/>
          <w:bCs/>
        </w:rPr>
        <w:t>dva</w:t>
      </w:r>
      <w:r>
        <w:rPr>
          <w:rFonts w:hAnsi="Arial" w:ascii="Arial"/>
        </w:rPr>
        <w:t xml:space="preserve"> </w:t>
      </w:r>
      <w:r>
        <w:rPr>
          <w:rFonts w:hAnsi="Arial" w:ascii="Arial"/>
          <w:b/>
          <w:bCs/>
        </w:rPr>
        <w:t xml:space="preserve">staklenika za proizvodnju cvijeća i ukrasnog bilja </w:t>
      </w:r>
      <w:r>
        <w:rPr>
          <w:rFonts w:hAnsi="Arial" w:ascii="Arial"/>
        </w:rPr>
        <w:t xml:space="preserve">knjigovodstvene vrijednosti od 161.115,04 kn koja se vrijednost iskazuje u </w:t>
      </w:r>
      <w:r>
        <w:rPr>
          <w:rFonts w:hAnsi="Arial" w:ascii="Arial"/>
        </w:rPr>
        <w:lastRenderedPageBreak/>
        <w:t>početnoj stečajnoj bilanci. Obzirom da se navedena imovina nalazi na zemljištu koje nije u vlasništvu stečajnog dužnika, da je vrijednost iskazana po knjigovodstvenim vrijednostima od 31.12.2015. godine i nije evidentirana amortizacija, predlažem da skupština vjerovnika donese odluku o procjeni staklenika po ovlaštenom sudskom vještaku i prodaji po procijenjenoj vrijednosti.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Obveze na dan 16.3.2017. godine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Do izrade ovog izvješća ukupno su zaprimljene tri traž</w:t>
      </w:r>
      <w:r>
        <w:rPr>
          <w:rFonts w:hAnsi="Arial" w:ascii="Arial"/>
          <w:lang w:val="it-IT"/>
        </w:rPr>
        <w:t>bina ste</w:t>
      </w:r>
      <w:r>
        <w:rPr>
          <w:rFonts w:hAnsi="Arial" w:ascii="Arial"/>
        </w:rPr>
        <w:t>čajnih vjerovnika u ukupnom iznosu od 145.943,65 kn, koje su tražbine priznate u cijelosti te su u odnosu na red isplate svrstane u traž</w:t>
      </w:r>
      <w:r>
        <w:rPr>
          <w:rFonts w:hAnsi="Arial" w:ascii="Arial"/>
          <w:lang w:val="it-IT"/>
        </w:rPr>
        <w:t>bine:</w:t>
      </w:r>
    </w:p>
    <w:p w:rsidRDefault="007876C7" w:rsidP="007876C7" w:rsidR="007876C7">
      <w:pPr>
        <w:pStyle w:val="Tijelo"/>
        <w:numPr>
          <w:ilvl w:val="0"/>
          <w:numId w:val="4"/>
        </w:numPr>
        <w:spacing w:lineRule="auto" w:line="288" w:after="0"/>
        <w:jc w:val="both"/>
        <w:rPr>
          <w:rFonts w:cs="Arial" w:eastAsia="Arial" w:hAnsi="Arial" w:ascii="Arial"/>
          <w:lang w:val="en-US"/>
        </w:rPr>
      </w:pPr>
      <w:r>
        <w:rPr>
          <w:rFonts w:hAnsi="Arial" w:ascii="Arial"/>
          <w:lang w:val="en-US"/>
        </w:rPr>
        <w:t>I vi</w:t>
      </w:r>
      <w:r>
        <w:rPr>
          <w:rFonts w:hAnsi="Arial" w:ascii="Arial"/>
        </w:rPr>
        <w:t>šeg isplatnog reda u iznosu od          45.182,89 kn,</w:t>
      </w:r>
    </w:p>
    <w:p w:rsidRDefault="007876C7" w:rsidP="007876C7" w:rsidR="007876C7">
      <w:pPr>
        <w:pStyle w:val="Tijelo"/>
        <w:numPr>
          <w:ilvl w:val="0"/>
          <w:numId w:val="4"/>
        </w:numPr>
        <w:spacing w:lineRule="auto" w:line="288" w:after="0"/>
        <w:jc w:val="both"/>
        <w:rPr>
          <w:rFonts w:cs="Arial" w:eastAsia="Arial" w:hAnsi="Arial" w:ascii="Arial"/>
          <w:lang w:val="it-IT"/>
        </w:rPr>
      </w:pPr>
      <w:r>
        <w:rPr>
          <w:rFonts w:hAnsi="Arial" w:ascii="Arial"/>
          <w:lang w:val="it-IT"/>
        </w:rPr>
        <w:t>II vi</w:t>
      </w:r>
      <w:r>
        <w:rPr>
          <w:rFonts w:hAnsi="Arial" w:ascii="Arial"/>
        </w:rPr>
        <w:t>šeg isplatnog reda u iznosu od        100.760,76 kn.</w:t>
      </w:r>
    </w:p>
    <w:p w:rsidRDefault="007876C7" w:rsidP="007876C7" w:rsidR="007876C7">
      <w:pPr>
        <w:pStyle w:val="Odlomakpopisa"/>
        <w:spacing w:lineRule="auto" w:line="288" w:after="0"/>
        <w:ind w:left="36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Temeljem iznijetog, izrađena je sukladno članku 223. Stečajnog zakona početna stečajna bilanca sa stanjem imovine u knjigovodstvenom iznosu od </w:t>
      </w:r>
      <w:r>
        <w:rPr>
          <w:rFonts w:hAnsi="Arial" w:ascii="Arial"/>
          <w:b/>
          <w:bCs/>
        </w:rPr>
        <w:t>161.115,04 kn</w:t>
      </w:r>
      <w:r>
        <w:rPr>
          <w:rFonts w:hAnsi="Arial" w:ascii="Arial"/>
        </w:rPr>
        <w:t xml:space="preserve"> i stanjem obveza temeljem priznatih tražbina vjerovnika u iznosu od </w:t>
      </w:r>
      <w:r>
        <w:rPr>
          <w:rFonts w:hAnsi="Arial" w:ascii="Arial"/>
          <w:b/>
          <w:bCs/>
        </w:rPr>
        <w:t>145.943,65 kn</w:t>
      </w:r>
      <w:r>
        <w:rPr>
          <w:rFonts w:hAnsi="Arial" w:ascii="Arial"/>
        </w:rPr>
        <w:t>, kako slijedi u tabeli 2.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Tabela 2.</w:t>
      </w:r>
    </w:p>
    <w:tbl>
      <w:tblPr>
        <w:tblStyle w:val="TableNormal"/>
        <w:tblW w:type="dxa" w:w="9039"/>
        <w:jc w:val="center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67"/>
        <w:gridCol w:w="5275"/>
        <w:gridCol w:w="3197"/>
      </w:tblGrid>
      <w:tr w:rsidTr="00CA69FB" w:rsidR="007876C7">
        <w:trPr>
          <w:trHeight w:val="65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center"/>
              <w:rPr>
                <w:rFonts w:cs="Arial" w:eastAsia="Arial" w:hAnsi="Arial" w:ascii="Arial"/>
                <w:b/>
                <w:bCs/>
              </w:rPr>
            </w:pPr>
            <w:r>
              <w:rPr>
                <w:rFonts w:hAnsi="Arial" w:ascii="Arial"/>
                <w:b/>
                <w:bCs/>
              </w:rPr>
              <w:t>R.</w:t>
            </w:r>
          </w:p>
          <w:p w:rsidRDefault="007876C7" w:rsidP="00CA69FB" w:rsidR="007876C7">
            <w:pPr>
              <w:pStyle w:val="Tijelo"/>
              <w:spacing w:lineRule="auto" w:line="288"/>
              <w:jc w:val="center"/>
            </w:pPr>
            <w:r>
              <w:rPr>
                <w:rFonts w:hAnsi="Arial" w:ascii="Arial"/>
                <w:b/>
                <w:bCs/>
              </w:rPr>
              <w:t>br.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center"/>
            </w:pPr>
            <w:r>
              <w:rPr>
                <w:rFonts w:hAnsi="Arial" w:ascii="Arial"/>
                <w:b/>
                <w:bCs/>
              </w:rPr>
              <w:t>Opis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center"/>
            </w:pPr>
            <w:r>
              <w:rPr>
                <w:rFonts w:hAnsi="Arial" w:ascii="Arial"/>
                <w:b/>
                <w:bCs/>
              </w:rPr>
              <w:t>Početna stečajna bilanca 16.3.2017. godine</w:t>
            </w:r>
          </w:p>
        </w:tc>
      </w:tr>
      <w:tr w:rsidTr="00CA69FB" w:rsidR="007876C7">
        <w:trPr>
          <w:trHeight w:val="23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</w:rPr>
              <w:t>1.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both"/>
            </w:pPr>
            <w:r>
              <w:rPr>
                <w:rFonts w:hAnsi="Arial" w:ascii="Arial"/>
              </w:rPr>
              <w:t>Dva staklenika za proizvodnju cvijeća i ukrasnog bilja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</w:rPr>
              <w:t>161.115,04</w:t>
            </w:r>
          </w:p>
        </w:tc>
      </w:tr>
      <w:tr w:rsidTr="00CA69FB" w:rsidR="007876C7">
        <w:trPr>
          <w:trHeight w:val="23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b/>
                <w:bCs/>
              </w:rPr>
              <w:t>A)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both"/>
            </w:pPr>
            <w:r>
              <w:rPr>
                <w:rFonts w:hAnsi="Arial" w:ascii="Arial"/>
                <w:b/>
                <w:bCs/>
              </w:rPr>
              <w:t>Imovina (r.br. 1)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b/>
                <w:bCs/>
              </w:rPr>
              <w:t>161.115,04</w:t>
            </w:r>
          </w:p>
        </w:tc>
      </w:tr>
      <w:tr w:rsidTr="00CA69FB" w:rsidR="007876C7">
        <w:trPr>
          <w:trHeight w:val="23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jc w:val="right"/>
            </w:pPr>
            <w:r>
              <w:rPr>
                <w:rFonts w:hAnsi="Arial" w:ascii="Arial"/>
                <w:lang w:val="en-US"/>
              </w:rPr>
              <w:t>2.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both"/>
            </w:pPr>
            <w:r>
              <w:rPr>
                <w:rFonts w:hAnsi="Arial" w:ascii="Arial"/>
              </w:rPr>
              <w:t>Obveze prema dobavljačima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</w:rPr>
              <w:t>74.969,22</w:t>
            </w:r>
          </w:p>
        </w:tc>
      </w:tr>
      <w:tr w:rsidTr="00CA69FB" w:rsidR="007876C7">
        <w:trPr>
          <w:trHeight w:val="23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jc w:val="right"/>
            </w:pPr>
            <w:r>
              <w:rPr>
                <w:rFonts w:hAnsi="Arial" w:ascii="Arial"/>
                <w:lang w:val="en-US"/>
              </w:rPr>
              <w:t>3.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both"/>
            </w:pPr>
            <w:r>
              <w:rPr>
                <w:rFonts w:hAnsi="Arial" w:ascii="Arial"/>
              </w:rPr>
              <w:t>Obveze za poreze i doprinose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</w:rPr>
              <w:t>70.974,43</w:t>
            </w:r>
          </w:p>
        </w:tc>
      </w:tr>
      <w:tr w:rsidTr="00CA69FB" w:rsidR="007876C7">
        <w:trPr>
          <w:trHeight w:val="237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jc w:val="right"/>
            </w:pPr>
            <w:r>
              <w:rPr>
                <w:rFonts w:hAnsi="Arial" w:ascii="Arial"/>
                <w:b/>
                <w:bCs/>
                <w:lang w:val="en-US"/>
              </w:rPr>
              <w:t>B)</w:t>
            </w:r>
          </w:p>
        </w:tc>
        <w:tc>
          <w:tcPr>
            <w:tcW w:type="dxa" w:w="5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</w:pPr>
            <w:r>
              <w:rPr>
                <w:rFonts w:hAnsi="Arial" w:ascii="Arial"/>
                <w:b/>
                <w:bCs/>
                <w:lang w:val="en-US"/>
              </w:rPr>
              <w:t>Obveze (r.br. 2+3)</w:t>
            </w:r>
          </w:p>
        </w:tc>
        <w:tc>
          <w:tcPr>
            <w:tcW w:type="dxa" w:w="31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876C7" w:rsidP="00CA69FB" w:rsidR="007876C7">
            <w:pPr>
              <w:pStyle w:val="Tijelo"/>
              <w:jc w:val="right"/>
            </w:pPr>
            <w:r>
              <w:rPr>
                <w:rFonts w:hAnsi="Arial" w:ascii="Arial"/>
                <w:b/>
                <w:bCs/>
                <w:lang w:val="en-US"/>
              </w:rPr>
              <w:t>145.943,65</w:t>
            </w:r>
          </w:p>
        </w:tc>
      </w:tr>
    </w:tbl>
    <w:p w:rsidRDefault="007876C7" w:rsidP="007876C7" w:rsidR="007876C7">
      <w:pPr>
        <w:pStyle w:val="Tijelo"/>
        <w:widowControl w:val="false"/>
        <w:spacing w:lineRule="auto" w:line="240" w:after="0"/>
        <w:jc w:val="center"/>
        <w:rPr>
          <w:rFonts w:cs="Arial" w:eastAsia="Arial" w:hAnsi="Arial" w:ascii="Arial"/>
          <w:b/>
          <w:bCs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  <w:i/>
          <w:iCs/>
          <w:u w:val="single"/>
        </w:rPr>
      </w:pP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  <w:b/>
          <w:bCs/>
          <w:i/>
          <w:iCs/>
          <w:u w:val="single"/>
        </w:rPr>
      </w:pPr>
      <w:r>
        <w:rPr>
          <w:rFonts w:hAnsi="Arial" w:ascii="Arial"/>
          <w:b/>
          <w:bCs/>
          <w:i/>
          <w:iCs/>
          <w:u w:val="single"/>
        </w:rPr>
        <w:t>III.  Prijedlozi stečajnog upravitelja</w:t>
      </w:r>
    </w:p>
    <w:p w:rsidRDefault="007876C7" w:rsidP="007876C7" w:rsidR="007876C7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rPr>
          <w:rFonts w:cs="Arial" w:eastAsia="Arial" w:hAnsi="Arial" w:ascii="Arial"/>
        </w:rPr>
      </w:pPr>
      <w:r>
        <w:rPr>
          <w:rFonts w:hAnsi="Arial" w:ascii="Arial"/>
        </w:rPr>
        <w:t>Stečajni upravitelj predlaže da vjerovnici na izvještajnom ročištu donesu slijedeće odluke:</w:t>
      </w:r>
    </w:p>
    <w:p w:rsidRDefault="007876C7" w:rsidP="007876C7" w:rsidR="007876C7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>Odluku o prihvaćanju ovog  izvješća o gospodarskom položaju stečajnog dužnika i do sada poduzetim radnjama stečajnog upravitelja,</w:t>
      </w:r>
    </w:p>
    <w:p w:rsidRDefault="007876C7" w:rsidP="007876C7" w:rsidR="007876C7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Odluku o davanju suglasnosti da se za pokretnine izradi procjena vrijednosti po ovlaštenom vještaku, te da se nakon toga pristupi prodaji pokretnina objavom oglasa na sudačkoj mreži po procijenjenoj vrijednosti, a ukoliko se ne uspije prodati po procijenjenoj vrijednosti daje se suglasnost da se cijena istih smanjuje od po 10% sve do konačne prodaje. </w:t>
      </w:r>
    </w:p>
    <w:p w:rsidRDefault="007876C7" w:rsidP="007876C7" w:rsidR="007876C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7876C7" w:rsidP="007876C7" w:rsidR="007876C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upravitelj:</w:t>
      </w:r>
    </w:p>
    <w:p w:rsidRDefault="007876C7" w:rsidP="007876C7" w:rsidR="007876C7">
      <w:pPr>
        <w:pStyle w:val="Tijelo"/>
        <w:spacing w:lineRule="auto" w:line="288" w:after="0"/>
        <w:ind w:firstLine="708" w:left="4956"/>
        <w:jc w:val="both"/>
      </w:pP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 Anđelko Stankus</w:t>
      </w:r>
    </w:p>
    <w:p w:rsidRDefault="00D86AF8" w:rsidR="00D86AF8"/>
    <w:sectPr w:rsidR="00D86AF8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472" w:rsidR="00BF3CD9">
      <w:r>
        <w:separator/>
      </w:r>
    </w:p>
  </w:endnote>
  <w:endnote w:id="0" w:type="continuationSeparator">
    <w:p w:rsidRDefault="000A7472" w:rsidR="00BF3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FD8" w:rsidR="00A97CFD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2049" id="officeArt object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Svijetlo vodoravno">
          <v:fill r:id="rId1" rotate="t" recolor="t" o:title="Svijetlo vodoravno" type="tile"/>
          <v:stroke joinstyle="miter" miterlimit="4"/>
          <v:path o:extrusionok="f" o:connectangles="0,90,180,270" o:connectlocs="2733676,22543;2733676,22543;2733676,22543;2733676,22543" o:connecttype="custom" arrowok="t"/>
          <w10:wrap type="none"/>
          <w10:anchorlock/>
        </v:shape>
      </w:pict>
    </w:r>
  </w:p>
  <w:p w:rsidRDefault="007876C7" w:rsidR="00A97CFD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8E5FD8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7876C7" w:rsidR="00A97CFD">
    <w:pPr>
      <w:pStyle w:val="Podnoje"/>
    </w:pPr>
    <w:r>
      <w:t>Kneginec Donji, 23.5.2017.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472" w:rsidR="00BF3CD9">
      <w:r>
        <w:separator/>
      </w:r>
    </w:p>
  </w:footnote>
  <w:footnote w:id="0" w:type="continuationSeparator">
    <w:p w:rsidRDefault="000A7472" w:rsidR="00BF3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C7" w:rsidR="00A97CFD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  <w:t>VRTNI CENTAR VALENT d.o.o. u stečaju</w:t>
    </w:r>
  </w:p>
  <w:p w:rsidRDefault="007876C7" w:rsidR="00A97CFD">
    <w:pPr>
      <w:pStyle w:val="Tijelo"/>
      <w:tabs>
        <w:tab w:pos="4703" w:val="center"/>
        <w:tab w:pos="6258" w:val="left"/>
      </w:tabs>
      <w:spacing w:lineRule="auto" w:line="288" w:after="0"/>
      <w:jc w:val="center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>Zavrtna 16, Donji Kneginec,</w:t>
    </w:r>
  </w:p>
  <w:p w:rsidRDefault="007876C7" w:rsidR="00A97CFD">
    <w:pPr>
      <w:pStyle w:val="Tijelo"/>
      <w:tabs>
        <w:tab w:pos="4703" w:val="center"/>
        <w:tab w:pos="6258" w:val="left"/>
      </w:tabs>
      <w:spacing w:lineRule="auto" w:line="288" w:after="0"/>
      <w:jc w:val="center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>OIB: 51122034054, St-544/16</w:t>
    </w:r>
  </w:p>
  <w:p w:rsidRDefault="007876C7" w:rsidR="00A97CFD">
    <w:pPr>
      <w:pStyle w:val="Tijelo"/>
      <w:pBdr>
        <w:bottom w:space="0" w:sz="4" w:color="000000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>Stečajni upravitelj Anđelko Stankus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D7615"/>
    <w:multiLevelType w:val="hybridMultilevel"/>
    <w:tmpl w:val="808E65DC"/>
    <w:numStyleLink w:val="Importiranistil4"/>
  </w:abstractNum>
  <w:abstractNum w:abstractNumId="1">
    <w:nsid w:val="2681647C"/>
    <w:multiLevelType w:val="hybridMultilevel"/>
    <w:tmpl w:val="4FBC4752"/>
    <w:styleLink w:val="Importiranistil2"/>
    <w:lvl w:tplc="8850E79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F84D80" w:ilvl="1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6019AE" w:ilvl="2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12AC8B2" w:ilvl="3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55487F4" w:ilvl="4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90E7D0E" w:ilvl="5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1424CA" w:ilvl="6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7184" w:ilvl="7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800A70" w:ilvl="8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DB82BE2"/>
    <w:multiLevelType w:val="hybridMultilevel"/>
    <w:tmpl w:val="808E65DC"/>
    <w:styleLink w:val="Importiranistil4"/>
    <w:lvl w:tplc="032022A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1CF26C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048C218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58E87E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849092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24B94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DD064DE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8669DC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8CC010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F6D2ADE"/>
    <w:multiLevelType w:val="hybridMultilevel"/>
    <w:tmpl w:val="185E0E9A"/>
    <w:numStyleLink w:val="Importiranistil1"/>
  </w:abstractNum>
  <w:abstractNum w:abstractNumId="4">
    <w:nsid w:val="352F7CAF"/>
    <w:multiLevelType w:val="hybridMultilevel"/>
    <w:tmpl w:val="185E0E9A"/>
    <w:styleLink w:val="Importiranistil1"/>
    <w:lvl w:tplc="944CD04A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527534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E482D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08712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04775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E629D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E4791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B09D9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D807F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8E36823"/>
    <w:multiLevelType w:val="hybridMultilevel"/>
    <w:tmpl w:val="CC1021C0"/>
    <w:styleLink w:val="Importiranistil3"/>
    <w:lvl w:tplc="1E46ECF2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9DE14F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3813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5E81A2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C6CCF20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B80472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CD094F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4B1EC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CE3E0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9E80C14"/>
    <w:multiLevelType w:val="hybridMultilevel"/>
    <w:tmpl w:val="4FBC4752"/>
    <w:numStyleLink w:val="Importiranistil2"/>
  </w:abstractNum>
  <w:abstractNum w:abstractNumId="7">
    <w:nsid w:val="6EEB6AFF"/>
    <w:multiLevelType w:val="hybridMultilevel"/>
    <w:tmpl w:val="CC1021C0"/>
    <w:numStyleLink w:val="Importiranistil3"/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4D4"/>
    <w:rsid w:val="000A7472"/>
    <w:rsid w:val="007876C7"/>
    <w:rsid w:val="008E5FD8"/>
    <w:rsid w:val="00BF3CD9"/>
    <w:rsid w:val="00C214D4"/>
    <w:rsid w:val="00D8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7876C7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4"/>
      <w:szCs w:val="24"/>
      <w:bdr w:val="nil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rsid w:val="007876C7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7876C7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styleId="Podnoje" w:type="paragraph">
    <w:name w:val="footer"/>
    <w:link w:val="PodnojeChar"/>
    <w:rsid w:val="007876C7"/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72" w:val="right"/>
      </w:tabs>
      <w:spacing w:lineRule="auto" w:line="240" w:after="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PodnojeChar" w:type="character">
    <w:name w:val="Podnožje Char"/>
    <w:basedOn w:val="Zadanifontodlomka"/>
    <w:link w:val="Podnoje"/>
    <w:rsid w:val="007876C7"/>
    <w:rPr>
      <w:rFonts w:cs="Calibri" w:eastAsia="Calibri" w:hAnsi="Calibri" w:ascii="Calibri"/>
      <w:color w:val="000000"/>
      <w:u w:color="000000"/>
      <w:bdr w:val="nil"/>
      <w:lang w:eastAsia="hr-HR"/>
    </w:rPr>
  </w:style>
  <w:style w:styleId="Odlomakpopisa" w:type="paragraph">
    <w:name w:val="List Paragraph"/>
    <w:rsid w:val="007876C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Importiranistil1" w:type="numbering">
    <w:name w:val="Importirani stil 1"/>
    <w:rsid w:val="007876C7"/>
    <w:pPr>
      <w:numPr>
        <w:numId w:val="1"/>
      </w:numPr>
    </w:pPr>
  </w:style>
  <w:style w:customStyle="true" w:styleId="Importiranistil2" w:type="numbering">
    <w:name w:val="Importirani stil 2"/>
    <w:rsid w:val="007876C7"/>
    <w:pPr>
      <w:numPr>
        <w:numId w:val="3"/>
      </w:numPr>
    </w:pPr>
  </w:style>
  <w:style w:customStyle="true" w:styleId="Importiranistil3" w:type="numbering">
    <w:name w:val="Importirani stil 3"/>
    <w:rsid w:val="007876C7"/>
    <w:pPr>
      <w:numPr>
        <w:numId w:val="5"/>
      </w:numPr>
    </w:pPr>
  </w:style>
  <w:style w:customStyle="true" w:styleId="Importiranistil4" w:type="numbering">
    <w:name w:val="Importirani stil 4"/>
    <w:rsid w:val="007876C7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0A7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472"/>
    <w:rPr>
      <w:rFonts w:cs="Times New Roman" w:hAnsi="Times New Roman" w:ascii="Times New Roman"/>
      <w:b/>
      <w:bCs/>
      <w:kern w:val="3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472"/>
    <w:rPr>
      <w:rFonts w:hAnsi="Century Gothic" w:ascii="Century Gothic"/>
      <w:b/>
      <w:bCs/>
      <w:kern w:val="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472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472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7876C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4"/>
      <w:szCs w:val="24"/>
      <w:bdr w:val="nil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rsid w:val="007876C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rsid w:val="007876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styleId="Podnoje" w:type="paragraph">
    <w:name w:val="footer"/>
    <w:link w:val="PodnojeChar"/>
    <w:rsid w:val="007876C7"/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72" w:val="right"/>
      </w:tabs>
      <w:spacing w:after="0" w:line="240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PodnojeChar" w:type="character">
    <w:name w:val="Podnožje Char"/>
    <w:basedOn w:val="Zadanifontodlomka"/>
    <w:link w:val="Podnoje"/>
    <w:rsid w:val="007876C7"/>
    <w:rPr>
      <w:rFonts w:ascii="Calibri" w:cs="Calibri" w:eastAsia="Calibri" w:hAnsi="Calibri"/>
      <w:color w:val="000000"/>
      <w:u w:color="000000"/>
      <w:bdr w:val="nil"/>
      <w:lang w:eastAsia="hr-HR"/>
    </w:rPr>
  </w:style>
  <w:style w:styleId="Odlomakpopisa" w:type="paragraph">
    <w:name w:val="List Paragraph"/>
    <w:rsid w:val="007876C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Importiranistil1" w:type="numbering">
    <w:name w:val="Importirani stil 1"/>
    <w:rsid w:val="007876C7"/>
    <w:pPr>
      <w:numPr>
        <w:numId w:val="1"/>
      </w:numPr>
    </w:pPr>
  </w:style>
  <w:style w:customStyle="1" w:styleId="Importiranistil2" w:type="numbering">
    <w:name w:val="Importirani stil 2"/>
    <w:rsid w:val="007876C7"/>
    <w:pPr>
      <w:numPr>
        <w:numId w:val="3"/>
      </w:numPr>
    </w:pPr>
  </w:style>
  <w:style w:customStyle="1" w:styleId="Importiranistil3" w:type="numbering">
    <w:name w:val="Importirani stil 3"/>
    <w:rsid w:val="007876C7"/>
    <w:pPr>
      <w:numPr>
        <w:numId w:val="5"/>
      </w:numPr>
    </w:pPr>
  </w:style>
  <w:style w:customStyle="1" w:styleId="Importiranistil4" w:type="numbering">
    <w:name w:val="Importirani stil 4"/>
    <w:rsid w:val="007876C7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0A7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472"/>
    <w:rPr>
      <w:rFonts w:ascii="Times New Roman" w:cs="Times New Roman" w:hAnsi="Times New Roman"/>
      <w:b/>
      <w:bCs/>
      <w:kern w:val="3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472"/>
    <w:rPr>
      <w:rFonts w:ascii="Century Gothic" w:hAnsi="Century Gothic"/>
      <w:b/>
      <w:bCs/>
      <w:kern w:val="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472"/>
    <w:rPr>
      <w:rFonts w:ascii="Century Gothic" w:cs="Times New Roman" w:hAnsi="Century Gothic"/>
      <w:b w:val="0"/>
      <w:bCs w:val="0"/>
      <w:kern w:val="3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472"/>
    <w:rPr>
      <w:rFonts w:ascii="Century Gothic" w:cs="Times New Roman" w:hAnsi="Century Gothic"/>
      <w:b w:val="0"/>
      <w:bCs w:val="0"/>
      <w:kern w:val="3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St-544/2016-25</izvorni_sadrzaj>
    <derivirana_varijabla naziv="DomainObject.Oznaka_1">St-544/2016-25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5898</properties:Characters>
  <properties:Lines>139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2017-05-30T07:31:00Z</dcterms:created>
  <dc:creator>Tihana Martinez</dc:creator>
  <dc:description/>
  <cp:keywords/>
  <cp:lastModifiedBy>Tihana Martinez</cp:lastModifiedBy>
  <dcterms:modified xmlns:xsi="http://www.w3.org/2001/XMLSchema-instance" xsi:type="dcterms:W3CDTF">2017-05-30T07:32:00Z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