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c5f51" w14:paraId="fcc5f51" w:rsidRDefault="007C77CF" w:rsidP="005D2EB3" w:rsidR="00BD1056">
      <w:pPr>
        <w15:collapsed w:val="false"/>
      </w:pPr>
      <w:bookmarkStart w:name="_GoBack" w:id="0"/>
      <w:bookmarkEnd w:id="0"/>
      <w:r>
        <w:t xml:space="preserve"> </w:t>
      </w:r>
    </w:p>
    <w:p w:rsidRDefault="00D476C1" w:rsidP="005D2EB3" w:rsidR="00D476C1"/>
    <w:p w:rsidRDefault="005D2EB3" w:rsidP="005D2EB3" w:rsidR="005D2EB3" w:rsidRPr="00005E65">
      <w:r w:rsidRPr="00005E65">
        <w:t>REPUBLIKA HRVATSKA</w:t>
      </w:r>
    </w:p>
    <w:p w:rsidRDefault="005D2EB3" w:rsidP="005D2EB3" w:rsidR="005D2EB3" w:rsidRPr="00005E65">
      <w:r w:rsidRPr="00005E65">
        <w:t>Trgovački sud u Zagrebu</w:t>
      </w:r>
    </w:p>
    <w:p w:rsidRDefault="005D2EB3" w:rsidP="005D2EB3" w:rsidR="005D2EB3" w:rsidRPr="00005E65">
      <w:r w:rsidRPr="00005E65">
        <w:t>Zagreb, Amruševa 2/II</w:t>
      </w:r>
      <w:r w:rsidR="00101B9E">
        <w:t>I</w:t>
      </w:r>
    </w:p>
    <w:p w:rsidRDefault="00101B9E" w:rsidP="005D2EB3" w:rsidR="005D2EB3" w:rsidRPr="00005E65">
      <w:pPr>
        <w:jc w:val="right"/>
      </w:pPr>
      <w:r>
        <w:t xml:space="preserve">                 48</w:t>
      </w:r>
      <w:r w:rsidR="005D2EB3" w:rsidRPr="00005E65">
        <w:t>. St</w:t>
      </w:r>
      <w:r w:rsidR="005D2EB3">
        <w:t>-</w:t>
      </w:r>
      <w:r w:rsidR="00294B89">
        <w:t>20</w:t>
      </w:r>
      <w:r w:rsidR="00BD79F4">
        <w:t>79</w:t>
      </w:r>
      <w:r w:rsidR="00431D7D">
        <w:t>/</w:t>
      </w:r>
      <w:r w:rsidR="005D2EB3">
        <w:t>1</w:t>
      </w:r>
      <w:r w:rsidR="00294B89">
        <w:t>7</w:t>
      </w:r>
    </w:p>
    <w:p w:rsidRDefault="005D2EB3" w:rsidP="005D2EB3" w:rsidR="005D2EB3" w:rsidRPr="00005E65">
      <w:pPr>
        <w:jc w:val="center"/>
        <w:rPr>
          <w:b/>
        </w:rPr>
      </w:pPr>
    </w:p>
    <w:p w:rsidRDefault="005D2EB3" w:rsidP="005D2EB3" w:rsidR="005D2EB3" w:rsidRPr="00005E65">
      <w:pPr>
        <w:jc w:val="center"/>
        <w:rPr>
          <w:b/>
        </w:rPr>
      </w:pPr>
      <w:r w:rsidRPr="00005E65">
        <w:rPr>
          <w:b/>
        </w:rPr>
        <w:t>Z A P I S N I K</w:t>
      </w:r>
    </w:p>
    <w:p w:rsidRDefault="00101B9E" w:rsidP="005D2EB3" w:rsidR="005D2EB3">
      <w:pPr>
        <w:jc w:val="center"/>
        <w:rPr>
          <w:b/>
        </w:rPr>
      </w:pPr>
      <w:r>
        <w:rPr>
          <w:b/>
        </w:rPr>
        <w:t>S</w:t>
      </w:r>
      <w:r w:rsidR="005D2EB3" w:rsidRPr="00005E65">
        <w:rPr>
          <w:b/>
        </w:rPr>
        <w:t xml:space="preserve"> </w:t>
      </w:r>
      <w:r w:rsidR="005D2EB3">
        <w:rPr>
          <w:b/>
        </w:rPr>
        <w:t xml:space="preserve"> ROČIŠTA RADI SKLAPANJA PREDSTEČAJNE NAGODBE</w:t>
      </w:r>
    </w:p>
    <w:p w:rsidRDefault="005D2EB3" w:rsidP="00E34374" w:rsidR="00E34374">
      <w:pPr>
        <w:jc w:val="center"/>
        <w:rPr>
          <w:b/>
        </w:rPr>
      </w:pPr>
      <w:r>
        <w:rPr>
          <w:b/>
        </w:rPr>
        <w:t xml:space="preserve"> </w:t>
      </w:r>
    </w:p>
    <w:p w:rsidRDefault="004434F8" w:rsidP="001F3895" w:rsidR="00101B9E" w:rsidRPr="00E34374">
      <w:pPr>
        <w:jc w:val="both"/>
        <w:rPr>
          <w:b/>
        </w:rPr>
      </w:pPr>
      <w:r>
        <w:t>o</w:t>
      </w:r>
      <w:r w:rsidR="005D2EB3" w:rsidRPr="00005E65">
        <w:t xml:space="preserve">držanog dana </w:t>
      </w:r>
      <w:r w:rsidR="00294B89">
        <w:t>29</w:t>
      </w:r>
      <w:r w:rsidR="006925C1">
        <w:t xml:space="preserve">. </w:t>
      </w:r>
      <w:r w:rsidR="00294B89">
        <w:t>rujna</w:t>
      </w:r>
      <w:r w:rsidR="00036C64">
        <w:t xml:space="preserve"> 201</w:t>
      </w:r>
      <w:r w:rsidR="00101B9E">
        <w:t>7</w:t>
      </w:r>
      <w:r w:rsidR="00036C64">
        <w:t>.</w:t>
      </w:r>
      <w:r w:rsidR="001F3895">
        <w:t xml:space="preserve"> g.</w:t>
      </w:r>
      <w:r w:rsidR="005D2EB3" w:rsidRPr="00005E65">
        <w:t xml:space="preserve"> na Trgovačkom sudu u Zagrebu</w:t>
      </w:r>
      <w:r w:rsidR="00101B9E">
        <w:t xml:space="preserve"> </w:t>
      </w:r>
      <w:r w:rsidR="005D2EB3" w:rsidRPr="00005E65">
        <w:t xml:space="preserve">u </w:t>
      </w:r>
      <w:r w:rsidR="005D2EB3">
        <w:t xml:space="preserve">predmetu nad </w:t>
      </w:r>
      <w:r w:rsidR="005D2EB3" w:rsidRPr="00005E65">
        <w:t xml:space="preserve">dužnikom </w:t>
      </w:r>
      <w:r w:rsidR="00DC41F2">
        <w:t>GRAĐENJE HERC d.o.o. za graditeljstvo, trgovinu i usluge,</w:t>
      </w:r>
      <w:r w:rsidR="006B5233">
        <w:t xml:space="preserve"> Zagr</w:t>
      </w:r>
      <w:r w:rsidR="0085483A">
        <w:t>eb, Ilica 253, OIB: 66385532845</w:t>
      </w:r>
    </w:p>
    <w:p w:rsidRDefault="00101B9E" w:rsidP="005D2EB3" w:rsidR="00101B9E">
      <w:pPr>
        <w:jc w:val="both"/>
      </w:pPr>
    </w:p>
    <w:p w:rsidRDefault="005D2EB3" w:rsidP="005D2EB3" w:rsidR="005D2EB3" w:rsidRPr="00005E65">
      <w:pPr>
        <w:jc w:val="both"/>
      </w:pPr>
      <w:r w:rsidRPr="00005E65">
        <w:t>Nazočni od suda:</w:t>
      </w:r>
    </w:p>
    <w:p w:rsidRDefault="00101B9E" w:rsidP="005D2EB3" w:rsidR="005D2EB3">
      <w:pPr>
        <w:jc w:val="both"/>
      </w:pPr>
      <w:r>
        <w:t>Vesna Sremac Šoštar</w:t>
      </w:r>
      <w:r w:rsidR="005D2EB3" w:rsidRPr="00005E65">
        <w:t>, stečajni sudac</w:t>
      </w:r>
    </w:p>
    <w:p w:rsidRDefault="00294B89" w:rsidP="005D2EB3" w:rsidR="005D2EB3">
      <w:pPr>
        <w:jc w:val="both"/>
      </w:pPr>
      <w:r>
        <w:t>Matea Bizjak</w:t>
      </w:r>
      <w:r w:rsidR="005D2EB3" w:rsidRPr="00005E65">
        <w:t>, zapisničar</w:t>
      </w:r>
    </w:p>
    <w:p w:rsidRDefault="005D2EB3" w:rsidP="005D2EB3" w:rsidR="005D2EB3" w:rsidRPr="00005E65">
      <w:pPr>
        <w:jc w:val="both"/>
      </w:pPr>
    </w:p>
    <w:p w:rsidRDefault="005D2EB3" w:rsidP="005D2EB3" w:rsidR="005D2EB3" w:rsidRPr="00005E65">
      <w:pPr>
        <w:jc w:val="both"/>
      </w:pPr>
      <w:r w:rsidRPr="00005E65">
        <w:t xml:space="preserve">Započeto u </w:t>
      </w:r>
      <w:r w:rsidR="00294B89">
        <w:t>10,3</w:t>
      </w:r>
      <w:r w:rsidR="00DC41F2">
        <w:t xml:space="preserve">0 </w:t>
      </w:r>
      <w:r w:rsidRPr="00005E65">
        <w:t>sati.</w:t>
      </w:r>
    </w:p>
    <w:p w:rsidRDefault="00BB0EB1" w:rsidP="000226BC" w:rsidR="00BB0EB1">
      <w:pPr>
        <w:jc w:val="both"/>
      </w:pPr>
    </w:p>
    <w:p w:rsidRDefault="00101B9E" w:rsidP="00101B9E" w:rsidR="00101B9E">
      <w:pPr>
        <w:jc w:val="both"/>
      </w:pPr>
      <w:r>
        <w:t xml:space="preserve">Utvrđuje se da su </w:t>
      </w:r>
      <w:r w:rsidR="0040710E" w:rsidRPr="0040710E">
        <w:t>ročištu radi sklapanja predstečajne nagodb</w:t>
      </w:r>
      <w:r w:rsidR="0040710E">
        <w:t xml:space="preserve">e </w:t>
      </w:r>
      <w:r>
        <w:t xml:space="preserve">pristupili: </w:t>
      </w:r>
    </w:p>
    <w:p w:rsidRDefault="0040710E" w:rsidP="00101B9E" w:rsidR="0040710E">
      <w:pPr>
        <w:jc w:val="both"/>
      </w:pPr>
    </w:p>
    <w:p w:rsidRDefault="00101B9E" w:rsidP="00101B9E" w:rsidR="0040710E">
      <w:pPr>
        <w:jc w:val="both"/>
      </w:pPr>
      <w:r>
        <w:t>-za dužnika</w:t>
      </w:r>
      <w:r w:rsidR="00AE7348">
        <w:t>:</w:t>
      </w:r>
      <w:r>
        <w:t xml:space="preserve"> –  </w:t>
      </w:r>
      <w:r w:rsidR="00AE7348">
        <w:t xml:space="preserve">Antun Pavić, direktor </w:t>
      </w:r>
    </w:p>
    <w:p w:rsidRDefault="00D86A7E" w:rsidP="00101B9E" w:rsidR="00D86A7E">
      <w:pPr>
        <w:jc w:val="both"/>
      </w:pPr>
    </w:p>
    <w:p w:rsidRDefault="00101B9E" w:rsidP="00101B9E" w:rsidR="00101B9E">
      <w:pPr>
        <w:jc w:val="both"/>
      </w:pPr>
      <w:r>
        <w:t>-za vjerovnike koji su prihvatili Plan financijskog restrukturiranja:</w:t>
      </w:r>
      <w:r w:rsidR="00AE7348">
        <w:t xml:space="preserve"> </w:t>
      </w:r>
    </w:p>
    <w:p w:rsidRDefault="0040710E" w:rsidP="00101B9E" w:rsidR="0040710E">
      <w:pPr>
        <w:jc w:val="both"/>
      </w:pPr>
    </w:p>
    <w:p w:rsidRDefault="00D65A4C" w:rsidP="00D65A4C" w:rsidR="003B0395" w:rsidRPr="00D65A4C">
      <w:r>
        <w:t xml:space="preserve">-      </w:t>
      </w:r>
      <w:r w:rsidR="00DC41F2">
        <w:t xml:space="preserve">A.M.PATAČIĆ </w:t>
      </w:r>
      <w:r w:rsidR="00AE7348">
        <w:t xml:space="preserve"> </w:t>
      </w:r>
      <w:r w:rsidR="00DC41F2">
        <w:t>d.o.o. iz Zagreba, Aleja Hrvatske mladeži 45, OIB: 30593716926</w:t>
      </w:r>
      <w:r w:rsidR="00AE7348">
        <w:t>, odvjetnik Denis Marinković</w:t>
      </w:r>
      <w:r w:rsidR="00DC41F2">
        <w:t xml:space="preserve"> </w:t>
      </w:r>
    </w:p>
    <w:p w:rsidRDefault="00226D61" w:rsidP="003B0395" w:rsidR="003B0395">
      <w:r w:rsidRPr="003B0395">
        <w:tab/>
      </w:r>
    </w:p>
    <w:p w:rsidRDefault="00F23595" w:rsidP="00D65A4C" w:rsidR="00DC41F2">
      <w:pPr>
        <w:jc w:val="both"/>
      </w:pPr>
      <w:r>
        <w:t xml:space="preserve">-   </w:t>
      </w:r>
      <w:r w:rsidR="00DC41F2">
        <w:t>FIDUS GRADNJA d.o.o. iz Zagreba, Oranice 34, OIB: 39103538847</w:t>
      </w:r>
      <w:r w:rsidR="00AE7348">
        <w:t>, odvjetnik Denis Marinković</w:t>
      </w:r>
    </w:p>
    <w:p w:rsidRDefault="00D65A4C" w:rsidP="00D65A4C" w:rsidR="00711211">
      <w:pPr>
        <w:jc w:val="both"/>
      </w:pPr>
      <w:r>
        <w:t xml:space="preserve">            </w:t>
      </w:r>
    </w:p>
    <w:p w:rsidRDefault="003B0395" w:rsidP="00D65A4C" w:rsidR="00711211">
      <w:pPr>
        <w:jc w:val="both"/>
      </w:pPr>
      <w:r>
        <w:t xml:space="preserve">-      </w:t>
      </w:r>
      <w:r w:rsidR="00DC41F2">
        <w:t>INTERINVEST d.o.o. iz Sarajeva, Safeta Zajke 269, Bosna i Hercegovina</w:t>
      </w:r>
      <w:r w:rsidR="00AE7348">
        <w:t xml:space="preserve">, </w:t>
      </w:r>
      <w:r w:rsidR="00AE7348" w:rsidRPr="00AE7348">
        <w:t xml:space="preserve"> </w:t>
      </w:r>
      <w:r w:rsidR="00AE7348">
        <w:t>odvjetnik Denis Marinković</w:t>
      </w:r>
    </w:p>
    <w:p w:rsidRDefault="00DC41F2" w:rsidP="00D65A4C" w:rsidR="00DC41F2">
      <w:pPr>
        <w:jc w:val="both"/>
      </w:pPr>
    </w:p>
    <w:p w:rsidRDefault="00F23595" w:rsidP="00AE7348" w:rsidR="00AE7348">
      <w:pPr>
        <w:jc w:val="both"/>
      </w:pPr>
      <w:r>
        <w:t xml:space="preserve">-     </w:t>
      </w:r>
      <w:r w:rsidR="00AE7348">
        <w:t xml:space="preserve">DINKO PALAC,  Bukovečki krč, 31, Zagreb, </w:t>
      </w:r>
      <w:r w:rsidR="00DC41F2">
        <w:t>OIB: 95640712687</w:t>
      </w:r>
      <w:r w:rsidR="00AE7348">
        <w:t xml:space="preserve"> odvjetnik Denis Marinković</w:t>
      </w:r>
    </w:p>
    <w:p w:rsidRDefault="003B0395" w:rsidP="00D65A4C" w:rsidR="003B0395">
      <w:pPr>
        <w:jc w:val="both"/>
      </w:pPr>
    </w:p>
    <w:p w:rsidRDefault="00F23595" w:rsidP="00AE7348" w:rsidR="00AE7348">
      <w:pPr>
        <w:jc w:val="both"/>
      </w:pPr>
      <w:r>
        <w:t xml:space="preserve">-   </w:t>
      </w:r>
      <w:r w:rsidR="00DC41F2">
        <w:t xml:space="preserve">TOMISLAV ŠIMUNAC, iz </w:t>
      </w:r>
      <w:r w:rsidR="003B0395" w:rsidRPr="003B0395">
        <w:t>Zagreb</w:t>
      </w:r>
      <w:r w:rsidR="00DC41F2">
        <w:t>a</w:t>
      </w:r>
      <w:r w:rsidR="003B0395" w:rsidRPr="003B0395">
        <w:t>,</w:t>
      </w:r>
      <w:r w:rsidR="00DC41F2">
        <w:t xml:space="preserve"> Ilica 253, </w:t>
      </w:r>
      <w:r w:rsidR="003B0395" w:rsidRPr="003B0395">
        <w:t xml:space="preserve"> OIB: </w:t>
      </w:r>
      <w:r w:rsidR="00DC41F2">
        <w:t>20668699654</w:t>
      </w:r>
      <w:r w:rsidR="00AE7348">
        <w:t xml:space="preserve"> odvjetnik Denis Marinković</w:t>
      </w:r>
    </w:p>
    <w:p w:rsidRDefault="00DC41F2" w:rsidP="00DC41F2" w:rsidR="00DC41F2">
      <w:pPr>
        <w:jc w:val="both"/>
      </w:pPr>
    </w:p>
    <w:p w:rsidRDefault="00F23595" w:rsidP="00AE7348" w:rsidR="00AE7348">
      <w:pPr>
        <w:jc w:val="both"/>
      </w:pPr>
      <w:r>
        <w:t xml:space="preserve">-   </w:t>
      </w:r>
      <w:r w:rsidR="00DC41F2" w:rsidRPr="00DC41F2">
        <w:t>STJEPAN VUČKOVIĆ, iz Zagreba, Schrottova 37, OIB: 20668699654</w:t>
      </w:r>
      <w:r w:rsidR="00AE7348">
        <w:t xml:space="preserve"> odvjetnik Denis Marinković</w:t>
      </w:r>
    </w:p>
    <w:p w:rsidRDefault="00DC41F2" w:rsidP="00DC41F2" w:rsidR="00DC41F2">
      <w:pPr>
        <w:jc w:val="both"/>
      </w:pPr>
    </w:p>
    <w:p w:rsidRDefault="00AE7348" w:rsidP="00DC41F2" w:rsidR="00AE7348" w:rsidRPr="00DC41F2">
      <w:pPr>
        <w:jc w:val="both"/>
      </w:pPr>
      <w:r>
        <w:tab/>
        <w:t>Utvrđuje se da je u ime vjerovnika na današnjem ročištu prisutan odvjetnik Denis Marinković, koji je preuzimatelj ureda odvjetnice Vedrane Su</w:t>
      </w:r>
      <w:r w:rsidR="00B004AE">
        <w:t>ša, prema rješenju HOK-a, koje je u spisu</w:t>
      </w:r>
      <w:r>
        <w:t xml:space="preserve">. </w:t>
      </w:r>
    </w:p>
    <w:p w:rsidRDefault="00711211" w:rsidP="00AD7E5F" w:rsidR="00711211">
      <w:pPr>
        <w:jc w:val="both"/>
      </w:pPr>
    </w:p>
    <w:p w:rsidRDefault="007D5BD2" w:rsidP="00AD7E5F" w:rsidR="00EB0F0D">
      <w:pPr>
        <w:jc w:val="both"/>
      </w:pPr>
      <w:r>
        <w:lastRenderedPageBreak/>
        <w:t>Rješenjem</w:t>
      </w:r>
      <w:r w:rsidR="00AD7E5F">
        <w:t xml:space="preserve"> FINA-e, RC Zagreb, Nagodbeno vi</w:t>
      </w:r>
      <w:r w:rsidR="00DC41F2">
        <w:t>jeće HR</w:t>
      </w:r>
      <w:r w:rsidR="003B0395">
        <w:t>01</w:t>
      </w:r>
      <w:r w:rsidR="009B60BB">
        <w:t xml:space="preserve">, </w:t>
      </w:r>
      <w:r w:rsidR="00D65A4C">
        <w:rPr>
          <w:noProof/>
          <w:lang w:eastAsia="hr-HR"/>
        </w:rPr>
        <w:t>Klasa: UP-I/110/07/1</w:t>
      </w:r>
      <w:r w:rsidR="00DC41F2">
        <w:rPr>
          <w:noProof/>
          <w:lang w:eastAsia="hr-HR"/>
        </w:rPr>
        <w:t>5-01/8522, Ur. Broj: 04-06-16-8522-71</w:t>
      </w:r>
      <w:r w:rsidR="00D65A4C">
        <w:rPr>
          <w:noProof/>
          <w:lang w:eastAsia="hr-HR"/>
        </w:rPr>
        <w:t xml:space="preserve"> </w:t>
      </w:r>
      <w:r w:rsidR="003B0395">
        <w:t xml:space="preserve">od </w:t>
      </w:r>
      <w:r w:rsidR="00DC41F2">
        <w:t>14. listopada 2016</w:t>
      </w:r>
      <w:r w:rsidR="00AD7E5F">
        <w:t xml:space="preserve">., </w:t>
      </w:r>
      <w:r w:rsidR="00EB4F83">
        <w:t xml:space="preserve">a koje je postalo </w:t>
      </w:r>
      <w:r w:rsidR="00AD7E5F">
        <w:t xml:space="preserve">izvršno </w:t>
      </w:r>
      <w:r w:rsidR="00DC41F2">
        <w:t xml:space="preserve">04. studenog 2016. </w:t>
      </w:r>
      <w:r w:rsidR="00AD7E5F">
        <w:t xml:space="preserve">utvrđeno </w:t>
      </w:r>
      <w:r>
        <w:t xml:space="preserve">je </w:t>
      </w:r>
      <w:r w:rsidR="00C87A66">
        <w:t>da su za P</w:t>
      </w:r>
      <w:r w:rsidR="00AD7E5F">
        <w:t>la</w:t>
      </w:r>
      <w:r>
        <w:t xml:space="preserve">n financijskog restrukturiranja </w:t>
      </w:r>
      <w:r w:rsidR="00AD7E5F">
        <w:t>glasovali vjerovnici čije tražbine prelaze 2/3 vrijednosti</w:t>
      </w:r>
      <w:r w:rsidR="00BB2370">
        <w:t xml:space="preserve"> svih utvrđenih tražbina, pa je, </w:t>
      </w:r>
      <w:r w:rsidR="00AD7E5F">
        <w:t>stoga</w:t>
      </w:r>
      <w:r w:rsidR="00BB2370">
        <w:t>,</w:t>
      </w:r>
      <w:r w:rsidR="00AD7E5F">
        <w:t xml:space="preserve"> dužnik dostavio predmet </w:t>
      </w:r>
      <w:r w:rsidR="00EB4F83">
        <w:t>ovom</w:t>
      </w:r>
      <w:r w:rsidR="00AD7E5F">
        <w:t xml:space="preserve"> sudu</w:t>
      </w:r>
      <w:r w:rsidR="00EB4F83">
        <w:t xml:space="preserve">, kao nadležnom sudu, </w:t>
      </w:r>
      <w:r>
        <w:t xml:space="preserve">radi sklapanja predstečajne nagodbe </w:t>
      </w:r>
      <w:r w:rsidRPr="007D5BD2">
        <w:t>dana</w:t>
      </w:r>
      <w:r w:rsidR="00DC41F2">
        <w:t xml:space="preserve"> 09.</w:t>
      </w:r>
      <w:r w:rsidR="00BB2370" w:rsidRPr="00BB2370">
        <w:t>11</w:t>
      </w:r>
      <w:r w:rsidR="00DC41F2">
        <w:t>.</w:t>
      </w:r>
      <w:r w:rsidRPr="00BB2370">
        <w:t>201</w:t>
      </w:r>
      <w:r w:rsidR="00DC41F2">
        <w:t>6</w:t>
      </w:r>
      <w:r w:rsidRPr="007D5BD2">
        <w:t xml:space="preserve">., </w:t>
      </w:r>
      <w:r w:rsidR="004434F8">
        <w:t>u zakonskom roku</w:t>
      </w:r>
      <w:r w:rsidR="004434F8" w:rsidRPr="004434F8">
        <w:t xml:space="preserve"> od petnaest dana od izvršnosti </w:t>
      </w:r>
      <w:r w:rsidR="004434F8">
        <w:t xml:space="preserve">navedenog </w:t>
      </w:r>
      <w:r w:rsidR="004434F8" w:rsidRPr="004434F8">
        <w:t>rješenja</w:t>
      </w:r>
      <w:r w:rsidR="00C87A66">
        <w:t>, sve sukladno članku 66</w:t>
      </w:r>
      <w:r w:rsidR="004434F8">
        <w:t xml:space="preserve"> </w:t>
      </w:r>
      <w:r w:rsidR="00C87A66">
        <w:t xml:space="preserve">stavku 1 </w:t>
      </w:r>
      <w:r w:rsidR="004434F8">
        <w:t xml:space="preserve"> </w:t>
      </w:r>
      <w:r w:rsidR="00C87A66" w:rsidRPr="00C87A66">
        <w:t>Zakona o financijskom poslovanju i predstečajnoj nagodbi</w:t>
      </w:r>
      <w:r w:rsidR="00C87A66">
        <w:t xml:space="preserve"> (NN 108/12 do 81/13 dalje: ZFPP</w:t>
      </w:r>
      <w:r w:rsidR="00C87A66" w:rsidRPr="00C87A66">
        <w:t>N)</w:t>
      </w:r>
      <w:r w:rsidR="00C87A66">
        <w:t>.</w:t>
      </w:r>
    </w:p>
    <w:p w:rsidRDefault="00EB0F0D" w:rsidP="00AD7E5F" w:rsidR="00EB0F0D">
      <w:pPr>
        <w:jc w:val="both"/>
      </w:pPr>
    </w:p>
    <w:p w:rsidRDefault="007D5BD2" w:rsidP="004009E8" w:rsidR="00AD7E5F">
      <w:pPr>
        <w:jc w:val="both"/>
      </w:pPr>
      <w:r>
        <w:t>Današnje</w:t>
      </w:r>
      <w:r w:rsidRPr="007D5BD2">
        <w:t xml:space="preserve"> ročište radi sklapanja predstečajne nagodbe određeno je rješenjem </w:t>
      </w:r>
      <w:r w:rsidR="00294B89">
        <w:t>ovog suda, broj gornji, od 08</w:t>
      </w:r>
      <w:r w:rsidR="00DC41F2">
        <w:t>.</w:t>
      </w:r>
      <w:r w:rsidR="00294B89">
        <w:t xml:space="preserve"> rujna</w:t>
      </w:r>
      <w:r w:rsidRPr="007D5BD2">
        <w:t xml:space="preserve"> 2017.g.</w:t>
      </w:r>
      <w:r w:rsidR="007015B3">
        <w:t>, nakon što je ovaj sud najprije donio rješenje o odbačaju prijedloga dužnika za sklapanje predstečajne nagodbe, broj 48 St-6579/16 od 11. svibnja 2017., koje rješenje je VTS RH ukinuo svojim rješenjem broj Pž-3839/17 od 14. srpnja 2017.</w:t>
      </w:r>
    </w:p>
    <w:p w:rsidRDefault="007D5BD2" w:rsidP="004009E8" w:rsidR="007D5BD2">
      <w:pPr>
        <w:jc w:val="both"/>
      </w:pPr>
    </w:p>
    <w:p w:rsidRDefault="00AD7E5F" w:rsidP="004009E8" w:rsidR="00AD7E5F">
      <w:pPr>
        <w:jc w:val="both"/>
      </w:pPr>
      <w:r>
        <w:t>O ročištu radi sklapanja predstečajne nagodbe dužnik i svi vjerovnici koji su prihvatili Plan financijskog restrukturiranja obaviješteni</w:t>
      </w:r>
      <w:r w:rsidR="00437BB0">
        <w:t xml:space="preserve"> su O</w:t>
      </w:r>
      <w:r>
        <w:t>glasom objavljenim na e-oglasnoj ploči suda</w:t>
      </w:r>
      <w:r w:rsidR="00EB4F83">
        <w:t xml:space="preserve"> </w:t>
      </w:r>
      <w:r w:rsidR="00294B89">
        <w:t>19.09</w:t>
      </w:r>
      <w:r w:rsidR="00EB4F83" w:rsidRPr="00BB2370">
        <w:t>.2017.</w:t>
      </w:r>
      <w:r w:rsidR="008107DD">
        <w:t>, a na w</w:t>
      </w:r>
      <w:r w:rsidR="00294B89">
        <w:t>eb stranici FINA-e 12.09.2017.</w:t>
      </w:r>
    </w:p>
    <w:p w:rsidRDefault="00372BAA" w:rsidP="004009E8" w:rsidR="00372BAA">
      <w:pPr>
        <w:jc w:val="both"/>
      </w:pPr>
    </w:p>
    <w:p w:rsidRDefault="00294B89" w:rsidP="00F23595" w:rsidR="00294B89" w:rsidRPr="00294B89">
      <w:pPr>
        <w:rPr>
          <w:rFonts w:cs="Tahoma"/>
        </w:rPr>
      </w:pPr>
      <w:r w:rsidRPr="00294B89">
        <w:rPr>
          <w:rFonts w:cs="Tahoma"/>
        </w:rPr>
        <w:t xml:space="preserve">Utvrđuje se da je rješenje o prihvaćanju Plana financijskog restrukturiranja FINA-e, RC Zagreb, Nagodbeno vijeće HR01, Klasa: UP-I/110/07/15-01/8522, Ur. Broj: 04-06-16-8522-71 od 14. listopada 2016., </w:t>
      </w:r>
      <w:r w:rsidR="00F23595">
        <w:rPr>
          <w:rFonts w:cs="Tahoma"/>
        </w:rPr>
        <w:t>objavljeno 1</w:t>
      </w:r>
      <w:r w:rsidRPr="00294B89">
        <w:rPr>
          <w:rFonts w:cs="Tahoma"/>
        </w:rPr>
        <w:t xml:space="preserve">8.11.2016.  na web stranici FINA-e, a odnosi na sve vjerovnike čije su tražbine utvrđene rješenjem FINA-e </w:t>
      </w:r>
      <w:r w:rsidR="00F23595">
        <w:rPr>
          <w:rFonts w:cs="Tahoma"/>
        </w:rPr>
        <w:t xml:space="preserve"> </w:t>
      </w:r>
      <w:r w:rsidR="00F23595" w:rsidRPr="00F23595">
        <w:rPr>
          <w:rFonts w:cs="Tahoma"/>
        </w:rPr>
        <w:t xml:space="preserve">Klasa: UP - I/110/07/15-01/8522 </w:t>
      </w:r>
      <w:r w:rsidR="00F23595">
        <w:rPr>
          <w:rFonts w:cs="Tahoma"/>
        </w:rPr>
        <w:t xml:space="preserve">, </w:t>
      </w:r>
      <w:r w:rsidR="00F23595" w:rsidRPr="00F23595">
        <w:rPr>
          <w:rFonts w:cs="Tahoma"/>
        </w:rPr>
        <w:t>Ur. br: 04-06-16-8522-52</w:t>
      </w:r>
      <w:r w:rsidR="00F23595">
        <w:rPr>
          <w:rFonts w:cs="Tahoma"/>
        </w:rPr>
        <w:t xml:space="preserve"> od 06</w:t>
      </w:r>
      <w:r w:rsidRPr="00294B89">
        <w:rPr>
          <w:rFonts w:cs="Tahoma"/>
        </w:rPr>
        <w:t xml:space="preserve">. </w:t>
      </w:r>
      <w:r w:rsidR="00F23595">
        <w:rPr>
          <w:rFonts w:cs="Tahoma"/>
        </w:rPr>
        <w:t>lipnja</w:t>
      </w:r>
      <w:r w:rsidRPr="00294B89">
        <w:rPr>
          <w:rFonts w:cs="Tahoma"/>
        </w:rPr>
        <w:t xml:space="preserve"> 2016.</w:t>
      </w:r>
    </w:p>
    <w:p w:rsidRDefault="00294B89" w:rsidP="00294B89" w:rsidR="00294B89">
      <w:pPr>
        <w:rPr>
          <w:rFonts w:cs="Tahoma"/>
        </w:rPr>
      </w:pPr>
    </w:p>
    <w:p w:rsidRDefault="00294B89" w:rsidP="00294B89" w:rsidR="00294B89" w:rsidRPr="00294B89">
      <w:pPr>
        <w:rPr>
          <w:rFonts w:cs="Tahoma"/>
        </w:rPr>
      </w:pPr>
      <w:r w:rsidRPr="00294B89">
        <w:rPr>
          <w:rFonts w:cs="Tahoma"/>
        </w:rPr>
        <w:t xml:space="preserve">Predmet današnjeg ročišta je glasovanje o predstečajnoj nagodbi, a </w:t>
      </w:r>
      <w:r w:rsidR="0085483A">
        <w:rPr>
          <w:rFonts w:cs="Tahoma"/>
        </w:rPr>
        <w:t>nakon što su vjerovnici kod FINA-e</w:t>
      </w:r>
      <w:r w:rsidRPr="00294B89">
        <w:rPr>
          <w:rFonts w:cs="Tahoma"/>
        </w:rPr>
        <w:t xml:space="preserve"> prihvatili Plan financijskog i operativnog restrukturiranja u otvorenom postupku predstečajne nagodbe, sukladno odredbama čl. 39. do 66. ZFPPN te nakon što je dužnik ovome sudu podnio prijedlog za sklapanje predstečajne nagodbe sukladno odredbi čl. 66. ZFPPN.</w:t>
      </w:r>
    </w:p>
    <w:p w:rsidRDefault="00294B89" w:rsidP="00294B89" w:rsidR="00294B89" w:rsidRPr="00294B89">
      <w:pPr>
        <w:rPr>
          <w:rFonts w:cs="Tahoma"/>
        </w:rPr>
      </w:pPr>
      <w:r w:rsidRPr="00294B89">
        <w:rPr>
          <w:rFonts w:cs="Tahoma"/>
        </w:rPr>
        <w:t xml:space="preserve">              </w:t>
      </w:r>
    </w:p>
    <w:p w:rsidRDefault="00294B89" w:rsidP="00294B89" w:rsidR="00294B89" w:rsidRPr="00294B89">
      <w:pPr>
        <w:rPr>
          <w:rFonts w:cs="Tahoma"/>
        </w:rPr>
      </w:pPr>
      <w:r w:rsidRPr="00294B89">
        <w:rPr>
          <w:rFonts w:cs="Tahoma"/>
        </w:rPr>
        <w:t>Pravo glasa na današnjem ročištu imaju, sukladno odredbi čl. 62. ZFPPN, vjerovnici čije su tražbine utvrđene u postupku kod FINA-e, a temeljem odredbe čl. 66. st. 9  ZFPPN sud će rješenjem odobriti sklapanje predstečajne nagodbe, ako su na današnjem ročištu svoj pristanak dali dužnik i vjerovnici čije tražbine čine potrebnu većinu iz čl. 63. ZFPPN, a koji propisuje da je predstečajnu nagodbu moguće zaključiti samo ukoliko glasuju vjerovnici čije tražbine prelaze polovinu vrijednosti utvrđenih tražbina za svaku grupu vjerovnika iz čl. 62. ZFPPN  ili ako za istu glasuju vjerovnici čije tražbine prelaze 2/3 vrijednosti svih utvrđenih tražbina, time da će se smatrati da su protiv iste glasali vjerovnici koji imaju pravo glasa, a nisu glasovali sukladno čl. 63.st 3. ZFPPN</w:t>
      </w:r>
      <w:r w:rsidR="008107DD">
        <w:rPr>
          <w:rFonts w:cs="Tahoma"/>
        </w:rPr>
        <w:t>.</w:t>
      </w:r>
      <w:r w:rsidRPr="00294B89">
        <w:rPr>
          <w:rFonts w:cs="Tahoma"/>
        </w:rPr>
        <w:t xml:space="preserve"> </w:t>
      </w:r>
    </w:p>
    <w:p w:rsidRDefault="00294B89" w:rsidP="00294B89" w:rsidR="00294B89" w:rsidRPr="00294B89">
      <w:pPr>
        <w:rPr>
          <w:rFonts w:cs="Tahoma"/>
        </w:rPr>
      </w:pPr>
    </w:p>
    <w:p w:rsidRDefault="00294B89" w:rsidP="00294B89" w:rsidR="00F23595">
      <w:pPr>
        <w:rPr>
          <w:rFonts w:cs="Tahoma"/>
        </w:rPr>
      </w:pPr>
      <w:r w:rsidRPr="00294B89">
        <w:rPr>
          <w:rFonts w:cs="Tahoma"/>
        </w:rPr>
        <w:t xml:space="preserve">Prije glasovanja sud konstatira da je uvidom u web stranice FINA-e te u Rješenje o utvrđenim tražbinama nagodbenog vijeća FINA-e, utvrdio da </w:t>
      </w:r>
      <w:r w:rsidR="00F23595">
        <w:rPr>
          <w:rFonts w:cs="Tahoma"/>
        </w:rPr>
        <w:t xml:space="preserve">je </w:t>
      </w:r>
      <w:r w:rsidR="00F23595" w:rsidRPr="00F23595">
        <w:rPr>
          <w:rFonts w:cs="Tahoma"/>
        </w:rPr>
        <w:t>ukupan iznos prijavljenih tražbina 35.814.815,65 kuna, ukupan iznos utvrđenih tražbina 36.570.756,58 kuna</w:t>
      </w:r>
      <w:r w:rsidR="00F23595">
        <w:rPr>
          <w:rFonts w:cs="Tahoma"/>
        </w:rPr>
        <w:t>,</w:t>
      </w:r>
      <w:r w:rsidR="00F23595" w:rsidRPr="00F23595">
        <w:rPr>
          <w:rFonts w:cs="Tahoma"/>
        </w:rPr>
        <w:t xml:space="preserve"> dok osporenih tražbina nema.</w:t>
      </w:r>
      <w:r w:rsidR="00F23595">
        <w:rPr>
          <w:rFonts w:cs="Tahoma"/>
        </w:rPr>
        <w:t xml:space="preserve"> Od ukupno utvrđenih tražbina valjalo je oduzeti prioritetne tražbine</w:t>
      </w:r>
      <w:r w:rsidR="0085483A">
        <w:rPr>
          <w:rFonts w:cs="Tahoma"/>
        </w:rPr>
        <w:t xml:space="preserve"> od 2.075,29 kn</w:t>
      </w:r>
      <w:r w:rsidR="00F23595">
        <w:rPr>
          <w:rFonts w:cs="Tahoma"/>
        </w:rPr>
        <w:t>, koje ne mogu biti predmetom sklapanja predstečajne nagodbe, su</w:t>
      </w:r>
      <w:r w:rsidR="008107DD">
        <w:rPr>
          <w:rFonts w:cs="Tahoma"/>
        </w:rPr>
        <w:t xml:space="preserve">kladno članku 51 stavku 8 ZFPPN, tako da je nakon toga </w:t>
      </w:r>
      <w:r w:rsidR="008107DD" w:rsidRPr="008107DD">
        <w:rPr>
          <w:rFonts w:cs="Tahoma"/>
        </w:rPr>
        <w:t>ukupan iznos utvrđenih tražbina</w:t>
      </w:r>
      <w:r w:rsidR="008107DD">
        <w:rPr>
          <w:rFonts w:cs="Tahoma"/>
        </w:rPr>
        <w:t xml:space="preserve"> 36.568.681,29 kn.</w:t>
      </w:r>
    </w:p>
    <w:p w:rsidRDefault="00F23595" w:rsidP="00294B89" w:rsidR="00F23595">
      <w:pPr>
        <w:rPr>
          <w:rFonts w:cs="Tahoma"/>
        </w:rPr>
      </w:pPr>
    </w:p>
    <w:p w:rsidRDefault="00294B89" w:rsidP="00294B89" w:rsidR="00294B89" w:rsidRPr="00294B89">
      <w:pPr>
        <w:rPr>
          <w:rFonts w:cs="Tahoma"/>
        </w:rPr>
      </w:pPr>
      <w:r w:rsidRPr="00294B89">
        <w:rPr>
          <w:rFonts w:cs="Tahoma"/>
        </w:rPr>
        <w:t>Dužnik izlaže Prijedlog predstečajne nagodbe, a koji Prijedlog je dostavio i elektronskim putem ovome sudu.</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lastRenderedPageBreak/>
        <w:t xml:space="preserve">Dužnik navodi da daje svoj pristanak na predloženu predstečajnu nagodbu. </w:t>
      </w:r>
    </w:p>
    <w:p w:rsidRDefault="00294B89" w:rsidP="00294B89" w:rsidR="00294B89" w:rsidRPr="00294B89">
      <w:pPr>
        <w:rPr>
          <w:rFonts w:cs="Tahoma"/>
        </w:rPr>
      </w:pPr>
      <w:r w:rsidRPr="00294B89">
        <w:rPr>
          <w:rFonts w:cs="Tahoma"/>
        </w:rPr>
        <w:tab/>
      </w:r>
    </w:p>
    <w:p w:rsidRDefault="00294B89" w:rsidP="00294B89" w:rsidR="00294B89" w:rsidRPr="00294B89">
      <w:pPr>
        <w:rPr>
          <w:rFonts w:cs="Tahoma"/>
        </w:rPr>
      </w:pPr>
      <w:r w:rsidRPr="00294B89">
        <w:rPr>
          <w:rFonts w:cs="Tahoma"/>
        </w:rPr>
        <w:t>Svi prisutni vjerovnici izjašnjavaju se na način da daju svoj pristanak na predloženu predstečajnu nagodbu kako slijedi:</w:t>
      </w:r>
    </w:p>
    <w:p w:rsidRDefault="00F23595" w:rsidP="00294B89" w:rsidR="00F23595">
      <w:pPr>
        <w:rPr>
          <w:rFonts w:cs="Tahoma"/>
        </w:rPr>
      </w:pPr>
    </w:p>
    <w:p w:rsidRDefault="00F23595" w:rsidP="00F23595" w:rsidR="00F23595">
      <w:pPr>
        <w:rPr>
          <w:rFonts w:cs="Tahoma"/>
        </w:rPr>
      </w:pPr>
      <w:r w:rsidRPr="00F23595">
        <w:rPr>
          <w:rFonts w:cs="Tahoma"/>
        </w:rPr>
        <w:t>-      A.M.PATAČIĆ  d.o.o. iz Zagreba, Aleja Hrvatske mladeži 45, OIB: 30593716926,</w:t>
      </w:r>
      <w:r>
        <w:rPr>
          <w:rFonts w:cs="Tahoma"/>
        </w:rPr>
        <w:t xml:space="preserve"> s tražbinom u iznosu od </w:t>
      </w:r>
      <w:r w:rsidRPr="00F23595">
        <w:rPr>
          <w:rFonts w:cs="Tahoma"/>
        </w:rPr>
        <w:t>1.375,00</w:t>
      </w:r>
      <w:r>
        <w:rPr>
          <w:rFonts w:cs="Tahoma"/>
        </w:rPr>
        <w:t xml:space="preserve"> kn</w:t>
      </w:r>
    </w:p>
    <w:p w:rsidRDefault="00F23595" w:rsidP="00F23595" w:rsidR="00F23595" w:rsidRPr="00F23595">
      <w:pPr>
        <w:rPr>
          <w:rFonts w:cs="Tahoma"/>
        </w:rPr>
      </w:pPr>
      <w:r w:rsidRPr="00F23595">
        <w:rPr>
          <w:rFonts w:cs="Tahoma"/>
        </w:rPr>
        <w:tab/>
      </w:r>
    </w:p>
    <w:p w:rsidRDefault="00F23595" w:rsidP="00F23595" w:rsidR="00F23595">
      <w:pPr>
        <w:rPr>
          <w:rFonts w:cs="Tahoma"/>
        </w:rPr>
      </w:pPr>
      <w:r w:rsidRPr="00F23595">
        <w:rPr>
          <w:rFonts w:cs="Tahoma"/>
        </w:rPr>
        <w:t>-      FIDUS GRADNJA d.o.o. iz Zagreba, Oranice 34, OIB: 39103538847, , s tražbinom u iznosu od</w:t>
      </w:r>
      <w:r>
        <w:rPr>
          <w:rFonts w:cs="Tahoma"/>
        </w:rPr>
        <w:t xml:space="preserve"> </w:t>
      </w:r>
      <w:r w:rsidRPr="00F23595">
        <w:rPr>
          <w:rFonts w:cs="Tahoma"/>
        </w:rPr>
        <w:t>13.440.076,06</w:t>
      </w:r>
      <w:r>
        <w:rPr>
          <w:rFonts w:cs="Tahoma"/>
        </w:rPr>
        <w:t xml:space="preserve"> kn</w:t>
      </w:r>
    </w:p>
    <w:p w:rsidRDefault="00F23595" w:rsidP="00F23595" w:rsidR="00F23595" w:rsidRPr="00F23595">
      <w:pPr>
        <w:rPr>
          <w:rFonts w:cs="Tahoma"/>
        </w:rPr>
      </w:pPr>
      <w:r w:rsidRPr="00F23595">
        <w:rPr>
          <w:rFonts w:cs="Tahoma"/>
        </w:rPr>
        <w:t xml:space="preserve">            </w:t>
      </w:r>
    </w:p>
    <w:p w:rsidRDefault="00F23595" w:rsidP="00F23595" w:rsidR="00F23595">
      <w:pPr>
        <w:rPr>
          <w:rFonts w:cs="Tahoma"/>
        </w:rPr>
      </w:pPr>
      <w:r w:rsidRPr="00F23595">
        <w:rPr>
          <w:rFonts w:cs="Tahoma"/>
        </w:rPr>
        <w:t>-      INTERINVEST d.o.o. iz Sarajeva, Safeta Zajke 269, Bosna i Hercegovina,  , s tražbinom u iznosu od</w:t>
      </w:r>
      <w:r>
        <w:rPr>
          <w:rFonts w:cs="Tahoma"/>
        </w:rPr>
        <w:t xml:space="preserve"> </w:t>
      </w:r>
      <w:r w:rsidRPr="00F23595">
        <w:rPr>
          <w:rFonts w:cs="Tahoma"/>
        </w:rPr>
        <w:t>404.297,90</w:t>
      </w:r>
      <w:r>
        <w:rPr>
          <w:rFonts w:cs="Tahoma"/>
        </w:rPr>
        <w:t xml:space="preserve"> kn</w:t>
      </w:r>
    </w:p>
    <w:p w:rsidRDefault="00F23595" w:rsidP="00F23595" w:rsidR="00F23595" w:rsidRPr="00F23595">
      <w:pPr>
        <w:rPr>
          <w:rFonts w:cs="Tahoma"/>
        </w:rPr>
      </w:pPr>
    </w:p>
    <w:p w:rsidRDefault="00F23595" w:rsidP="00F23595" w:rsidR="00F23595">
      <w:pPr>
        <w:rPr>
          <w:rFonts w:cs="Tahoma"/>
        </w:rPr>
      </w:pPr>
      <w:r w:rsidRPr="00F23595">
        <w:rPr>
          <w:rFonts w:cs="Tahoma"/>
        </w:rPr>
        <w:t>-      DINKO PALAC,  Bukovečki krč, 31, Zagreb, OIB: 95640712687 , s tražbinom u iznosu od</w:t>
      </w:r>
    </w:p>
    <w:p w:rsidRDefault="008107DD" w:rsidP="00F23595" w:rsidR="00F23595">
      <w:pPr>
        <w:rPr>
          <w:rFonts w:cs="Tahoma"/>
        </w:rPr>
      </w:pPr>
      <w:r w:rsidRPr="008107DD">
        <w:rPr>
          <w:rFonts w:cs="Tahoma"/>
        </w:rPr>
        <w:t>5.568.693,98</w:t>
      </w:r>
      <w:r>
        <w:rPr>
          <w:rFonts w:cs="Tahoma"/>
        </w:rPr>
        <w:t xml:space="preserve"> kn</w:t>
      </w:r>
    </w:p>
    <w:p w:rsidRDefault="008107DD" w:rsidP="00F23595" w:rsidR="008107DD" w:rsidRPr="00F23595">
      <w:pPr>
        <w:rPr>
          <w:rFonts w:cs="Tahoma"/>
        </w:rPr>
      </w:pPr>
    </w:p>
    <w:p w:rsidRDefault="00F23595" w:rsidP="00F23595" w:rsidR="00F23595">
      <w:pPr>
        <w:rPr>
          <w:rFonts w:cs="Tahoma"/>
        </w:rPr>
      </w:pPr>
      <w:r w:rsidRPr="00F23595">
        <w:rPr>
          <w:rFonts w:cs="Tahoma"/>
        </w:rPr>
        <w:t>-      TOMISLAV ŠIMUNAC, iz Zagreba, Ilica 253,  OIB: 20668699654 , s tražbinom u iznosu od</w:t>
      </w:r>
    </w:p>
    <w:p w:rsidRDefault="008107DD" w:rsidP="00F23595" w:rsidR="00F23595">
      <w:pPr>
        <w:rPr>
          <w:rFonts w:cs="Tahoma"/>
        </w:rPr>
      </w:pPr>
      <w:r w:rsidRPr="008107DD">
        <w:rPr>
          <w:rFonts w:cs="Tahoma"/>
        </w:rPr>
        <w:t>7.017.156,54</w:t>
      </w:r>
      <w:r>
        <w:rPr>
          <w:rFonts w:cs="Tahoma"/>
        </w:rPr>
        <w:t xml:space="preserve"> kn</w:t>
      </w:r>
    </w:p>
    <w:p w:rsidRDefault="008107DD" w:rsidP="00F23595" w:rsidR="008107DD" w:rsidRPr="00F23595">
      <w:pPr>
        <w:rPr>
          <w:rFonts w:cs="Tahoma"/>
        </w:rPr>
      </w:pPr>
    </w:p>
    <w:p w:rsidRDefault="00F23595" w:rsidP="00F23595" w:rsidR="00F23595">
      <w:pPr>
        <w:rPr>
          <w:rFonts w:cs="Tahoma"/>
        </w:rPr>
      </w:pPr>
      <w:r w:rsidRPr="00F23595">
        <w:rPr>
          <w:rFonts w:cs="Tahoma"/>
        </w:rPr>
        <w:t>-     STJEPAN VUČKOVIĆ, iz Zagreba, Schrottova 37, OIB: 20668699654, s tražbinom u iznosu od</w:t>
      </w:r>
      <w:r w:rsidR="008107DD">
        <w:rPr>
          <w:rFonts w:cs="Tahoma"/>
        </w:rPr>
        <w:t xml:space="preserve"> </w:t>
      </w:r>
      <w:r w:rsidR="008107DD" w:rsidRPr="008107DD">
        <w:rPr>
          <w:rFonts w:cs="Tahoma"/>
        </w:rPr>
        <w:t>158.305,56</w:t>
      </w:r>
      <w:r w:rsidR="008107DD">
        <w:rPr>
          <w:rFonts w:cs="Tahoma"/>
        </w:rPr>
        <w:t xml:space="preserve"> kn</w:t>
      </w:r>
    </w:p>
    <w:p w:rsidRDefault="00F23595" w:rsidP="00294B89" w:rsidR="00F23595">
      <w:pPr>
        <w:rPr>
          <w:rFonts w:cs="Tahoma"/>
        </w:rPr>
      </w:pPr>
    </w:p>
    <w:p w:rsidRDefault="00294B89" w:rsidP="00294B89" w:rsidR="00294B89" w:rsidRPr="00294B89">
      <w:pPr>
        <w:rPr>
          <w:rFonts w:cs="Tahoma"/>
        </w:rPr>
      </w:pPr>
      <w:r w:rsidRPr="00294B89">
        <w:rPr>
          <w:rFonts w:cs="Tahoma"/>
        </w:rPr>
        <w:t xml:space="preserve">Zbrajanjem glasova istih, tj iznosa pojedinih utvrđenih tražbina vjerovnika koji su dali svoj pristanak, utvrđuje se da su „ZA“ predloženu predstečajnu nagodbu glasovali vjerovnici čije tražbine ukupno iznose </w:t>
      </w:r>
      <w:r w:rsidR="0085483A">
        <w:rPr>
          <w:rFonts w:cs="Tahoma"/>
        </w:rPr>
        <w:t>26.589.905,04</w:t>
      </w:r>
      <w:r w:rsidRPr="00294B89">
        <w:rPr>
          <w:rFonts w:cs="Tahoma"/>
        </w:rPr>
        <w:t xml:space="preserve"> kn, a kako je uvidom na web stranicu FINE i uvidom u rješenje o utvrđenim tražbinama kod ovog dužnika</w:t>
      </w:r>
      <w:r w:rsidR="0085483A">
        <w:rPr>
          <w:rFonts w:cs="Tahoma"/>
        </w:rPr>
        <w:t>, a nakon umanjenja za prioritetne tražbine</w:t>
      </w:r>
      <w:r w:rsidRPr="00294B89">
        <w:rPr>
          <w:rFonts w:cs="Tahoma"/>
        </w:rPr>
        <w:t xml:space="preserve"> utvrđeno da ukupno utvrđene tražbine vjerovnika iznose </w:t>
      </w:r>
      <w:r w:rsidR="0085483A" w:rsidRPr="0085483A">
        <w:rPr>
          <w:rFonts w:cs="Tahoma"/>
        </w:rPr>
        <w:t>36.568.681,29 kn</w:t>
      </w:r>
      <w:r w:rsidRPr="00294B89">
        <w:rPr>
          <w:rFonts w:cs="Tahoma"/>
        </w:rPr>
        <w:t>, to dakle proizlazi da je pristanak</w:t>
      </w:r>
      <w:r w:rsidR="0085483A">
        <w:rPr>
          <w:rFonts w:cs="Tahoma"/>
        </w:rPr>
        <w:t xml:space="preserve"> za predstečajnu nagodbu dalo 72,71</w:t>
      </w:r>
      <w:r w:rsidRPr="00294B89">
        <w:rPr>
          <w:rFonts w:cs="Tahoma"/>
        </w:rPr>
        <w:t xml:space="preserve"> % vjerovnika.</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 xml:space="preserve">Utvrđuje se, stoga, da su pristanak za sklapanje predstečajne nagodbe dali dužnik  i vjerovnici koji su prihvatili Plan financijskog restrukturiranja, a čije tražbine prelaze 2/3 vrijednosti svih utvrđenih tražbina. </w:t>
      </w:r>
    </w:p>
    <w:p w:rsidRDefault="00294B89" w:rsidP="00294B89" w:rsidR="00294B89" w:rsidRPr="00294B89">
      <w:pPr>
        <w:rPr>
          <w:rFonts w:cs="Tahoma"/>
        </w:rPr>
      </w:pPr>
    </w:p>
    <w:p w:rsidRDefault="00294B89" w:rsidP="00294B89" w:rsidR="00294B89" w:rsidRPr="00294B89">
      <w:pPr>
        <w:rPr>
          <w:rFonts w:cs="Tahoma"/>
        </w:rPr>
      </w:pPr>
    </w:p>
    <w:p w:rsidRDefault="00122B0F" w:rsidP="00294B89" w:rsidR="00294B89" w:rsidRPr="00294B89">
      <w:pPr>
        <w:rPr>
          <w:rFonts w:cs="Tahoma"/>
        </w:rPr>
      </w:pPr>
      <w:r>
        <w:rPr>
          <w:rFonts w:cs="Tahoma"/>
        </w:rPr>
        <w:t>Sud</w:t>
      </w:r>
      <w:r w:rsidR="00294B89" w:rsidRPr="00294B89">
        <w:rPr>
          <w:rFonts w:cs="Tahoma"/>
        </w:rPr>
        <w:t xml:space="preserve"> donosi i javno objavljuje </w:t>
      </w:r>
    </w:p>
    <w:p w:rsidRDefault="00294B89" w:rsidP="00294B89" w:rsidR="00294B89" w:rsidRPr="00294B89">
      <w:pPr>
        <w:rPr>
          <w:rFonts w:cs="Tahoma"/>
        </w:rPr>
      </w:pPr>
      <w:r w:rsidRPr="00294B89">
        <w:rPr>
          <w:rFonts w:cs="Tahoma"/>
        </w:rPr>
        <w:t xml:space="preserve"> </w:t>
      </w:r>
    </w:p>
    <w:p w:rsidRDefault="00294B89" w:rsidP="00294B89" w:rsidR="00294B89" w:rsidRPr="00294B89">
      <w:pPr>
        <w:rPr>
          <w:rFonts w:cs="Tahoma"/>
        </w:rPr>
      </w:pPr>
      <w:r w:rsidRPr="00294B89">
        <w:rPr>
          <w:rFonts w:cs="Tahoma"/>
        </w:rPr>
        <w:t xml:space="preserve">                                                                      R j e š e nj e</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 xml:space="preserve">Odobrava se sklapanje predstečajne nagodbe u postupku nad </w:t>
      </w:r>
      <w:r w:rsidR="0085483A" w:rsidRPr="0085483A">
        <w:rPr>
          <w:rFonts w:cs="Tahoma"/>
        </w:rPr>
        <w:t>GRAĐENJE HERC d.o.o. za graditeljstvo, trgovinu i usluge, Zagreb, Ilica 253, OIB: 66385532845</w:t>
      </w:r>
      <w:r w:rsidRPr="00294B89">
        <w:rPr>
          <w:rFonts w:cs="Tahoma"/>
        </w:rPr>
        <w:t xml:space="preserve">. </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 xml:space="preserve">                                                                Obrazloženje</w:t>
      </w:r>
    </w:p>
    <w:p w:rsidRDefault="00294B89" w:rsidP="00294B89" w:rsidR="00294B89" w:rsidRPr="00294B89">
      <w:pPr>
        <w:rPr>
          <w:rFonts w:cs="Tahoma"/>
        </w:rPr>
      </w:pPr>
    </w:p>
    <w:p w:rsidRDefault="00294B89" w:rsidP="00294B89" w:rsidR="0085483A">
      <w:pPr>
        <w:rPr>
          <w:rFonts w:cs="Tahoma"/>
        </w:rPr>
      </w:pPr>
      <w:r w:rsidRPr="00294B89">
        <w:rPr>
          <w:rFonts w:cs="Tahoma"/>
        </w:rPr>
        <w:t xml:space="preserve">Kako su u konkretnom slučaju za prihvaćanje Plana financijskog restrukturiranja svoj pristanak dali dužnik te vjerovnici čije tražbine iznose </w:t>
      </w:r>
      <w:r w:rsidR="0085483A" w:rsidRPr="0085483A">
        <w:rPr>
          <w:rFonts w:cs="Tahoma"/>
        </w:rPr>
        <w:t>26.589.905,04 kn</w:t>
      </w:r>
      <w:r w:rsidRPr="00294B89">
        <w:rPr>
          <w:rFonts w:cs="Tahoma"/>
        </w:rPr>
        <w:t xml:space="preserve">, što predstavlja više od 2/3 ukupno utvrđenih tražbina te kako je sadržaj predložene nagodbe u skladu s općim pravilima o sudskoj </w:t>
      </w:r>
      <w:r w:rsidRPr="00294B89">
        <w:rPr>
          <w:rFonts w:cs="Tahoma"/>
        </w:rPr>
        <w:lastRenderedPageBreak/>
        <w:t xml:space="preserve">nagodbi, a u bitnim sastojcima je odgovarajući prihvaćenom Planu financijskog i operativnog restrukturiranja, to je, temeljem članka 66. stavak 9., u vezi članka 63. stavak 2. Zakona </w:t>
      </w:r>
      <w:r w:rsidR="0085483A">
        <w:rPr>
          <w:rFonts w:cs="Tahoma"/>
        </w:rPr>
        <w:t xml:space="preserve">o </w:t>
      </w:r>
    </w:p>
    <w:p w:rsidRDefault="00294B89" w:rsidP="00294B89" w:rsidR="00294B89" w:rsidRPr="00294B89">
      <w:pPr>
        <w:rPr>
          <w:rFonts w:cs="Tahoma"/>
        </w:rPr>
      </w:pPr>
      <w:r w:rsidRPr="00294B89">
        <w:rPr>
          <w:rFonts w:cs="Tahoma"/>
        </w:rPr>
        <w:t xml:space="preserve">financijskom poslovanju i predstečajnoj nagodbi  ("NN" 108/12., 81/13. i 112/13), sud donio rješenje kojim odobrava sklapanje naprijed navedene predstečajne nagodbe. </w:t>
      </w:r>
    </w:p>
    <w:p w:rsidRDefault="00294B89" w:rsidP="00294B89" w:rsidR="00294B89" w:rsidRPr="00294B89">
      <w:pPr>
        <w:rPr>
          <w:rFonts w:cs="Tahoma"/>
        </w:rPr>
      </w:pPr>
    </w:p>
    <w:p w:rsidRDefault="00294B89" w:rsidP="00294B89" w:rsidR="00294B89" w:rsidRPr="00294B89">
      <w:pPr>
        <w:rPr>
          <w:rFonts w:cs="Tahoma"/>
        </w:rPr>
      </w:pPr>
    </w:p>
    <w:p w:rsidRDefault="00294B89" w:rsidP="00294B89" w:rsidR="0093651C">
      <w:pPr>
        <w:rPr>
          <w:rFonts w:cs="Tahoma"/>
        </w:rPr>
      </w:pPr>
      <w:r>
        <w:rPr>
          <w:rFonts w:cs="Tahoma"/>
        </w:rPr>
        <w:t xml:space="preserve">                          </w:t>
      </w:r>
      <w:r w:rsidR="0093651C">
        <w:rPr>
          <w:rFonts w:cs="Tahoma"/>
        </w:rPr>
        <w:t xml:space="preserve">                          </w:t>
      </w:r>
      <w:r>
        <w:rPr>
          <w:rFonts w:cs="Tahoma"/>
        </w:rPr>
        <w:t xml:space="preserve"> </w:t>
      </w:r>
      <w:r w:rsidR="0093651C">
        <w:rPr>
          <w:rFonts w:cs="Tahoma"/>
        </w:rPr>
        <w:t>U Zagrebu, 29. rujna 2017.</w:t>
      </w:r>
      <w:r>
        <w:rPr>
          <w:rFonts w:cs="Tahoma"/>
        </w:rPr>
        <w:t xml:space="preserve">                                                                          </w:t>
      </w:r>
      <w:r w:rsidR="0093651C">
        <w:rPr>
          <w:rFonts w:cs="Tahoma"/>
        </w:rPr>
        <w:t xml:space="preserve">                    </w:t>
      </w:r>
    </w:p>
    <w:p w:rsidRDefault="0093651C" w:rsidP="00294B89" w:rsidR="00294B89" w:rsidRPr="00294B89">
      <w:pPr>
        <w:rPr>
          <w:rFonts w:cs="Tahoma"/>
        </w:rPr>
      </w:pPr>
      <w:r>
        <w:rPr>
          <w:rFonts w:cs="Tahoma"/>
        </w:rPr>
        <w:t xml:space="preserve">                                                                                                                                  </w:t>
      </w:r>
      <w:r w:rsidR="00294B89" w:rsidRPr="00294B89">
        <w:rPr>
          <w:rFonts w:cs="Tahoma"/>
        </w:rPr>
        <w:t xml:space="preserve">SUDAC: </w:t>
      </w:r>
    </w:p>
    <w:p w:rsidRDefault="00294B89" w:rsidP="00294B89" w:rsidR="00294B89" w:rsidRPr="00294B89">
      <w:pPr>
        <w:rPr>
          <w:rFonts w:cs="Tahoma"/>
        </w:rPr>
      </w:pPr>
      <w:r>
        <w:rPr>
          <w:rFonts w:cs="Tahoma"/>
        </w:rPr>
        <w:t xml:space="preserve">                                                                                                                        </w:t>
      </w:r>
      <w:r w:rsidRPr="00294B89">
        <w:rPr>
          <w:rFonts w:cs="Tahoma"/>
        </w:rPr>
        <w:t>Vesna Sremac Šoštar</w:t>
      </w:r>
    </w:p>
    <w:p w:rsidRDefault="00294B89" w:rsidP="00294B89" w:rsidR="00294B89" w:rsidRPr="00294B89">
      <w:pPr>
        <w:rPr>
          <w:rFonts w:cs="Tahoma"/>
        </w:rPr>
      </w:pPr>
      <w:r>
        <w:rPr>
          <w:rFonts w:cs="Tahoma"/>
        </w:rPr>
        <w:t xml:space="preserve">      </w:t>
      </w:r>
    </w:p>
    <w:p w:rsidRDefault="00294B89" w:rsidP="00294B89" w:rsidR="00294B89" w:rsidRPr="00294B89">
      <w:pPr>
        <w:rPr>
          <w:rFonts w:cs="Tahoma"/>
        </w:rPr>
      </w:pPr>
    </w:p>
    <w:p w:rsidRDefault="0085483A" w:rsidP="00294B89" w:rsidR="0085483A">
      <w:pPr>
        <w:rPr>
          <w:rFonts w:cs="Tahoma"/>
        </w:rPr>
      </w:pPr>
    </w:p>
    <w:p w:rsidRDefault="00294B89" w:rsidP="00294B89" w:rsidR="00294B89" w:rsidRPr="00294B89">
      <w:pPr>
        <w:rPr>
          <w:rFonts w:cs="Tahoma"/>
        </w:rPr>
      </w:pPr>
      <w:r w:rsidRPr="00294B89">
        <w:rPr>
          <w:rFonts w:cs="Tahoma"/>
        </w:rPr>
        <w:t>UPUTA O PRAVNOM LIJEKU:</w:t>
      </w:r>
    </w:p>
    <w:p w:rsidRDefault="00294B89" w:rsidP="00294B89" w:rsidR="00294B89" w:rsidRPr="00294B89">
      <w:pPr>
        <w:rPr>
          <w:rFonts w:cs="Tahoma"/>
        </w:rPr>
      </w:pPr>
      <w:r w:rsidRPr="00294B89">
        <w:rPr>
          <w:rFonts w:cs="Tahoma"/>
        </w:rPr>
        <w:t xml:space="preserve">Protiv ovog rješenja kojim sud dopušta sklapanje predstečajne nagodbe može se izjaviti žalba Visokom trgovačkom sudu Republike Hrvatske, u roku od 8 dana  Žalba se podnosi putem ovog suda u tri primjerka. </w:t>
      </w:r>
    </w:p>
    <w:p w:rsidRDefault="00294B89" w:rsidP="00294B89" w:rsidR="00294B89">
      <w:pPr>
        <w:rPr>
          <w:rFonts w:cs="Tahoma"/>
        </w:rPr>
      </w:pPr>
    </w:p>
    <w:p w:rsidRDefault="0085483A" w:rsidP="00294B89" w:rsidR="0085483A" w:rsidRPr="00294B89">
      <w:pPr>
        <w:rPr>
          <w:rFonts w:cs="Tahoma"/>
        </w:rPr>
      </w:pPr>
    </w:p>
    <w:p w:rsidRDefault="00294B89" w:rsidP="00294B89" w:rsidR="00294B89" w:rsidRPr="00294B89">
      <w:pPr>
        <w:rPr>
          <w:rFonts w:cs="Tahoma"/>
        </w:rPr>
      </w:pPr>
      <w:r w:rsidRPr="00294B89">
        <w:rPr>
          <w:rFonts w:cs="Tahoma"/>
        </w:rPr>
        <w:t xml:space="preserve">Nakon toga stranke pristupaju potpisivanju sljedeće: </w:t>
      </w:r>
    </w:p>
    <w:p w:rsidRDefault="00294B89" w:rsidP="00294B89" w:rsidR="00294B89" w:rsidRPr="00294B89">
      <w:pPr>
        <w:rPr>
          <w:rFonts w:cs="Tahoma"/>
        </w:rPr>
      </w:pPr>
    </w:p>
    <w:p w:rsidRDefault="00294B89" w:rsidP="00294B89" w:rsidR="00294B89">
      <w:pPr>
        <w:rPr>
          <w:rFonts w:cs="Tahoma"/>
        </w:rPr>
      </w:pPr>
      <w:r w:rsidRPr="00294B89">
        <w:rPr>
          <w:rFonts w:cs="Tahoma"/>
        </w:rPr>
        <w:t>PREDSTEČAJNE NAGODBE</w:t>
      </w:r>
    </w:p>
    <w:p w:rsidRDefault="0093651C" w:rsidP="00294B89" w:rsidR="0093651C">
      <w:pPr>
        <w:rPr>
          <w:rFonts w:cs="Tahoma"/>
        </w:rPr>
      </w:pPr>
    </w:p>
    <w:p w:rsidRDefault="0093651C" w:rsidP="0093651C" w:rsidR="0093651C" w:rsidRPr="0093651C">
      <w:pPr>
        <w:rPr>
          <w:rFonts w:cs="Tahoma"/>
        </w:rPr>
      </w:pPr>
      <w:r w:rsidRPr="0093651C">
        <w:rPr>
          <w:rFonts w:cs="Tahoma"/>
        </w:rPr>
        <w:t>GRAĐENJE HERC d.o.o. za graditeljstvo, trgovinu i usluge, OIB:66385532845, Ilica 253, Zagreb, koje zastupa direktor Antun Pavić, kao dužnik s jedne strane</w:t>
      </w:r>
    </w:p>
    <w:p w:rsidRDefault="0093651C" w:rsidP="0093651C" w:rsidR="0093651C" w:rsidRPr="0093651C">
      <w:pPr>
        <w:rPr>
          <w:rFonts w:cs="Tahoma"/>
        </w:rPr>
      </w:pPr>
    </w:p>
    <w:p w:rsidRDefault="0093651C" w:rsidP="0093651C" w:rsidR="0093651C" w:rsidRPr="0093651C">
      <w:pPr>
        <w:rPr>
          <w:rFonts w:cs="Tahoma"/>
        </w:rPr>
      </w:pPr>
      <w:r w:rsidRPr="0093651C">
        <w:rPr>
          <w:rFonts w:cs="Tahoma"/>
        </w:rPr>
        <w:t>i</w:t>
      </w:r>
    </w:p>
    <w:p w:rsidRDefault="0093651C" w:rsidP="0093651C" w:rsidR="0093651C" w:rsidRPr="0093651C">
      <w:pPr>
        <w:rPr>
          <w:rFonts w:cs="Tahoma"/>
        </w:rPr>
      </w:pPr>
    </w:p>
    <w:p w:rsidRDefault="0093651C" w:rsidP="0093651C" w:rsidR="0093651C" w:rsidRPr="0093651C">
      <w:pPr>
        <w:rPr>
          <w:rFonts w:cs="Tahoma"/>
        </w:rPr>
      </w:pPr>
      <w:r w:rsidRPr="0093651C">
        <w:rPr>
          <w:rFonts w:cs="Tahoma"/>
        </w:rPr>
        <w:t>A.M. Patačić d.o.o., Aleja Hrvatske mladeži 45, Zagreb, OIB 30593716926</w:t>
      </w:r>
    </w:p>
    <w:p w:rsidRDefault="0093651C" w:rsidP="0093651C" w:rsidR="0093651C" w:rsidRPr="0093651C">
      <w:pPr>
        <w:rPr>
          <w:rFonts w:cs="Tahoma"/>
        </w:rPr>
      </w:pPr>
      <w:r w:rsidRPr="0093651C">
        <w:rPr>
          <w:rFonts w:cs="Tahoma"/>
        </w:rPr>
        <w:t>FIDUS GRADNJA d.o.o. Oranice 34 Zagreb, OIB 39103538847</w:t>
      </w:r>
    </w:p>
    <w:p w:rsidRDefault="0093651C" w:rsidP="0093651C" w:rsidR="0093651C" w:rsidRPr="0093651C">
      <w:pPr>
        <w:rPr>
          <w:rFonts w:cs="Tahoma"/>
        </w:rPr>
      </w:pPr>
      <w:r w:rsidRPr="0093651C">
        <w:rPr>
          <w:rFonts w:cs="Tahoma"/>
        </w:rPr>
        <w:t>Grad Zagreb, Trg Stjepana radića, Zagreb, OIB 61817894937</w:t>
      </w:r>
    </w:p>
    <w:p w:rsidRDefault="0093651C" w:rsidP="0093651C" w:rsidR="0093651C" w:rsidRPr="0093651C">
      <w:pPr>
        <w:rPr>
          <w:rFonts w:cs="Tahoma"/>
        </w:rPr>
      </w:pPr>
      <w:r w:rsidRPr="0093651C">
        <w:rPr>
          <w:rFonts w:cs="Tahoma"/>
        </w:rPr>
        <w:t>HEP -Operator distribucijskog sustava d.o.o., Gundulićeva 32, Zagreb,OIB 46830600751</w:t>
      </w:r>
    </w:p>
    <w:p w:rsidRDefault="0093651C" w:rsidP="0093651C" w:rsidR="0093651C" w:rsidRPr="0093651C">
      <w:pPr>
        <w:rPr>
          <w:rFonts w:cs="Tahoma"/>
        </w:rPr>
      </w:pPr>
      <w:r w:rsidRPr="0093651C">
        <w:rPr>
          <w:rFonts w:cs="Tahoma"/>
        </w:rPr>
        <w:t>Hrvatska gospodarska komora, Roosveltov trg 2, Zagreb, OIB 85167032587</w:t>
      </w:r>
    </w:p>
    <w:p w:rsidRDefault="0093651C" w:rsidP="0093651C" w:rsidR="0093651C" w:rsidRPr="0093651C">
      <w:pPr>
        <w:rPr>
          <w:rFonts w:cs="Tahoma"/>
        </w:rPr>
      </w:pPr>
      <w:r w:rsidRPr="0093651C">
        <w:rPr>
          <w:rFonts w:cs="Tahoma"/>
        </w:rPr>
        <w:t>Hrvatske šume d.o.o., Lj. F. Vukotinovića 2, Zagreb, OIB 69693144506</w:t>
      </w:r>
    </w:p>
    <w:p w:rsidRDefault="0093651C" w:rsidP="0093651C" w:rsidR="0093651C" w:rsidRPr="0093651C">
      <w:pPr>
        <w:rPr>
          <w:rFonts w:cs="Tahoma"/>
        </w:rPr>
      </w:pPr>
      <w:r w:rsidRPr="0093651C">
        <w:rPr>
          <w:rFonts w:cs="Tahoma"/>
        </w:rPr>
        <w:t>Hrvatske vode, Ulica grada Vukovara 220, Zagreb, OIB 28921383001</w:t>
      </w:r>
    </w:p>
    <w:p w:rsidRDefault="0093651C" w:rsidP="0093651C" w:rsidR="0093651C" w:rsidRPr="0093651C">
      <w:pPr>
        <w:rPr>
          <w:rFonts w:cs="Tahoma"/>
        </w:rPr>
      </w:pPr>
      <w:r w:rsidRPr="0093651C">
        <w:rPr>
          <w:rFonts w:cs="Tahoma"/>
        </w:rPr>
        <w:t>INTERINVEST d.o.o., Safeta zajke 269, Sarajevo, OIB:11099893718</w:t>
      </w:r>
    </w:p>
    <w:p w:rsidRDefault="0093651C" w:rsidP="0093651C" w:rsidR="0093651C" w:rsidRPr="0093651C">
      <w:pPr>
        <w:rPr>
          <w:rFonts w:cs="Tahoma"/>
        </w:rPr>
      </w:pPr>
      <w:r w:rsidRPr="0093651C">
        <w:rPr>
          <w:rFonts w:cs="Tahoma"/>
        </w:rPr>
        <w:t>Javni bilježnik JOZO ROTIM, Trg Johna Kennedyja 6b, Zagreb, OIB 15618163660</w:t>
      </w:r>
    </w:p>
    <w:p w:rsidRDefault="0093651C" w:rsidP="0093651C" w:rsidR="0093651C" w:rsidRPr="0093651C">
      <w:pPr>
        <w:rPr>
          <w:rFonts w:cs="Tahoma"/>
        </w:rPr>
      </w:pPr>
      <w:r w:rsidRPr="0093651C">
        <w:rPr>
          <w:rFonts w:cs="Tahoma"/>
        </w:rPr>
        <w:t>Javni bilježnik JOŽICA MATKO RUŽDJAK, Kneza Višeslava 2, Zagreb, OIB 23556614682</w:t>
      </w:r>
    </w:p>
    <w:p w:rsidRDefault="0093651C" w:rsidP="0093651C" w:rsidR="0093651C" w:rsidRPr="0093651C">
      <w:pPr>
        <w:rPr>
          <w:rFonts w:cs="Tahoma"/>
        </w:rPr>
      </w:pPr>
      <w:r w:rsidRPr="0093651C">
        <w:rPr>
          <w:rFonts w:cs="Tahoma"/>
        </w:rPr>
        <w:t>Ministarstvo financija, Katančićeva 5, Zagreb, OIB 1868313648</w:t>
      </w:r>
    </w:p>
    <w:p w:rsidRDefault="0093651C" w:rsidP="0093651C" w:rsidR="0093651C" w:rsidRPr="0093651C">
      <w:pPr>
        <w:rPr>
          <w:rFonts w:cs="Tahoma"/>
        </w:rPr>
      </w:pPr>
      <w:r w:rsidRPr="0093651C">
        <w:rPr>
          <w:rFonts w:cs="Tahoma"/>
        </w:rPr>
        <w:t>Palac Dinko, OIB 95640712687</w:t>
      </w:r>
    </w:p>
    <w:p w:rsidRDefault="0093651C" w:rsidP="0093651C" w:rsidR="0093651C" w:rsidRPr="0093651C">
      <w:pPr>
        <w:rPr>
          <w:rFonts w:cs="Tahoma"/>
        </w:rPr>
      </w:pPr>
      <w:r w:rsidRPr="0093651C">
        <w:rPr>
          <w:rFonts w:cs="Tahoma"/>
        </w:rPr>
        <w:t>Palac Ljiljanko, Dragićina bb, Grude, OIB 19082040505</w:t>
      </w:r>
    </w:p>
    <w:p w:rsidRDefault="0093651C" w:rsidP="0093651C" w:rsidR="0093651C" w:rsidRPr="0093651C">
      <w:pPr>
        <w:rPr>
          <w:rFonts w:cs="Tahoma"/>
        </w:rPr>
      </w:pPr>
      <w:r w:rsidRPr="0093651C">
        <w:rPr>
          <w:rFonts w:cs="Tahoma"/>
        </w:rPr>
        <w:t>Partner banka d.d., Vončinina, Zagreb, OIB 71221608291</w:t>
      </w:r>
    </w:p>
    <w:p w:rsidRDefault="0093651C" w:rsidP="0093651C" w:rsidR="0093651C" w:rsidRPr="0093651C">
      <w:pPr>
        <w:rPr>
          <w:rFonts w:cs="Tahoma"/>
        </w:rPr>
      </w:pPr>
      <w:r w:rsidRPr="0093651C">
        <w:rPr>
          <w:rFonts w:cs="Tahoma"/>
        </w:rPr>
        <w:t>PREMIUM FACTOR d.o.o., Slavenskog 1, Zagreb, OIB 72608586251</w:t>
      </w:r>
    </w:p>
    <w:p w:rsidRDefault="0093651C" w:rsidP="0093651C" w:rsidR="0093651C" w:rsidRPr="0093651C">
      <w:pPr>
        <w:rPr>
          <w:rFonts w:cs="Tahoma"/>
        </w:rPr>
      </w:pPr>
      <w:r w:rsidRPr="0093651C">
        <w:rPr>
          <w:rFonts w:cs="Tahoma"/>
        </w:rPr>
        <w:t>Šimunac Tomislav, Mesnička 24, Zagreb, OIB 40157363535</w:t>
      </w:r>
    </w:p>
    <w:p w:rsidRDefault="0093651C" w:rsidP="0093651C" w:rsidR="0093651C" w:rsidRPr="0093651C">
      <w:pPr>
        <w:rPr>
          <w:rFonts w:cs="Tahoma"/>
        </w:rPr>
      </w:pPr>
      <w:r w:rsidRPr="0093651C">
        <w:rPr>
          <w:rFonts w:cs="Tahoma"/>
        </w:rPr>
        <w:t>Vučković Stjepan, Schrottova 37, Zagreb, OIB 20668699654</w:t>
      </w:r>
    </w:p>
    <w:p w:rsidRDefault="0093651C" w:rsidP="0093651C" w:rsidR="0093651C" w:rsidRPr="0093651C">
      <w:pPr>
        <w:rPr>
          <w:rFonts w:cs="Tahoma"/>
        </w:rPr>
      </w:pPr>
    </w:p>
    <w:p w:rsidRDefault="0093651C" w:rsidP="0093651C" w:rsidR="0093651C" w:rsidRPr="0093651C">
      <w:pPr>
        <w:rPr>
          <w:rFonts w:cs="Tahoma"/>
        </w:rPr>
      </w:pPr>
      <w:r w:rsidRPr="0093651C">
        <w:rPr>
          <w:rFonts w:cs="Tahoma"/>
        </w:rPr>
        <w:t>kao vjerovnici čije tražbine čine potrebnu većinu iz članka 63. Zakona o financijskom poslovanju i predstečajnoj nagodbi, s druge strane</w:t>
      </w:r>
    </w:p>
    <w:p w:rsidRDefault="0093651C" w:rsidP="0093651C" w:rsidR="0093651C">
      <w:r w:rsidRPr="0093651C">
        <w:rPr>
          <w:rFonts w:cs="Tahoma"/>
        </w:rPr>
        <w:t>sklopili su današnjeg dana sljedeću</w:t>
      </w:r>
      <w:r w:rsidRPr="0093651C">
        <w:t xml:space="preserve"> </w:t>
      </w:r>
    </w:p>
    <w:p w:rsidRDefault="0093651C" w:rsidP="0093651C" w:rsidR="0093651C"/>
    <w:p w:rsidRDefault="0093651C" w:rsidP="0093651C" w:rsidR="0093651C"/>
    <w:p w:rsidRDefault="0093651C" w:rsidP="0093651C" w:rsidR="0093651C"/>
    <w:p w:rsidRDefault="0093651C" w:rsidP="0093651C" w:rsidR="0093651C"/>
    <w:p w:rsidRDefault="0093651C" w:rsidP="0093651C" w:rsidR="0093651C" w:rsidRPr="00294B89">
      <w:pPr>
        <w:rPr>
          <w:rFonts w:cs="Tahoma"/>
        </w:rPr>
      </w:pPr>
      <w:r>
        <w:rPr>
          <w:rFonts w:cs="Tahoma"/>
        </w:rPr>
        <w:t>PREDSTEČAJNU NAGODBU</w:t>
      </w:r>
    </w:p>
    <w:p w:rsidRDefault="0093651C" w:rsidP="00294B89" w:rsidR="00294B89" w:rsidRPr="0093651C">
      <w:pPr>
        <w:rPr>
          <w:rFonts w:cs="Tahoma"/>
          <w:b/>
        </w:rPr>
      </w:pPr>
      <w:r w:rsidRPr="0093651C">
        <w:rPr>
          <w:rFonts w:cs="Tahoma"/>
          <w:b/>
        </w:rPr>
        <w:t xml:space="preserve">                                                                                I.</w:t>
      </w:r>
    </w:p>
    <w:p w:rsidRDefault="0093651C" w:rsidP="0093651C" w:rsidR="0093651C" w:rsidRPr="0093651C">
      <w:pPr>
        <w:suppressAutoHyphens/>
        <w:spacing w:lineRule="atLeast" w:line="100"/>
        <w:jc w:val="both"/>
        <w:rPr>
          <w:lang w:eastAsia="hr-HR"/>
        </w:rPr>
      </w:pPr>
      <w:r w:rsidRPr="0093651C">
        <w:rPr>
          <w:lang w:eastAsia="hr-HR"/>
        </w:rPr>
        <w:t xml:space="preserve">Utvrđuje se da je u postupku  predstečajne nagodbe koji se nad dužnikom </w:t>
      </w:r>
      <w:r w:rsidRPr="0093651C">
        <w:rPr>
          <w:lang w:eastAsia="hr-HR" w:val="en-US"/>
        </w:rPr>
        <w:t>GRA</w:t>
      </w:r>
      <w:r w:rsidRPr="0093651C">
        <w:rPr>
          <w:lang w:eastAsia="hr-HR"/>
        </w:rPr>
        <w:t>Đ</w:t>
      </w:r>
      <w:r w:rsidRPr="0093651C">
        <w:rPr>
          <w:lang w:eastAsia="hr-HR" w:val="en-US"/>
        </w:rPr>
        <w:t>ENJE</w:t>
      </w:r>
      <w:r w:rsidRPr="0093651C">
        <w:rPr>
          <w:lang w:eastAsia="hr-HR"/>
        </w:rPr>
        <w:t xml:space="preserve"> </w:t>
      </w:r>
      <w:r w:rsidRPr="0093651C">
        <w:rPr>
          <w:lang w:eastAsia="hr-HR" w:val="en-US"/>
        </w:rPr>
        <w:t>HERC</w:t>
      </w:r>
      <w:r w:rsidRPr="0093651C">
        <w:rPr>
          <w:lang w:eastAsia="hr-HR"/>
        </w:rPr>
        <w:t xml:space="preserve">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 xml:space="preserve">. vodio pred Financijskom agencijom pod Klasom: </w:t>
      </w:r>
      <w:r w:rsidRPr="0093651C">
        <w:rPr>
          <w:lang w:eastAsia="hr-HR" w:val="en-US"/>
        </w:rPr>
        <w:t>UP</w:t>
      </w:r>
      <w:r w:rsidRPr="0093651C">
        <w:rPr>
          <w:lang w:eastAsia="hr-HR"/>
        </w:rPr>
        <w:t xml:space="preserve"> - </w:t>
      </w:r>
      <w:r w:rsidRPr="0093651C">
        <w:rPr>
          <w:lang w:eastAsia="hr-HR" w:val="en-US"/>
        </w:rPr>
        <w:t>I</w:t>
      </w:r>
      <w:r w:rsidRPr="0093651C">
        <w:rPr>
          <w:lang w:eastAsia="hr-HR"/>
        </w:rPr>
        <w:t>/110/07/15-01/8522 urbroj: 04-06-16-8522-13, od 22. travnja 2016 godine doneseno Rješenje o otvaranju postupka predstečajne nagodbe.</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Utvrđuje se da je u postupku  predstečajne nagodbe koji se nad dužnikom </w:t>
      </w:r>
      <w:r w:rsidRPr="0093651C">
        <w:rPr>
          <w:lang w:eastAsia="hr-HR" w:val="en-US"/>
        </w:rPr>
        <w:t>GRA</w:t>
      </w:r>
      <w:r w:rsidRPr="0093651C">
        <w:rPr>
          <w:lang w:eastAsia="hr-HR"/>
        </w:rPr>
        <w:t>Đ</w:t>
      </w:r>
      <w:r w:rsidRPr="0093651C">
        <w:rPr>
          <w:lang w:eastAsia="hr-HR" w:val="en-US"/>
        </w:rPr>
        <w:t>ENJE</w:t>
      </w:r>
      <w:r w:rsidRPr="0093651C">
        <w:rPr>
          <w:lang w:eastAsia="hr-HR"/>
        </w:rPr>
        <w:t xml:space="preserve"> </w:t>
      </w:r>
      <w:r w:rsidRPr="0093651C">
        <w:rPr>
          <w:lang w:eastAsia="hr-HR" w:val="en-US"/>
        </w:rPr>
        <w:t>HERC</w:t>
      </w:r>
      <w:r w:rsidRPr="0093651C">
        <w:rPr>
          <w:lang w:eastAsia="hr-HR"/>
        </w:rPr>
        <w:t xml:space="preserve">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 xml:space="preserve">.  vodio pred Financijskom agencijom pod Klasom: UP - </w:t>
      </w:r>
      <w:r w:rsidRPr="0093651C">
        <w:rPr>
          <w:lang w:eastAsia="hr-HR" w:val="en-US"/>
        </w:rPr>
        <w:t>I</w:t>
      </w:r>
      <w:r w:rsidRPr="0093651C">
        <w:rPr>
          <w:lang w:eastAsia="hr-HR"/>
        </w:rPr>
        <w:t>/110/07/15-01/8522 na ročištu održanom dana 06. lipnja 2016. godine doneseno rješenje kojim su utvrđene tražbine vjerovnika.</w:t>
      </w:r>
    </w:p>
    <w:p w:rsidRDefault="0093651C" w:rsidP="0093651C" w:rsidR="0093651C" w:rsidRPr="0093651C">
      <w:pPr>
        <w:suppressAutoHyphens/>
        <w:spacing w:lineRule="atLeast" w:line="100"/>
        <w:jc w:val="both"/>
        <w:rPr>
          <w:lang w:eastAsia="hr-HR"/>
        </w:rPr>
      </w:pPr>
      <w:r w:rsidRPr="0093651C">
        <w:rPr>
          <w:lang w:eastAsia="hr-HR"/>
        </w:rPr>
        <w:t xml:space="preserve">Utvrđuje se da su u postupku  predstečajne nagodbe koji se nad dužnikom </w:t>
      </w:r>
      <w:r w:rsidRPr="0093651C">
        <w:rPr>
          <w:lang w:eastAsia="hr-HR" w:val="en-US"/>
        </w:rPr>
        <w:t>GRA</w:t>
      </w:r>
      <w:r w:rsidRPr="0093651C">
        <w:rPr>
          <w:lang w:eastAsia="hr-HR"/>
        </w:rPr>
        <w:t>Đ</w:t>
      </w:r>
      <w:r w:rsidRPr="0093651C">
        <w:rPr>
          <w:lang w:eastAsia="hr-HR" w:val="en-US"/>
        </w:rPr>
        <w:t>ENJE</w:t>
      </w:r>
      <w:r w:rsidRPr="0093651C">
        <w:rPr>
          <w:lang w:eastAsia="hr-HR"/>
        </w:rPr>
        <w:t xml:space="preserve"> </w:t>
      </w:r>
      <w:r w:rsidRPr="0093651C">
        <w:rPr>
          <w:lang w:eastAsia="hr-HR" w:val="en-US"/>
        </w:rPr>
        <w:t>HERC</w:t>
      </w:r>
      <w:r w:rsidRPr="0093651C">
        <w:rPr>
          <w:lang w:eastAsia="hr-HR"/>
        </w:rPr>
        <w:t xml:space="preserve">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 xml:space="preserve">. vodio pred Financijskom agencijom pod Klasom: UP - </w:t>
      </w:r>
      <w:r w:rsidRPr="0093651C">
        <w:rPr>
          <w:lang w:eastAsia="hr-HR" w:val="en-US"/>
        </w:rPr>
        <w:t>I</w:t>
      </w:r>
      <w:r w:rsidRPr="0093651C">
        <w:rPr>
          <w:lang w:eastAsia="hr-HR"/>
        </w:rPr>
        <w:t>/110/07/15-01/8522 na ročištu za glasovanje dana 14.10.2016. godine za Izmijenjeni plan financijskog restrukturiranja glasovali vjerovnici čije tražbine prelaze polovinu vrijednosti utvrđenih tražbina za svaku grupu vjerovnika odnosno 2/3 vrijednosti svih utvrđenih tražbina.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center"/>
        <w:rPr>
          <w:lang w:eastAsia="hr-HR"/>
        </w:rPr>
      </w:pPr>
      <w:r w:rsidRPr="0093651C">
        <w:rPr>
          <w:b/>
          <w:bCs/>
          <w:lang w:eastAsia="hr-HR"/>
        </w:rPr>
        <w:t>II.</w:t>
      </w:r>
    </w:p>
    <w:p w:rsidRDefault="0093651C" w:rsidP="0093651C" w:rsidR="0093651C" w:rsidRPr="0093651C">
      <w:pPr>
        <w:suppressAutoHyphens/>
        <w:spacing w:lineRule="atLeast" w:line="100"/>
        <w:ind w:left="3600"/>
        <w:jc w:val="both"/>
        <w:rPr>
          <w:lang w:eastAsia="hr-HR"/>
        </w:rPr>
      </w:pPr>
    </w:p>
    <w:p w:rsidRDefault="0093651C" w:rsidP="0093651C" w:rsidR="0093651C" w:rsidRPr="0093651C">
      <w:pPr>
        <w:suppressAutoHyphens/>
        <w:spacing w:after="120"/>
        <w:jc w:val="both"/>
        <w:rPr>
          <w:lang w:eastAsia="x-none"/>
        </w:rPr>
      </w:pPr>
      <w:r w:rsidRPr="0093651C">
        <w:rPr>
          <w:lang w:eastAsia="x-none"/>
        </w:rPr>
        <w:t xml:space="preserve">Utvrđuje se da je u postupku  predstečajne nagodbe koji se vodio nad dužnikom </w:t>
      </w:r>
      <w:r w:rsidRPr="0093651C">
        <w:rPr>
          <w:lang w:eastAsia="x-none" w:val="en-US"/>
        </w:rPr>
        <w:t>GRA</w:t>
      </w:r>
      <w:r w:rsidRPr="0093651C">
        <w:rPr>
          <w:lang w:eastAsia="x-none"/>
        </w:rPr>
        <w:t>Đ</w:t>
      </w:r>
      <w:r w:rsidRPr="0093651C">
        <w:rPr>
          <w:lang w:eastAsia="x-none" w:val="en-US"/>
        </w:rPr>
        <w:t>ENJE</w:t>
      </w:r>
      <w:r w:rsidRPr="0093651C">
        <w:rPr>
          <w:lang w:eastAsia="x-none"/>
        </w:rPr>
        <w:t xml:space="preserve"> </w:t>
      </w:r>
      <w:r w:rsidRPr="0093651C">
        <w:rPr>
          <w:lang w:eastAsia="x-none" w:val="en-US"/>
        </w:rPr>
        <w:t>HERC</w:t>
      </w:r>
      <w:r w:rsidRPr="0093651C">
        <w:rPr>
          <w:lang w:eastAsia="x-none"/>
        </w:rPr>
        <w:t xml:space="preserve"> </w:t>
      </w:r>
      <w:r w:rsidRPr="0093651C">
        <w:rPr>
          <w:lang w:eastAsia="x-none" w:val="en-US"/>
        </w:rPr>
        <w:t>d</w:t>
      </w:r>
      <w:r w:rsidRPr="0093651C">
        <w:rPr>
          <w:lang w:eastAsia="x-none"/>
        </w:rPr>
        <w:t>.</w:t>
      </w:r>
      <w:r w:rsidRPr="0093651C">
        <w:rPr>
          <w:lang w:eastAsia="x-none" w:val="en-US"/>
        </w:rPr>
        <w:t>o</w:t>
      </w:r>
      <w:r w:rsidRPr="0093651C">
        <w:rPr>
          <w:lang w:eastAsia="x-none"/>
        </w:rPr>
        <w:t>.</w:t>
      </w:r>
      <w:r w:rsidRPr="0093651C">
        <w:rPr>
          <w:lang w:eastAsia="x-none" w:val="en-US"/>
        </w:rPr>
        <w:t>o</w:t>
      </w:r>
      <w:r w:rsidRPr="0093651C">
        <w:rPr>
          <w:lang w:eastAsia="x-none"/>
        </w:rPr>
        <w:t xml:space="preserve">. vodio pred Financijskom agencijom pod Klasom: UP- </w:t>
      </w:r>
      <w:r w:rsidRPr="0093651C">
        <w:rPr>
          <w:lang w:eastAsia="x-none" w:val="en-US"/>
        </w:rPr>
        <w:t>I</w:t>
      </w:r>
      <w:r w:rsidRPr="0093651C">
        <w:rPr>
          <w:lang w:eastAsia="x-none"/>
        </w:rPr>
        <w:t>/110/07/15-01/8522 na ročištu održanom dana 06. lipnja 2016.g. doneseno rješenje kojim su utvrđene tražbine vjerovnika i to:</w:t>
      </w:r>
    </w:p>
    <w:p w:rsidRDefault="0093651C" w:rsidP="0093651C" w:rsidR="0093651C" w:rsidRPr="0093651C">
      <w:pPr>
        <w:suppressAutoHyphens/>
        <w:spacing w:after="120"/>
        <w:jc w:val="both"/>
        <w:rPr>
          <w:b/>
          <w:sz w:val="16"/>
          <w:szCs w:val="16"/>
          <w:lang w:eastAsia="x-none"/>
        </w:rPr>
      </w:pPr>
      <w:r w:rsidRPr="0093651C">
        <w:rPr>
          <w:b/>
          <w:sz w:val="16"/>
          <w:szCs w:val="16"/>
          <w:lang w:eastAsia="x-none"/>
        </w:rPr>
        <w:t>1.  GRUPA TIJELA JAVNE UPRAVE I TRGOVAČKA DRUŠTVA U VEĆINSKOM  DRŽAVNOM VLASNIŠTVU</w:t>
      </w:r>
    </w:p>
    <w:tbl>
      <w:tblPr>
        <w:tblW w:type="pct" w:w="5000"/>
        <w:tblLook w:val="04A0" w:noVBand="1" w:noHBand="0" w:lastColumn="0" w:firstColumn="1" w:lastRow="0" w:firstRow="1"/>
      </w:tblPr>
      <w:tblGrid>
        <w:gridCol w:w="2306"/>
        <w:gridCol w:w="5282"/>
        <w:gridCol w:w="2168"/>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707"/>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11"/>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jc w:val="right"/>
              <w:rPr>
                <w:lang w:eastAsia="hr-HR"/>
              </w:rPr>
            </w:pPr>
            <w:r w:rsidRPr="0093651C">
              <w:rPr>
                <w:lang w:eastAsia="hr-HR" w:val="en-US"/>
              </w:rPr>
              <w:t>28921383001</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rPr>
                <w:lang w:eastAsia="hr-HR"/>
              </w:rPr>
            </w:pPr>
            <w:r w:rsidRPr="0093651C">
              <w:rPr>
                <w:lang w:eastAsia="hr-HR" w:val="en-US"/>
              </w:rPr>
              <w:t>Hrvatske vode</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jc w:val="right"/>
              <w:rPr>
                <w:lang w:eastAsia="hr-HR"/>
              </w:rPr>
            </w:pPr>
            <w:r w:rsidRPr="0093651C">
              <w:rPr>
                <w:lang w:eastAsia="hr-HR" w:val="en-US"/>
              </w:rPr>
              <w:t>2.739.804,75</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46830600751</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HEP -Operator distribucijskog sustava d.o.o.</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13,95</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61817894937</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de-DE"/>
              </w:rPr>
            </w:pPr>
            <w:r w:rsidRPr="0093651C">
              <w:rPr>
                <w:lang w:eastAsia="hr-HR" w:val="de-DE"/>
              </w:rPr>
              <w:t>Grad Zagreb - Gradski ured za pro. uređenje</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6.318.958,91</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18683136487</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 xml:space="preserve">Ministarstvo financija </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165.316,71</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69693144506</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Hrvatske šume d.o.o.</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418,40</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15618163660</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Javni bilježnik JOZO ROTIM</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22.363,70</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23556614682</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Javni bilježnik JOŽICA MATKO RUŽDJAK</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1.210,00</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85167032587</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 xml:space="preserve">Hrvatska gospodarska komora </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1.614,62</w:t>
            </w:r>
          </w:p>
        </w:tc>
      </w:tr>
    </w:tbl>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after="120"/>
        <w:jc w:val="both"/>
        <w:rPr>
          <w:sz w:val="16"/>
          <w:szCs w:val="16"/>
          <w:lang w:eastAsia="x-none"/>
        </w:rPr>
      </w:pPr>
      <w:r w:rsidRPr="0093651C">
        <w:rPr>
          <w:sz w:val="16"/>
          <w:szCs w:val="16"/>
          <w:lang w:eastAsia="x-none"/>
        </w:rPr>
        <w:t>Rješenujem Trgovačkog suda u Zagrebu naloženo je dužniku da umanji utvrđenu tražbinu Ministarstva financija za iznos od 2.075,29 kn tako da sada ista iznosi 165.316,71 kn.</w:t>
      </w:r>
    </w:p>
    <w:p w:rsidRDefault="0093651C" w:rsidP="0093651C" w:rsidR="0093651C" w:rsidRPr="0093651C">
      <w:pPr>
        <w:suppressAutoHyphens/>
        <w:spacing w:after="120"/>
        <w:jc w:val="both"/>
        <w:rPr>
          <w:b/>
          <w:sz w:val="16"/>
          <w:szCs w:val="16"/>
          <w:lang w:eastAsia="x-none"/>
        </w:rPr>
      </w:pPr>
      <w:r w:rsidRPr="0093651C">
        <w:rPr>
          <w:b/>
          <w:sz w:val="16"/>
          <w:szCs w:val="16"/>
          <w:lang w:eastAsia="x-none"/>
        </w:rPr>
        <w:t>2. FINANCIJSKE INSTITUCIJE</w:t>
      </w:r>
    </w:p>
    <w:tbl>
      <w:tblPr>
        <w:tblW w:type="pct" w:w="5000"/>
        <w:tblLook w:val="04A0" w:noVBand="1" w:noHBand="0" w:lastColumn="0" w:firstColumn="1" w:lastRow="0" w:firstRow="1"/>
      </w:tblPr>
      <w:tblGrid>
        <w:gridCol w:w="2306"/>
        <w:gridCol w:w="5282"/>
        <w:gridCol w:w="2168"/>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707"/>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11"/>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rPr>
                <w:lang w:eastAsia="hr-HR"/>
              </w:rPr>
            </w:pPr>
            <w:r w:rsidRPr="0093651C">
              <w:rPr>
                <w:lang w:eastAsia="hr-HR" w:val="en-US"/>
              </w:rPr>
              <w:t>71221608291</w:t>
            </w:r>
          </w:p>
        </w:tc>
        <w:tc>
          <w:tcPr>
            <w:tcW w:type="pct" w:w="2707"/>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ind w:firstLineChars="100" w:firstLine="240"/>
              <w:rPr>
                <w:color w:val="000000"/>
                <w:lang w:eastAsia="hr-HR" w:val="de-DE"/>
              </w:rPr>
            </w:pPr>
            <w:r w:rsidRPr="0093651C">
              <w:rPr>
                <w:color w:val="000000"/>
                <w:lang w:eastAsia="hr-HR" w:val="de-DE"/>
              </w:rPr>
              <w:t xml:space="preserve">Partner banka d.d.  ZAGREB                               </w:t>
            </w:r>
          </w:p>
        </w:tc>
        <w:tc>
          <w:tcPr>
            <w:tcW w:type="pct" w:w="1111"/>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suppressAutoHyphens/>
              <w:spacing w:lineRule="atLeast" w:line="100"/>
              <w:ind w:firstLineChars="100" w:firstLine="240"/>
              <w:jc w:val="right"/>
              <w:rPr>
                <w:color w:val="000000"/>
                <w:lang w:eastAsia="hr-HR" w:val="en-US"/>
              </w:rPr>
            </w:pPr>
            <w:r w:rsidRPr="0093651C">
              <w:rPr>
                <w:color w:val="000000"/>
                <w:lang w:eastAsia="hr-HR" w:val="en-US"/>
              </w:rPr>
              <w:t>1.126,00</w:t>
            </w:r>
          </w:p>
        </w:tc>
      </w:tr>
    </w:tbl>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after="120"/>
        <w:jc w:val="both"/>
        <w:rPr>
          <w:b/>
          <w:sz w:val="16"/>
          <w:szCs w:val="16"/>
          <w:lang w:eastAsia="x-none"/>
        </w:rPr>
      </w:pPr>
      <w:r w:rsidRPr="0093651C">
        <w:rPr>
          <w:b/>
          <w:sz w:val="16"/>
          <w:szCs w:val="16"/>
          <w:lang w:eastAsia="x-none"/>
        </w:rPr>
        <w:t>GRUPA OSTALI</w:t>
      </w:r>
    </w:p>
    <w:p w:rsidRDefault="0093651C" w:rsidP="0093651C" w:rsidR="0093651C" w:rsidRPr="0093651C">
      <w:pPr>
        <w:suppressAutoHyphens/>
        <w:spacing w:after="120"/>
        <w:jc w:val="both"/>
        <w:rPr>
          <w:b/>
          <w:sz w:val="16"/>
          <w:szCs w:val="16"/>
          <w:lang w:eastAsia="x-none"/>
        </w:rPr>
      </w:pPr>
      <w:r w:rsidRPr="0093651C">
        <w:rPr>
          <w:b/>
          <w:sz w:val="16"/>
          <w:szCs w:val="16"/>
          <w:lang w:eastAsia="x-none"/>
        </w:rPr>
        <w:t>3.1. DOBAVLJAČI DO 500.000,00 KN</w:t>
      </w:r>
    </w:p>
    <w:tbl>
      <w:tblPr>
        <w:tblW w:type="pct" w:w="5000"/>
        <w:tblLook w:val="04A0" w:noVBand="1" w:noHBand="0" w:lastColumn="0" w:firstColumn="1" w:lastRow="0" w:firstRow="1"/>
      </w:tblPr>
      <w:tblGrid>
        <w:gridCol w:w="2306"/>
        <w:gridCol w:w="5214"/>
        <w:gridCol w:w="2236"/>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672"/>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46"/>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15"/>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jc w:val="both"/>
              <w:rPr>
                <w:lang w:eastAsia="hr-HR"/>
              </w:rPr>
            </w:pPr>
            <w:r w:rsidRPr="0093651C">
              <w:rPr>
                <w:lang w:eastAsia="hr-HR" w:val="en-US"/>
              </w:rPr>
              <w:t>30593716926</w:t>
            </w:r>
          </w:p>
        </w:tc>
        <w:tc>
          <w:tcPr>
            <w:tcW w:type="pct" w:w="2672"/>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rPr>
                <w:lang w:eastAsia="hr-HR"/>
              </w:rPr>
            </w:pPr>
            <w:r w:rsidRPr="0093651C">
              <w:rPr>
                <w:lang w:eastAsia="hr-HR" w:val="en-US"/>
              </w:rPr>
              <w:t>A</w:t>
            </w:r>
            <w:r w:rsidRPr="0093651C">
              <w:rPr>
                <w:lang w:eastAsia="hr-HR"/>
              </w:rPr>
              <w:t>.</w:t>
            </w:r>
            <w:r w:rsidRPr="0093651C">
              <w:rPr>
                <w:lang w:eastAsia="hr-HR" w:val="en-US"/>
              </w:rPr>
              <w:t>M</w:t>
            </w:r>
            <w:r w:rsidRPr="0093651C">
              <w:rPr>
                <w:lang w:eastAsia="hr-HR"/>
              </w:rPr>
              <w:t>.</w:t>
            </w:r>
            <w:r w:rsidRPr="0093651C">
              <w:rPr>
                <w:lang w:eastAsia="hr-HR" w:val="en-US"/>
              </w:rPr>
              <w:t>Pata</w:t>
            </w:r>
            <w:r w:rsidRPr="0093651C">
              <w:rPr>
                <w:lang w:eastAsia="hr-HR"/>
              </w:rPr>
              <w:t>č</w:t>
            </w:r>
            <w:r w:rsidRPr="0093651C">
              <w:rPr>
                <w:lang w:eastAsia="hr-HR" w:val="en-US"/>
              </w:rPr>
              <w:t>i</w:t>
            </w:r>
            <w:r w:rsidRPr="0093651C">
              <w:rPr>
                <w:lang w:eastAsia="hr-HR"/>
              </w:rPr>
              <w:t xml:space="preserve">ć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w:t>
            </w:r>
          </w:p>
        </w:tc>
        <w:tc>
          <w:tcPr>
            <w:tcW w:type="pct" w:w="1146"/>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suppressAutoHyphens/>
              <w:spacing w:lineRule="atLeast" w:line="100"/>
              <w:ind w:firstLineChars="100" w:firstLine="240"/>
              <w:jc w:val="right"/>
              <w:rPr>
                <w:color w:val="000000"/>
                <w:lang w:eastAsia="hr-HR" w:val="en-US"/>
              </w:rPr>
            </w:pPr>
            <w:r w:rsidRPr="0093651C">
              <w:rPr>
                <w:color w:val="000000"/>
                <w:lang w:eastAsia="hr-HR" w:val="en-US"/>
              </w:rPr>
              <w:t>1.375,00</w:t>
            </w:r>
          </w:p>
        </w:tc>
      </w:tr>
      <w:tr w:rsidTr="0093651C" w:rsidR="0093651C" w:rsidRPr="0093651C">
        <w:trPr>
          <w:trHeight w:val="315"/>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suppressAutoHyphens/>
              <w:spacing w:lineRule="atLeast" w:line="100"/>
              <w:jc w:val="both"/>
              <w:rPr>
                <w:lang w:eastAsia="hr-HR" w:val="en-US"/>
              </w:rPr>
            </w:pPr>
            <w:r w:rsidRPr="0093651C">
              <w:rPr>
                <w:lang w:eastAsia="hr-HR" w:val="en-US"/>
              </w:rPr>
              <w:t xml:space="preserve"> 11099893718</w:t>
            </w:r>
          </w:p>
        </w:tc>
        <w:tc>
          <w:tcPr>
            <w:tcW w:type="pct" w:w="2672"/>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Interinvest  d.o.o.</w:t>
            </w:r>
          </w:p>
        </w:tc>
        <w:tc>
          <w:tcPr>
            <w:tcW w:type="pct" w:w="1146"/>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404.297,90</w:t>
            </w:r>
          </w:p>
        </w:tc>
      </w:tr>
      <w:tr w:rsidTr="0093651C" w:rsidR="0093651C" w:rsidRPr="0093651C">
        <w:trPr>
          <w:trHeight w:val="315"/>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jc w:val="both"/>
              <w:rPr>
                <w:lang w:eastAsia="hr-HR"/>
              </w:rPr>
            </w:pPr>
            <w:r w:rsidRPr="0093651C">
              <w:rPr>
                <w:lang w:eastAsia="hr-HR" w:val="en-US"/>
              </w:rPr>
              <w:t>72608586251</w:t>
            </w:r>
          </w:p>
        </w:tc>
        <w:tc>
          <w:tcPr>
            <w:tcW w:type="pct" w:w="2672"/>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rPr>
                <w:lang w:eastAsia="hr-HR"/>
              </w:rPr>
            </w:pPr>
            <w:r w:rsidRPr="0093651C">
              <w:rPr>
                <w:lang w:eastAsia="hr-HR" w:val="en-US"/>
              </w:rPr>
              <w:t>PREMIUM FACTOR d.o.o</w:t>
            </w:r>
          </w:p>
        </w:tc>
        <w:tc>
          <w:tcPr>
            <w:tcW w:type="pct" w:w="1146"/>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suppressAutoHyphens/>
              <w:spacing w:lineRule="atLeast" w:line="100"/>
              <w:ind w:firstLineChars="100" w:firstLine="240"/>
              <w:jc w:val="right"/>
              <w:rPr>
                <w:color w:val="000000"/>
                <w:lang w:eastAsia="hr-HR" w:val="en-US"/>
              </w:rPr>
            </w:pPr>
            <w:r w:rsidRPr="0093651C">
              <w:rPr>
                <w:color w:val="000000"/>
                <w:lang w:eastAsia="hr-HR" w:val="en-US"/>
              </w:rPr>
              <w:t>200.000,00</w:t>
            </w:r>
          </w:p>
        </w:tc>
      </w:tr>
      <w:tr w:rsidTr="0093651C" w:rsidR="0093651C" w:rsidRPr="0093651C">
        <w:trPr>
          <w:trHeight w:val="277"/>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jc w:val="both"/>
              <w:rPr>
                <w:lang w:eastAsia="hr-HR"/>
              </w:rPr>
            </w:pPr>
            <w:r w:rsidRPr="0093651C">
              <w:rPr>
                <w:lang w:eastAsia="hr-HR" w:val="en-US"/>
              </w:rPr>
              <w:t>20668699654</w:t>
            </w:r>
          </w:p>
          <w:p w:rsidRDefault="0093651C" w:rsidP="0093651C" w:rsidR="0093651C" w:rsidRPr="0093651C">
            <w:pPr>
              <w:suppressAutoHyphens/>
              <w:spacing w:lineRule="atLeast" w:line="100"/>
              <w:jc w:val="both"/>
              <w:rPr>
                <w:color w:val="000000"/>
                <w:lang w:eastAsia="hr-HR" w:val="en-US"/>
              </w:rPr>
            </w:pPr>
          </w:p>
        </w:tc>
        <w:tc>
          <w:tcPr>
            <w:tcW w:type="pct" w:w="2672"/>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Stjepan Vučković</w:t>
            </w:r>
          </w:p>
        </w:tc>
        <w:tc>
          <w:tcPr>
            <w:tcW w:type="pct" w:w="1146"/>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158.305,56</w:t>
            </w:r>
          </w:p>
          <w:p w:rsidRDefault="0093651C" w:rsidP="0093651C" w:rsidR="0093651C" w:rsidRPr="0093651C">
            <w:pPr>
              <w:suppressAutoHyphens/>
              <w:spacing w:lineRule="atLeast" w:line="100"/>
              <w:ind w:firstLineChars="100" w:firstLine="240"/>
              <w:jc w:val="right"/>
              <w:rPr>
                <w:color w:val="000000"/>
                <w:lang w:eastAsia="hr-HR" w:val="en-US"/>
              </w:rPr>
            </w:pPr>
          </w:p>
        </w:tc>
      </w:tr>
    </w:tbl>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after="120"/>
        <w:jc w:val="both"/>
        <w:rPr>
          <w:b/>
          <w:sz w:val="16"/>
          <w:szCs w:val="16"/>
          <w:lang w:eastAsia="x-none"/>
        </w:rPr>
      </w:pPr>
      <w:r w:rsidRPr="0093651C">
        <w:rPr>
          <w:b/>
          <w:sz w:val="16"/>
          <w:szCs w:val="16"/>
          <w:lang w:eastAsia="x-none"/>
        </w:rPr>
        <w:t>3.2. DOBAVLJAČI preko 500.000,00 KN</w:t>
      </w:r>
    </w:p>
    <w:tbl>
      <w:tblPr>
        <w:tblW w:type="pct" w:w="5000"/>
        <w:tblLook w:val="04A0" w:noVBand="1" w:noHBand="0" w:lastColumn="0" w:firstColumn="1" w:lastRow="0" w:firstRow="1"/>
      </w:tblPr>
      <w:tblGrid>
        <w:gridCol w:w="2306"/>
        <w:gridCol w:w="5282"/>
        <w:gridCol w:w="2168"/>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707"/>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11"/>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tcPr>
          <w:p w:rsidRDefault="0093651C" w:rsidP="0093651C" w:rsidR="0093651C" w:rsidRPr="0093651C">
            <w:pPr>
              <w:rPr>
                <w:lang w:eastAsia="hr-HR"/>
              </w:rPr>
            </w:pPr>
            <w:r w:rsidRPr="0093651C">
              <w:rPr>
                <w:lang w:eastAsia="hr-HR" w:val="en-US"/>
              </w:rPr>
              <w:t>39103538847</w:t>
            </w:r>
          </w:p>
        </w:tc>
        <w:tc>
          <w:tcPr>
            <w:tcW w:type="pct" w:w="2707"/>
            <w:tcBorders>
              <w:top w:val="nil"/>
              <w:left w:val="nil"/>
              <w:bottom w:space="0" w:sz="4" w:color="auto" w:val="single"/>
              <w:right w:space="0" w:sz="4" w:color="auto" w:val="single"/>
            </w:tcBorders>
            <w:shd w:fill="auto" w:color="auto" w:val="clear"/>
            <w:vAlign w:val="center"/>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Fidus Gradnja d.o.o.</w:t>
            </w:r>
          </w:p>
        </w:tc>
        <w:tc>
          <w:tcPr>
            <w:tcW w:type="pct" w:w="1111"/>
            <w:tcBorders>
              <w:top w:val="nil"/>
              <w:left w:val="nil"/>
              <w:bottom w:space="0" w:sz="4" w:color="auto" w:val="single"/>
              <w:right w:space="0" w:sz="4" w:color="auto" w:val="single"/>
            </w:tcBorders>
            <w:shd w:fill="auto" w:color="auto" w:val="clear"/>
            <w:noWrap/>
            <w:vAlign w:val="center"/>
          </w:tcPr>
          <w:p w:rsidRDefault="0093651C" w:rsidP="0093651C" w:rsidR="0093651C" w:rsidRPr="0093651C">
            <w:pPr>
              <w:jc w:val="right"/>
              <w:rPr>
                <w:lang w:eastAsia="hr-HR"/>
              </w:rPr>
            </w:pPr>
            <w:r w:rsidRPr="0093651C">
              <w:rPr>
                <w:lang w:eastAsia="hr-HR" w:val="en-US"/>
              </w:rPr>
              <w:t>7.871.382,08</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rPr>
                <w:lang w:eastAsia="hr-HR"/>
              </w:rPr>
            </w:pPr>
            <w:r w:rsidRPr="0093651C">
              <w:rPr>
                <w:lang w:eastAsia="hr-HR" w:val="en-US"/>
              </w:rPr>
              <w:t>19082040505</w:t>
            </w:r>
          </w:p>
        </w:tc>
        <w:tc>
          <w:tcPr>
            <w:tcW w:type="pct" w:w="2707"/>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 xml:space="preserve">Palac Ljiljanko                                      </w:t>
            </w:r>
          </w:p>
        </w:tc>
        <w:tc>
          <w:tcPr>
            <w:tcW w:type="pct" w:w="1111"/>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528.959,21</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rPr>
                <w:lang w:eastAsia="hr-HR"/>
              </w:rPr>
            </w:pPr>
            <w:r w:rsidRPr="0093651C">
              <w:rPr>
                <w:lang w:eastAsia="hr-HR" w:val="en-US"/>
              </w:rPr>
              <w:t>40157363535</w:t>
            </w:r>
          </w:p>
        </w:tc>
        <w:tc>
          <w:tcPr>
            <w:tcW w:type="pct" w:w="2707"/>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Šimunac Tomislav</w:t>
            </w:r>
          </w:p>
        </w:tc>
        <w:tc>
          <w:tcPr>
            <w:tcW w:type="pct" w:w="1111"/>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1.448.462,56</w:t>
            </w:r>
          </w:p>
        </w:tc>
      </w:tr>
    </w:tbl>
    <w:p w:rsidRDefault="0093651C" w:rsidP="0093651C" w:rsidR="0093651C" w:rsidRPr="0093651C">
      <w:pPr>
        <w:suppressAutoHyphens/>
        <w:spacing w:after="120"/>
        <w:jc w:val="both"/>
        <w:rPr>
          <w:b/>
          <w:sz w:val="16"/>
          <w:szCs w:val="16"/>
          <w:lang w:eastAsia="x-none"/>
        </w:rPr>
      </w:pPr>
    </w:p>
    <w:p w:rsidRDefault="0093651C" w:rsidP="0093651C" w:rsidR="0093651C" w:rsidRPr="0093651C">
      <w:pPr>
        <w:suppressAutoHyphens/>
        <w:spacing w:after="120"/>
        <w:jc w:val="both"/>
        <w:rPr>
          <w:b/>
          <w:sz w:val="16"/>
          <w:szCs w:val="16"/>
          <w:lang w:eastAsia="x-none"/>
        </w:rPr>
      </w:pPr>
      <w:r w:rsidRPr="0093651C">
        <w:rPr>
          <w:b/>
          <w:sz w:val="16"/>
          <w:szCs w:val="16"/>
          <w:lang w:eastAsia="x-none"/>
        </w:rPr>
        <w:t>3.3. DOBAVLJAČI U ZEMLJI po osnovu jamstva</w:t>
      </w:r>
    </w:p>
    <w:tbl>
      <w:tblPr>
        <w:tblW w:type="pct" w:w="5000"/>
        <w:tblLook w:val="04A0" w:noVBand="1" w:noHBand="0" w:lastColumn="0" w:firstColumn="1" w:lastRow="0" w:firstRow="1"/>
      </w:tblPr>
      <w:tblGrid>
        <w:gridCol w:w="2306"/>
        <w:gridCol w:w="5282"/>
        <w:gridCol w:w="2168"/>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707"/>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11"/>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tcPr>
          <w:p w:rsidRDefault="0093651C" w:rsidP="0093651C" w:rsidR="0093651C" w:rsidRPr="0093651C">
            <w:pPr>
              <w:rPr>
                <w:lang w:eastAsia="hr-HR"/>
              </w:rPr>
            </w:pPr>
            <w:r w:rsidRPr="0093651C">
              <w:rPr>
                <w:lang w:eastAsia="hr-HR" w:val="en-US"/>
              </w:rPr>
              <w:t>39103538847</w:t>
            </w:r>
          </w:p>
        </w:tc>
        <w:tc>
          <w:tcPr>
            <w:tcW w:type="pct" w:w="2707"/>
            <w:tcBorders>
              <w:top w:val="nil"/>
              <w:left w:val="nil"/>
              <w:bottom w:space="0" w:sz="4" w:color="auto" w:val="single"/>
              <w:right w:space="0" w:sz="4" w:color="auto" w:val="single"/>
            </w:tcBorders>
            <w:shd w:fill="auto" w:color="auto" w:val="clear"/>
            <w:vAlign w:val="center"/>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Fidus Gradnja d.o.o.</w:t>
            </w:r>
          </w:p>
        </w:tc>
        <w:tc>
          <w:tcPr>
            <w:tcW w:type="pct" w:w="1111"/>
            <w:tcBorders>
              <w:top w:val="nil"/>
              <w:left w:val="nil"/>
              <w:bottom w:space="0" w:sz="4" w:color="auto" w:val="single"/>
              <w:right w:space="0" w:sz="4" w:color="auto" w:val="single"/>
            </w:tcBorders>
            <w:shd w:fill="auto" w:color="auto" w:val="clear"/>
            <w:noWrap/>
            <w:vAlign w:val="center"/>
          </w:tcPr>
          <w:p w:rsidRDefault="0093651C" w:rsidP="0093651C" w:rsidR="0093651C" w:rsidRPr="0093651C">
            <w:pPr>
              <w:jc w:val="right"/>
              <w:rPr>
                <w:lang w:eastAsia="hr-HR"/>
              </w:rPr>
            </w:pPr>
            <w:r w:rsidRPr="0093651C">
              <w:rPr>
                <w:lang w:eastAsia="hr-HR" w:val="en-US"/>
              </w:rPr>
              <w:t>5.568.693,98</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tcPr>
          <w:p w:rsidRDefault="0093651C" w:rsidP="0093651C" w:rsidR="0093651C" w:rsidRPr="0093651C">
            <w:pPr>
              <w:rPr>
                <w:lang w:eastAsia="hr-HR"/>
              </w:rPr>
            </w:pPr>
            <w:r w:rsidRPr="0093651C">
              <w:rPr>
                <w:lang w:eastAsia="hr-HR" w:val="en-US"/>
              </w:rPr>
              <w:t>95640712687</w:t>
            </w:r>
          </w:p>
        </w:tc>
        <w:tc>
          <w:tcPr>
            <w:tcW w:type="pct" w:w="2707"/>
            <w:tcBorders>
              <w:top w:val="nil"/>
              <w:left w:val="nil"/>
              <w:bottom w:space="0" w:sz="4" w:color="auto" w:val="single"/>
              <w:right w:space="0" w:sz="4" w:color="auto" w:val="single"/>
            </w:tcBorders>
            <w:shd w:fill="auto" w:color="auto" w:val="clear"/>
            <w:vAlign w:val="center"/>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 xml:space="preserve">Palac Dinko                                     </w:t>
            </w:r>
          </w:p>
        </w:tc>
        <w:tc>
          <w:tcPr>
            <w:tcW w:type="pct" w:w="1111"/>
            <w:tcBorders>
              <w:top w:val="nil"/>
              <w:left w:val="nil"/>
              <w:bottom w:space="0" w:sz="4" w:color="auto" w:val="single"/>
              <w:right w:space="0" w:sz="4" w:color="auto" w:val="single"/>
            </w:tcBorders>
            <w:shd w:fill="auto" w:color="auto" w:val="clear"/>
            <w:noWrap/>
            <w:vAlign w:val="center"/>
          </w:tcPr>
          <w:p w:rsidRDefault="0093651C" w:rsidP="0093651C" w:rsidR="0093651C" w:rsidRPr="0093651C">
            <w:pPr>
              <w:jc w:val="right"/>
              <w:rPr>
                <w:lang w:eastAsia="hr-HR"/>
              </w:rPr>
            </w:pPr>
            <w:r w:rsidRPr="0093651C">
              <w:rPr>
                <w:lang w:eastAsia="hr-HR" w:val="en-US"/>
              </w:rPr>
              <w:t>5.568.693,98</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rPr>
                <w:lang w:eastAsia="hr-HR"/>
              </w:rPr>
            </w:pPr>
            <w:r w:rsidRPr="0093651C">
              <w:rPr>
                <w:lang w:eastAsia="hr-HR" w:val="en-US"/>
              </w:rPr>
              <w:t>40157363535</w:t>
            </w:r>
          </w:p>
        </w:tc>
        <w:tc>
          <w:tcPr>
            <w:tcW w:type="pct" w:w="2707"/>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Šimunac Tomislav</w:t>
            </w:r>
          </w:p>
        </w:tc>
        <w:tc>
          <w:tcPr>
            <w:tcW w:type="pct" w:w="1111"/>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5.568.693,98</w:t>
            </w:r>
          </w:p>
        </w:tc>
      </w:tr>
    </w:tbl>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lineRule="atLeast" w:line="100"/>
        <w:jc w:val="center"/>
        <w:rPr>
          <w:b/>
          <w:bCs/>
          <w:lang w:eastAsia="hr-HR"/>
        </w:rPr>
      </w:pPr>
      <w:r w:rsidRPr="0093651C">
        <w:rPr>
          <w:b/>
          <w:bCs/>
          <w:lang w:eastAsia="hr-HR"/>
        </w:rPr>
        <w:t xml:space="preserve">III. </w:t>
      </w:r>
    </w:p>
    <w:p w:rsidRDefault="0093651C" w:rsidP="0093651C" w:rsidR="0093651C" w:rsidRPr="0093651C">
      <w:pPr>
        <w:suppressAutoHyphens/>
        <w:spacing w:lineRule="atLeast" w:line="100"/>
        <w:jc w:val="center"/>
        <w:rPr>
          <w:lang w:eastAsia="hr-HR"/>
        </w:rPr>
      </w:pPr>
    </w:p>
    <w:p w:rsidRDefault="0093651C" w:rsidP="0093651C" w:rsidR="0093651C" w:rsidRPr="0093651C">
      <w:pPr>
        <w:suppressAutoHyphens/>
        <w:spacing w:after="120"/>
        <w:jc w:val="both"/>
        <w:rPr>
          <w:lang w:eastAsia="x-none"/>
        </w:rPr>
      </w:pPr>
      <w:r w:rsidRPr="0093651C">
        <w:rPr>
          <w:lang w:eastAsia="x-none"/>
        </w:rPr>
        <w:t xml:space="preserve">Utvrđuje se da je u postupku  predstečajne nagodbe koji se vodio nad dužnikom </w:t>
      </w:r>
      <w:r w:rsidRPr="0093651C">
        <w:rPr>
          <w:lang w:eastAsia="x-none" w:val="en-US"/>
        </w:rPr>
        <w:t>GRA</w:t>
      </w:r>
      <w:r w:rsidRPr="0093651C">
        <w:rPr>
          <w:lang w:eastAsia="x-none"/>
        </w:rPr>
        <w:t>Đ</w:t>
      </w:r>
      <w:r w:rsidRPr="0093651C">
        <w:rPr>
          <w:lang w:eastAsia="x-none" w:val="en-US"/>
        </w:rPr>
        <w:t>ENJE</w:t>
      </w:r>
      <w:r w:rsidRPr="0093651C">
        <w:rPr>
          <w:lang w:eastAsia="x-none"/>
        </w:rPr>
        <w:t xml:space="preserve"> </w:t>
      </w:r>
      <w:r w:rsidRPr="0093651C">
        <w:rPr>
          <w:lang w:eastAsia="x-none" w:val="en-US"/>
        </w:rPr>
        <w:t>HERC</w:t>
      </w:r>
      <w:r w:rsidRPr="0093651C">
        <w:rPr>
          <w:lang w:eastAsia="x-none"/>
        </w:rPr>
        <w:t xml:space="preserve"> </w:t>
      </w:r>
      <w:r w:rsidRPr="0093651C">
        <w:rPr>
          <w:lang w:eastAsia="x-none" w:val="en-US"/>
        </w:rPr>
        <w:t>d</w:t>
      </w:r>
      <w:r w:rsidRPr="0093651C">
        <w:rPr>
          <w:lang w:eastAsia="x-none"/>
        </w:rPr>
        <w:t>.</w:t>
      </w:r>
      <w:r w:rsidRPr="0093651C">
        <w:rPr>
          <w:lang w:eastAsia="x-none" w:val="en-US"/>
        </w:rPr>
        <w:t>o</w:t>
      </w:r>
      <w:r w:rsidRPr="0093651C">
        <w:rPr>
          <w:lang w:eastAsia="x-none"/>
        </w:rPr>
        <w:t>.</w:t>
      </w:r>
      <w:r w:rsidRPr="0093651C">
        <w:rPr>
          <w:lang w:eastAsia="x-none" w:val="en-US"/>
        </w:rPr>
        <w:t>o</w:t>
      </w:r>
      <w:r w:rsidRPr="0093651C">
        <w:rPr>
          <w:lang w:eastAsia="x-none"/>
        </w:rPr>
        <w:t xml:space="preserve">. vodio pred Financijskom agencijom pod Klasom: UP- </w:t>
      </w:r>
      <w:r w:rsidRPr="0093651C">
        <w:rPr>
          <w:lang w:eastAsia="x-none" w:val="en-US"/>
        </w:rPr>
        <w:t>I</w:t>
      </w:r>
      <w:r w:rsidRPr="0093651C">
        <w:rPr>
          <w:lang w:eastAsia="x-none"/>
        </w:rPr>
        <w:t>/110/07/15-01/8522 na ročištu održanom dana 14.10.2016.g. za Izmijenjeni plan financijskog restrukturiranja glasovali vjerovnici čije tražbine prelaze polovinu vrijednosti utvrđenih tražbina za svaku grupu vjerovnika odnosno 2/3 vrijednosti svih utvrđenih tražbina i to sljedeći vjerovnici:</w:t>
      </w:r>
    </w:p>
    <w:p w:rsidRDefault="0093651C" w:rsidP="0093651C" w:rsidR="0093651C" w:rsidRPr="0093651C">
      <w:pPr>
        <w:suppressAutoHyphens/>
        <w:spacing w:after="120"/>
        <w:jc w:val="both"/>
        <w:rPr>
          <w:sz w:val="16"/>
          <w:szCs w:val="16"/>
          <w:lang w:eastAsia="x-none"/>
        </w:rPr>
      </w:pPr>
    </w:p>
    <w:p w:rsidRDefault="0093651C" w:rsidP="0093651C" w:rsidR="0093651C" w:rsidRPr="0093651C">
      <w:pPr>
        <w:jc w:val="both"/>
        <w:rPr>
          <w:lang w:eastAsia="hr-HR"/>
        </w:rPr>
      </w:pPr>
      <w:r w:rsidRPr="0093651C">
        <w:rPr>
          <w:color w:val="000000"/>
          <w:lang w:eastAsia="hr-HR"/>
        </w:rPr>
        <w:t xml:space="preserve">A.M. Patačić d.o.o., Aleja Hrvatske mladeži 45, Zagreb, OIB </w:t>
      </w:r>
      <w:r w:rsidRPr="0093651C">
        <w:rPr>
          <w:lang w:eastAsia="hr-HR"/>
        </w:rPr>
        <w:t>30593716926</w:t>
      </w:r>
    </w:p>
    <w:p w:rsidRDefault="0093651C" w:rsidP="0093651C" w:rsidR="0093651C" w:rsidRPr="0093651C">
      <w:pPr>
        <w:jc w:val="both"/>
        <w:rPr>
          <w:lang w:eastAsia="hr-HR"/>
        </w:rPr>
      </w:pPr>
      <w:r w:rsidRPr="0093651C">
        <w:rPr>
          <w:lang w:eastAsia="hr-HR"/>
        </w:rPr>
        <w:t>FIDUS GRADNJA d.o.o. Oranice 34 Zagreb, OIB 39103538847</w:t>
      </w:r>
    </w:p>
    <w:p w:rsidRDefault="0093651C" w:rsidP="0093651C" w:rsidR="0093651C" w:rsidRPr="0093651C">
      <w:pPr>
        <w:jc w:val="both"/>
        <w:rPr>
          <w:lang w:eastAsia="hr-HR"/>
        </w:rPr>
      </w:pPr>
      <w:r w:rsidRPr="0093651C">
        <w:rPr>
          <w:lang w:eastAsia="hr-HR"/>
        </w:rPr>
        <w:t>Grad Zagreb, Trg Stjepana radića, Zagreb, OIB 61817894937</w:t>
      </w:r>
    </w:p>
    <w:p w:rsidRDefault="0093651C" w:rsidP="0093651C" w:rsidR="0093651C" w:rsidRPr="0093651C">
      <w:pPr>
        <w:jc w:val="both"/>
        <w:rPr>
          <w:lang w:eastAsia="hr-HR"/>
        </w:rPr>
      </w:pPr>
      <w:r w:rsidRPr="0093651C">
        <w:rPr>
          <w:lang w:eastAsia="hr-HR"/>
        </w:rPr>
        <w:t>HEP -Operator distribucijskog sustava d.o.o., Gundulićeva 32, Zagreb,OIB 46830600751</w:t>
      </w:r>
    </w:p>
    <w:p w:rsidRDefault="0093651C" w:rsidP="0093651C" w:rsidR="0093651C" w:rsidRPr="0093651C">
      <w:pPr>
        <w:jc w:val="both"/>
        <w:rPr>
          <w:lang w:eastAsia="hr-HR"/>
        </w:rPr>
      </w:pPr>
      <w:r w:rsidRPr="0093651C">
        <w:rPr>
          <w:lang w:eastAsia="hr-HR"/>
        </w:rPr>
        <w:t>Hrvatska gospodarska komora, Roosveltov trg 2, Zagreb, OIB 85167032587</w:t>
      </w:r>
    </w:p>
    <w:p w:rsidRDefault="0093651C" w:rsidP="0093651C" w:rsidR="0093651C" w:rsidRPr="0093651C">
      <w:pPr>
        <w:jc w:val="both"/>
        <w:rPr>
          <w:lang w:eastAsia="hr-HR"/>
        </w:rPr>
      </w:pPr>
      <w:r w:rsidRPr="0093651C">
        <w:rPr>
          <w:lang w:eastAsia="hr-HR"/>
        </w:rPr>
        <w:t>Hrvatske šume d.o.o., Lj. F. Vukotinovića 2, Zagreb, OIB 69693144506</w:t>
      </w:r>
    </w:p>
    <w:p w:rsidRDefault="0093651C" w:rsidP="0093651C" w:rsidR="0093651C" w:rsidRPr="0093651C">
      <w:pPr>
        <w:jc w:val="both"/>
        <w:rPr>
          <w:lang w:eastAsia="hr-HR"/>
        </w:rPr>
      </w:pPr>
      <w:r w:rsidRPr="0093651C">
        <w:rPr>
          <w:lang w:eastAsia="hr-HR"/>
        </w:rPr>
        <w:t>Hrvatske vode, Ulica grada Vukovara 220, Zagreb, OIB 28921383001</w:t>
      </w:r>
    </w:p>
    <w:p w:rsidRDefault="0093651C" w:rsidP="0093651C" w:rsidR="0093651C" w:rsidRPr="0093651C">
      <w:pPr>
        <w:jc w:val="both"/>
        <w:rPr>
          <w:lang w:eastAsia="hr-HR"/>
        </w:rPr>
      </w:pPr>
      <w:r w:rsidRPr="0093651C">
        <w:rPr>
          <w:lang w:eastAsia="hr-HR"/>
        </w:rPr>
        <w:t>INTERINVEST d.o.o., Safeta zajke 269, Sarajevo, OIB: 11099893718</w:t>
      </w:r>
    </w:p>
    <w:p w:rsidRDefault="0093651C" w:rsidP="0093651C" w:rsidR="0093651C" w:rsidRPr="0093651C">
      <w:pPr>
        <w:jc w:val="both"/>
        <w:rPr>
          <w:lang w:eastAsia="hr-HR"/>
        </w:rPr>
      </w:pPr>
      <w:r w:rsidRPr="0093651C">
        <w:rPr>
          <w:lang w:eastAsia="hr-HR"/>
        </w:rPr>
        <w:lastRenderedPageBreak/>
        <w:t>Javni bilježnik JOZO ROTIM, Trg Johna Kennedyja 6b, Zagreb, OIB 15618163660</w:t>
      </w:r>
    </w:p>
    <w:p w:rsidRDefault="0093651C" w:rsidP="0093651C" w:rsidR="0093651C" w:rsidRPr="0093651C">
      <w:pPr>
        <w:jc w:val="both"/>
        <w:rPr>
          <w:lang w:eastAsia="hr-HR"/>
        </w:rPr>
      </w:pPr>
      <w:r w:rsidRPr="0093651C">
        <w:rPr>
          <w:lang w:eastAsia="hr-HR"/>
        </w:rPr>
        <w:t>Javni bilježnik JOŽICA MATKO RUŽDJAK, Kneza Višeslava 2, Zagreb, OIB 23556614682</w:t>
      </w:r>
    </w:p>
    <w:p w:rsidRDefault="0093651C" w:rsidP="0093651C" w:rsidR="0093651C" w:rsidRPr="0093651C">
      <w:pPr>
        <w:jc w:val="both"/>
        <w:rPr>
          <w:lang w:eastAsia="hr-HR"/>
        </w:rPr>
      </w:pPr>
      <w:r w:rsidRPr="0093651C">
        <w:rPr>
          <w:lang w:eastAsia="hr-HR"/>
        </w:rPr>
        <w:t>Ministarstvo financija, Katančićeva 5, Zagreb, OIB 1868313648</w:t>
      </w:r>
    </w:p>
    <w:p w:rsidRDefault="0093651C" w:rsidP="0093651C" w:rsidR="0093651C" w:rsidRPr="0093651C">
      <w:pPr>
        <w:jc w:val="both"/>
        <w:rPr>
          <w:lang w:eastAsia="hr-HR"/>
        </w:rPr>
      </w:pPr>
      <w:r w:rsidRPr="0093651C">
        <w:rPr>
          <w:lang w:eastAsia="hr-HR"/>
        </w:rPr>
        <w:t>Palac Dinko, OIB 95640712687</w:t>
      </w:r>
    </w:p>
    <w:p w:rsidRDefault="0093651C" w:rsidP="0093651C" w:rsidR="0093651C" w:rsidRPr="0093651C">
      <w:pPr>
        <w:jc w:val="both"/>
        <w:rPr>
          <w:lang w:eastAsia="hr-HR"/>
        </w:rPr>
      </w:pPr>
      <w:r w:rsidRPr="0093651C">
        <w:rPr>
          <w:lang w:eastAsia="hr-HR" w:val="en-US"/>
        </w:rPr>
        <w:t xml:space="preserve">Palac Ljiljanko, Dragićina bb, Grude, OIB </w:t>
      </w:r>
      <w:r w:rsidRPr="0093651C">
        <w:rPr>
          <w:lang w:eastAsia="hr-HR"/>
        </w:rPr>
        <w:t>19082040505</w:t>
      </w:r>
    </w:p>
    <w:p w:rsidRDefault="0093651C" w:rsidP="0093651C" w:rsidR="0093651C" w:rsidRPr="0093651C">
      <w:pPr>
        <w:jc w:val="both"/>
        <w:rPr>
          <w:lang w:eastAsia="hr-HR"/>
        </w:rPr>
      </w:pPr>
      <w:r w:rsidRPr="0093651C">
        <w:rPr>
          <w:lang w:eastAsia="hr-HR"/>
        </w:rPr>
        <w:t>Partner banka d.d., Vončinina, Zagreb, OIB 71221608291</w:t>
      </w:r>
    </w:p>
    <w:p w:rsidRDefault="0093651C" w:rsidP="0093651C" w:rsidR="0093651C" w:rsidRPr="0093651C">
      <w:pPr>
        <w:jc w:val="both"/>
        <w:rPr>
          <w:lang w:eastAsia="hr-HR"/>
        </w:rPr>
      </w:pPr>
      <w:r w:rsidRPr="0093651C">
        <w:rPr>
          <w:lang w:eastAsia="hr-HR"/>
        </w:rPr>
        <w:t>PREMIUM FACTOR d.o.o., Slavenskog 1, Zagreb, OIB 72608586251</w:t>
      </w:r>
    </w:p>
    <w:p w:rsidRDefault="0093651C" w:rsidP="0093651C" w:rsidR="0093651C" w:rsidRPr="0093651C">
      <w:pPr>
        <w:jc w:val="both"/>
        <w:rPr>
          <w:lang w:eastAsia="hr-HR"/>
        </w:rPr>
      </w:pPr>
      <w:r w:rsidRPr="0093651C">
        <w:rPr>
          <w:lang w:eastAsia="hr-HR"/>
        </w:rPr>
        <w:t>Šimunac Tomislav, Mesnička 24, Zagreb, OIB 40157363535</w:t>
      </w:r>
    </w:p>
    <w:p w:rsidRDefault="0093651C" w:rsidP="0093651C" w:rsidR="0093651C" w:rsidRPr="0093651C">
      <w:pPr>
        <w:jc w:val="both"/>
        <w:rPr>
          <w:lang w:eastAsia="hr-HR"/>
        </w:rPr>
      </w:pPr>
      <w:r w:rsidRPr="0093651C">
        <w:rPr>
          <w:lang w:eastAsia="hr-HR"/>
        </w:rPr>
        <w:t>Vučković Stjepan, Schrottova 37, Zagreb, OIB 20668699654</w:t>
      </w:r>
    </w:p>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lineRule="atLeast" w:line="100"/>
        <w:jc w:val="center"/>
        <w:rPr>
          <w:lang w:eastAsia="hr-HR"/>
        </w:rPr>
      </w:pPr>
      <w:r w:rsidRPr="0093651C">
        <w:rPr>
          <w:b/>
          <w:bCs/>
          <w:lang w:eastAsia="hr-HR"/>
        </w:rPr>
        <w:t xml:space="preserve">IV. </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Utvrđuje se da je u Izmijenjenom planu financijskog restrukturiranja koji je prihvaćen u postupku  predstečajne nagodbe koji se nad dužnikom </w:t>
      </w:r>
      <w:r w:rsidRPr="0093651C">
        <w:rPr>
          <w:lang w:eastAsia="hr-HR" w:val="en-US"/>
        </w:rPr>
        <w:t>GRA</w:t>
      </w:r>
      <w:r w:rsidRPr="0093651C">
        <w:rPr>
          <w:lang w:eastAsia="hr-HR"/>
        </w:rPr>
        <w:t>Đ</w:t>
      </w:r>
      <w:r w:rsidRPr="0093651C">
        <w:rPr>
          <w:lang w:eastAsia="hr-HR" w:val="en-US"/>
        </w:rPr>
        <w:t>ENJE</w:t>
      </w:r>
      <w:r w:rsidRPr="0093651C">
        <w:rPr>
          <w:lang w:eastAsia="hr-HR"/>
        </w:rPr>
        <w:t xml:space="preserve"> </w:t>
      </w:r>
      <w:r w:rsidRPr="0093651C">
        <w:rPr>
          <w:lang w:eastAsia="hr-HR" w:val="en-US"/>
        </w:rPr>
        <w:t>HERC</w:t>
      </w:r>
      <w:r w:rsidRPr="0093651C">
        <w:rPr>
          <w:lang w:eastAsia="hr-HR"/>
        </w:rPr>
        <w:t xml:space="preserve">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 xml:space="preserve">. vodio pred Financijskom agencijom pod Klasom: UP- </w:t>
      </w:r>
      <w:r w:rsidRPr="0093651C">
        <w:rPr>
          <w:lang w:eastAsia="hr-HR" w:val="en-US"/>
        </w:rPr>
        <w:t>I</w:t>
      </w:r>
      <w:r w:rsidRPr="0093651C">
        <w:rPr>
          <w:lang w:eastAsia="hr-HR"/>
        </w:rPr>
        <w:t>/110/07/15-01/8522 na ročištu za glasovanje dana 14.10.2016.g. predviđeno sljedeće:</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-vjerovnici 1. grupe tijela javne uprave i trgovačka društva u većinskom državnom vlasništvu u iznosu od 9.251.776,33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pla</w:t>
      </w:r>
      <w:r w:rsidRPr="0093651C">
        <w:rPr>
          <w:lang w:eastAsia="hr-HR"/>
        </w:rPr>
        <w:t>ć</w:t>
      </w:r>
      <w:r w:rsidRPr="0093651C">
        <w:rPr>
          <w:lang w:eastAsia="hr-HR" w:val="en-US"/>
        </w:rPr>
        <w:t>anje</w:t>
      </w:r>
      <w:r w:rsidRPr="0093651C">
        <w:rPr>
          <w:lang w:eastAsia="hr-HR"/>
        </w:rPr>
        <w:t xml:space="preserve"> </w:t>
      </w:r>
      <w:r w:rsidRPr="0093651C">
        <w:rPr>
          <w:lang w:eastAsia="hr-HR" w:val="en-US"/>
        </w:rPr>
        <w:t>u</w:t>
      </w:r>
      <w:r w:rsidRPr="0093651C">
        <w:rPr>
          <w:lang w:eastAsia="hr-HR"/>
        </w:rPr>
        <w:t xml:space="preserve"> 48 </w:t>
      </w:r>
      <w:r w:rsidRPr="0093651C">
        <w:rPr>
          <w:lang w:eastAsia="hr-HR" w:val="en-US"/>
        </w:rPr>
        <w:t>mjese</w:t>
      </w:r>
      <w:r w:rsidRPr="0093651C">
        <w:rPr>
          <w:lang w:eastAsia="hr-HR"/>
        </w:rPr>
        <w:t>č</w:t>
      </w:r>
      <w:r w:rsidRPr="0093651C">
        <w:rPr>
          <w:lang w:eastAsia="hr-HR" w:val="en-US"/>
        </w:rPr>
        <w:t>na</w:t>
      </w:r>
      <w:r w:rsidRPr="0093651C">
        <w:rPr>
          <w:lang w:eastAsia="hr-HR"/>
        </w:rPr>
        <w:t xml:space="preserve"> </w:t>
      </w:r>
      <w:r w:rsidRPr="0093651C">
        <w:rPr>
          <w:lang w:eastAsia="hr-HR" w:val="en-US"/>
        </w:rPr>
        <w:t>obroka</w:t>
      </w:r>
      <w:r w:rsidRPr="0093651C">
        <w:rPr>
          <w:lang w:eastAsia="hr-HR"/>
        </w:rPr>
        <w:t xml:space="preserve"> </w:t>
      </w:r>
      <w:r w:rsidRPr="0093651C">
        <w:rPr>
          <w:lang w:eastAsia="hr-HR" w:val="en-US"/>
        </w:rPr>
        <w:t>bez</w:t>
      </w:r>
      <w:r w:rsidRPr="0093651C">
        <w:rPr>
          <w:lang w:eastAsia="hr-HR"/>
        </w:rPr>
        <w:t xml:space="preserve"> </w:t>
      </w:r>
      <w:r w:rsidRPr="0093651C">
        <w:rPr>
          <w:lang w:eastAsia="hr-HR" w:val="en-US"/>
        </w:rPr>
        <w:t>kamata</w:t>
      </w:r>
      <w:r w:rsidRPr="0093651C">
        <w:rPr>
          <w:lang w:eastAsia="hr-HR"/>
        </w:rPr>
        <w:t xml:space="preserve">, </w:t>
      </w:r>
      <w:r w:rsidRPr="0093651C">
        <w:rPr>
          <w:lang w:eastAsia="hr-HR" w:val="en-US"/>
        </w:rPr>
        <w:t>uz</w:t>
      </w:r>
      <w:r w:rsidRPr="0093651C">
        <w:rPr>
          <w:lang w:eastAsia="hr-HR"/>
        </w:rPr>
        <w:t xml:space="preserve"> </w:t>
      </w:r>
      <w:r w:rsidRPr="0093651C">
        <w:rPr>
          <w:lang w:eastAsia="hr-HR" w:val="en-US"/>
        </w:rPr>
        <w:t>otpis</w:t>
      </w:r>
      <w:r w:rsidRPr="0093651C">
        <w:rPr>
          <w:lang w:eastAsia="hr-HR"/>
        </w:rPr>
        <w:t xml:space="preserve"> 60 %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i</w:t>
      </w:r>
      <w:r w:rsidRPr="0093651C">
        <w:rPr>
          <w:lang w:eastAsia="hr-HR"/>
        </w:rPr>
        <w:t xml:space="preserve"> </w:t>
      </w:r>
      <w:r w:rsidRPr="0093651C">
        <w:rPr>
          <w:lang w:eastAsia="hr-HR" w:val="en-US"/>
        </w:rPr>
        <w:t>uz</w:t>
      </w:r>
      <w:r w:rsidRPr="0093651C">
        <w:rPr>
          <w:lang w:eastAsia="hr-HR"/>
        </w:rPr>
        <w:t xml:space="preserve"> 12 </w:t>
      </w:r>
      <w:r w:rsidRPr="0093651C">
        <w:rPr>
          <w:lang w:eastAsia="hr-HR" w:val="en-US"/>
        </w:rPr>
        <w:t>mjeseca</w:t>
      </w:r>
      <w:r w:rsidRPr="0093651C">
        <w:rPr>
          <w:lang w:eastAsia="hr-HR"/>
        </w:rPr>
        <w:t xml:space="preserve"> </w:t>
      </w:r>
      <w:r w:rsidRPr="0093651C">
        <w:rPr>
          <w:lang w:eastAsia="hr-HR" w:val="en-US"/>
        </w:rPr>
        <w:t>po</w:t>
      </w:r>
      <w:r w:rsidRPr="0093651C">
        <w:rPr>
          <w:lang w:eastAsia="hr-HR"/>
        </w:rPr>
        <w:t>č</w:t>
      </w:r>
      <w:r w:rsidRPr="0093651C">
        <w:rPr>
          <w:lang w:eastAsia="hr-HR" w:val="en-US"/>
        </w:rPr>
        <w:t>eka</w:t>
      </w:r>
      <w:r w:rsidRPr="0093651C">
        <w:rPr>
          <w:lang w:eastAsia="hr-HR"/>
        </w:rPr>
        <w:t>, od donošenja rješenja Trgovačkog suda o prihvaćanju predstečajne nagodbe;</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 </w:t>
      </w:r>
      <w:r w:rsidRPr="0093651C">
        <w:rPr>
          <w:lang w:eastAsia="hr-HR" w:val="en-US"/>
        </w:rPr>
        <w:t>Vjerovnici</w:t>
      </w:r>
      <w:r w:rsidRPr="0093651C">
        <w:rPr>
          <w:lang w:eastAsia="hr-HR"/>
        </w:rPr>
        <w:t xml:space="preserve"> 2.</w:t>
      </w:r>
      <w:r w:rsidRPr="0093651C">
        <w:rPr>
          <w:lang w:eastAsia="hr-HR" w:val="en-US"/>
        </w:rPr>
        <w:t>grupe</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iznosu</w:t>
      </w:r>
      <w:r w:rsidRPr="0093651C">
        <w:rPr>
          <w:lang w:eastAsia="hr-HR"/>
        </w:rPr>
        <w:t xml:space="preserve"> </w:t>
      </w:r>
      <w:r w:rsidRPr="0093651C">
        <w:rPr>
          <w:lang w:eastAsia="hr-HR" w:val="en-US"/>
        </w:rPr>
        <w:t>od</w:t>
      </w:r>
      <w:r w:rsidRPr="0093651C">
        <w:rPr>
          <w:lang w:eastAsia="hr-HR"/>
        </w:rPr>
        <w:t xml:space="preserve"> 116,00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pla</w:t>
      </w:r>
      <w:r w:rsidRPr="0093651C">
        <w:rPr>
          <w:lang w:eastAsia="hr-HR"/>
        </w:rPr>
        <w:t>ć</w:t>
      </w:r>
      <w:r w:rsidRPr="0093651C">
        <w:rPr>
          <w:lang w:eastAsia="hr-HR" w:val="en-US"/>
        </w:rPr>
        <w:t>anje</w:t>
      </w:r>
      <w:r w:rsidRPr="0093651C">
        <w:rPr>
          <w:lang w:eastAsia="hr-HR"/>
        </w:rPr>
        <w:t xml:space="preserve"> </w:t>
      </w:r>
      <w:r w:rsidRPr="0093651C">
        <w:rPr>
          <w:lang w:eastAsia="hr-HR" w:val="en-US"/>
        </w:rPr>
        <w:t>jednokratno</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roku</w:t>
      </w:r>
      <w:r w:rsidRPr="0093651C">
        <w:rPr>
          <w:lang w:eastAsia="hr-HR"/>
        </w:rPr>
        <w:t xml:space="preserve"> </w:t>
      </w:r>
      <w:r w:rsidRPr="0093651C">
        <w:rPr>
          <w:lang w:eastAsia="hr-HR" w:val="en-US"/>
        </w:rPr>
        <w:t>od</w:t>
      </w:r>
      <w:r w:rsidRPr="0093651C">
        <w:rPr>
          <w:lang w:eastAsia="hr-HR"/>
        </w:rPr>
        <w:t xml:space="preserve"> 30 </w:t>
      </w:r>
      <w:r w:rsidRPr="0093651C">
        <w:rPr>
          <w:lang w:eastAsia="hr-HR" w:val="en-US"/>
        </w:rPr>
        <w:t>dana</w:t>
      </w:r>
      <w:r w:rsidRPr="0093651C">
        <w:rPr>
          <w:lang w:eastAsia="hr-HR"/>
        </w:rPr>
        <w:t xml:space="preserve"> </w:t>
      </w:r>
      <w:r w:rsidRPr="0093651C">
        <w:rPr>
          <w:lang w:eastAsia="hr-HR" w:val="en-US"/>
        </w:rPr>
        <w:t>od</w:t>
      </w:r>
      <w:r w:rsidRPr="0093651C">
        <w:rPr>
          <w:lang w:eastAsia="hr-HR"/>
        </w:rPr>
        <w:t xml:space="preserve"> </w:t>
      </w:r>
      <w:r w:rsidRPr="0093651C">
        <w:rPr>
          <w:lang w:eastAsia="hr-HR" w:val="en-US"/>
        </w:rPr>
        <w:t>pravomo</w:t>
      </w:r>
      <w:r w:rsidRPr="0093651C">
        <w:rPr>
          <w:lang w:eastAsia="hr-HR"/>
        </w:rPr>
        <w:t>ć</w:t>
      </w:r>
      <w:r w:rsidRPr="0093651C">
        <w:rPr>
          <w:lang w:eastAsia="hr-HR" w:val="en-US"/>
        </w:rPr>
        <w:t>nosti</w:t>
      </w:r>
      <w:r w:rsidRPr="0093651C">
        <w:rPr>
          <w:lang w:eastAsia="hr-HR"/>
        </w:rPr>
        <w:t xml:space="preserve"> </w:t>
      </w:r>
      <w:r w:rsidRPr="0093651C">
        <w:rPr>
          <w:lang w:eastAsia="hr-HR" w:val="en-US"/>
        </w:rPr>
        <w:t>rje</w:t>
      </w:r>
      <w:r w:rsidRPr="0093651C">
        <w:rPr>
          <w:lang w:eastAsia="hr-HR"/>
        </w:rPr>
        <w:t>š</w:t>
      </w:r>
      <w:r w:rsidRPr="0093651C">
        <w:rPr>
          <w:lang w:eastAsia="hr-HR" w:val="en-US"/>
        </w:rPr>
        <w:t>enja</w:t>
      </w:r>
      <w:r w:rsidRPr="0093651C">
        <w:rPr>
          <w:lang w:eastAsia="hr-HR"/>
        </w:rPr>
        <w:t xml:space="preserve"> </w:t>
      </w:r>
      <w:r w:rsidRPr="0093651C">
        <w:rPr>
          <w:lang w:eastAsia="hr-HR" w:val="en-US"/>
        </w:rPr>
        <w:t>o</w:t>
      </w:r>
      <w:r w:rsidRPr="0093651C">
        <w:rPr>
          <w:lang w:eastAsia="hr-HR"/>
        </w:rPr>
        <w:t xml:space="preserve"> </w:t>
      </w:r>
      <w:r w:rsidRPr="0093651C">
        <w:rPr>
          <w:lang w:eastAsia="hr-HR" w:val="en-US"/>
        </w:rPr>
        <w:t>odobravanju</w:t>
      </w:r>
      <w:r w:rsidRPr="0093651C">
        <w:rPr>
          <w:lang w:eastAsia="hr-HR"/>
        </w:rPr>
        <w:t xml:space="preserve"> </w:t>
      </w:r>
      <w:r w:rsidRPr="0093651C">
        <w:rPr>
          <w:lang w:eastAsia="hr-HR" w:val="en-US"/>
        </w:rPr>
        <w:t>predste</w:t>
      </w:r>
      <w:r w:rsidRPr="0093651C">
        <w:rPr>
          <w:lang w:eastAsia="hr-HR"/>
        </w:rPr>
        <w:t>č</w:t>
      </w:r>
      <w:r w:rsidRPr="0093651C">
        <w:rPr>
          <w:lang w:eastAsia="hr-HR" w:val="en-US"/>
        </w:rPr>
        <w:t>ajne</w:t>
      </w:r>
      <w:r w:rsidRPr="0093651C">
        <w:rPr>
          <w:lang w:eastAsia="hr-HR"/>
        </w:rPr>
        <w:t xml:space="preserve"> </w:t>
      </w:r>
      <w:r w:rsidRPr="0093651C">
        <w:rPr>
          <w:lang w:eastAsia="hr-HR" w:val="en-US"/>
        </w:rPr>
        <w:t>nagodbe</w:t>
      </w:r>
      <w:r w:rsidRPr="0093651C">
        <w:rPr>
          <w:lang w:eastAsia="hr-HR"/>
        </w:rPr>
        <w:t xml:space="preserve">. </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b/>
          <w:lang w:eastAsia="hr-HR"/>
        </w:rPr>
      </w:pPr>
      <w:r w:rsidRPr="0093651C">
        <w:rPr>
          <w:b/>
          <w:lang w:eastAsia="hr-HR"/>
        </w:rPr>
        <w:t>OSTALI:</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b/>
          <w:lang w:eastAsia="hr-HR"/>
        </w:rPr>
      </w:pPr>
      <w:r w:rsidRPr="0093651C">
        <w:rPr>
          <w:b/>
          <w:lang w:eastAsia="hr-HR"/>
        </w:rPr>
        <w:t xml:space="preserve">3.1. </w:t>
      </w:r>
      <w:r w:rsidRPr="0093651C">
        <w:rPr>
          <w:b/>
          <w:lang w:eastAsia="hr-HR" w:val="en-US"/>
        </w:rPr>
        <w:t>Vjerovnici</w:t>
      </w:r>
      <w:r w:rsidRPr="0093651C">
        <w:rPr>
          <w:b/>
          <w:lang w:eastAsia="hr-HR"/>
        </w:rPr>
        <w:t xml:space="preserve"> </w:t>
      </w:r>
      <w:r w:rsidRPr="0093651C">
        <w:rPr>
          <w:b/>
          <w:lang w:eastAsia="hr-HR" w:val="en-US"/>
        </w:rPr>
        <w:t>sa</w:t>
      </w:r>
      <w:r w:rsidRPr="0093651C">
        <w:rPr>
          <w:b/>
          <w:lang w:eastAsia="hr-HR"/>
        </w:rPr>
        <w:t xml:space="preserve"> </w:t>
      </w:r>
      <w:r w:rsidRPr="0093651C">
        <w:rPr>
          <w:b/>
          <w:lang w:eastAsia="hr-HR" w:val="en-US"/>
        </w:rPr>
        <w:t>tra</w:t>
      </w:r>
      <w:r w:rsidRPr="0093651C">
        <w:rPr>
          <w:b/>
          <w:lang w:eastAsia="hr-HR"/>
        </w:rPr>
        <w:t>ž</w:t>
      </w:r>
      <w:r w:rsidRPr="0093651C">
        <w:rPr>
          <w:b/>
          <w:lang w:eastAsia="hr-HR" w:val="en-US"/>
        </w:rPr>
        <w:t>binama</w:t>
      </w:r>
      <w:r w:rsidRPr="0093651C">
        <w:rPr>
          <w:b/>
          <w:lang w:eastAsia="hr-HR"/>
        </w:rPr>
        <w:t xml:space="preserve"> </w:t>
      </w:r>
      <w:r w:rsidRPr="0093651C">
        <w:rPr>
          <w:b/>
          <w:lang w:eastAsia="hr-HR" w:val="en-US"/>
        </w:rPr>
        <w:t>ve</w:t>
      </w:r>
      <w:r w:rsidRPr="0093651C">
        <w:rPr>
          <w:b/>
          <w:lang w:eastAsia="hr-HR"/>
        </w:rPr>
        <w:t>ć</w:t>
      </w:r>
      <w:r w:rsidRPr="0093651C">
        <w:rPr>
          <w:b/>
          <w:lang w:eastAsia="hr-HR" w:val="en-US"/>
        </w:rPr>
        <w:t>im</w:t>
      </w:r>
      <w:r w:rsidRPr="0093651C">
        <w:rPr>
          <w:b/>
          <w:lang w:eastAsia="hr-HR"/>
        </w:rPr>
        <w:t xml:space="preserve"> </w:t>
      </w:r>
      <w:r w:rsidRPr="0093651C">
        <w:rPr>
          <w:b/>
          <w:lang w:eastAsia="hr-HR" w:val="en-US"/>
        </w:rPr>
        <w:t>od</w:t>
      </w:r>
      <w:r w:rsidRPr="0093651C">
        <w:rPr>
          <w:b/>
          <w:lang w:eastAsia="hr-HR"/>
        </w:rPr>
        <w:t xml:space="preserve"> 500.000,00 </w:t>
      </w:r>
      <w:r w:rsidRPr="0093651C">
        <w:rPr>
          <w:b/>
          <w:lang w:eastAsia="hr-HR" w:val="en-US"/>
        </w:rPr>
        <w:t>kn</w:t>
      </w:r>
      <w:r w:rsidRPr="0093651C">
        <w:rPr>
          <w:b/>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val="en-US"/>
        </w:rPr>
        <w:t>Dru</w:t>
      </w:r>
      <w:r w:rsidRPr="0093651C">
        <w:rPr>
          <w:lang w:eastAsia="hr-HR"/>
        </w:rPr>
        <w:t>š</w:t>
      </w:r>
      <w:r w:rsidRPr="0093651C">
        <w:rPr>
          <w:lang w:eastAsia="hr-HR" w:val="en-US"/>
        </w:rPr>
        <w:t>tvo</w:t>
      </w:r>
      <w:r w:rsidRPr="0093651C">
        <w:rPr>
          <w:lang w:eastAsia="hr-HR"/>
        </w:rPr>
        <w:t xml:space="preserve"> </w:t>
      </w:r>
      <w:r w:rsidRPr="0093651C">
        <w:rPr>
          <w:lang w:eastAsia="hr-HR" w:val="en-US"/>
        </w:rPr>
        <w:t>ima</w:t>
      </w:r>
      <w:r w:rsidRPr="0093651C">
        <w:rPr>
          <w:lang w:eastAsia="hr-HR"/>
        </w:rPr>
        <w:t xml:space="preserve"> </w:t>
      </w:r>
      <w:r w:rsidRPr="0093651C">
        <w:rPr>
          <w:lang w:eastAsia="hr-HR" w:val="en-US"/>
        </w:rPr>
        <w:t>obveze</w:t>
      </w:r>
      <w:r w:rsidRPr="0093651C">
        <w:rPr>
          <w:lang w:eastAsia="hr-HR"/>
        </w:rPr>
        <w:t xml:space="preserve"> </w:t>
      </w:r>
      <w:r w:rsidRPr="0093651C">
        <w:rPr>
          <w:lang w:eastAsia="hr-HR" w:val="en-US"/>
        </w:rPr>
        <w:t>prema</w:t>
      </w:r>
      <w:r w:rsidRPr="0093651C">
        <w:rPr>
          <w:lang w:eastAsia="hr-HR"/>
        </w:rPr>
        <w:t xml:space="preserve"> </w:t>
      </w:r>
      <w:r w:rsidRPr="0093651C">
        <w:rPr>
          <w:lang w:eastAsia="hr-HR" w:val="en-US"/>
        </w:rPr>
        <w:t>vjerovnicima</w:t>
      </w:r>
      <w:r w:rsidRPr="0093651C">
        <w:rPr>
          <w:lang w:eastAsia="hr-HR"/>
        </w:rPr>
        <w:t xml:space="preserve"> č</w:t>
      </w:r>
      <w:r w:rsidRPr="0093651C">
        <w:rPr>
          <w:lang w:eastAsia="hr-HR" w:val="en-US"/>
        </w:rPr>
        <w:t>ije</w:t>
      </w:r>
      <w:r w:rsidRPr="0093651C">
        <w:rPr>
          <w:lang w:eastAsia="hr-HR"/>
        </w:rPr>
        <w:t xml:space="preserve"> </w:t>
      </w:r>
      <w:r w:rsidRPr="0093651C">
        <w:rPr>
          <w:lang w:eastAsia="hr-HR" w:val="en-US"/>
        </w:rPr>
        <w:t>su</w:t>
      </w:r>
      <w:r w:rsidRPr="0093651C">
        <w:rPr>
          <w:lang w:eastAsia="hr-HR"/>
        </w:rPr>
        <w:t xml:space="preserve">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ve</w:t>
      </w:r>
      <w:r w:rsidRPr="0093651C">
        <w:rPr>
          <w:lang w:eastAsia="hr-HR"/>
        </w:rPr>
        <w:t>ć</w:t>
      </w:r>
      <w:r w:rsidRPr="0093651C">
        <w:rPr>
          <w:lang w:eastAsia="hr-HR" w:val="en-US"/>
        </w:rPr>
        <w:t>e</w:t>
      </w:r>
      <w:r w:rsidRPr="0093651C">
        <w:rPr>
          <w:lang w:eastAsia="hr-HR"/>
        </w:rPr>
        <w:t xml:space="preserve"> </w:t>
      </w:r>
      <w:r w:rsidRPr="0093651C">
        <w:rPr>
          <w:lang w:eastAsia="hr-HR" w:val="en-US"/>
        </w:rPr>
        <w:t>od</w:t>
      </w:r>
      <w:r w:rsidRPr="0093651C">
        <w:rPr>
          <w:lang w:eastAsia="hr-HR"/>
        </w:rPr>
        <w:t xml:space="preserve"> 500.000,00 </w:t>
      </w:r>
      <w:r w:rsidRPr="0093651C">
        <w:rPr>
          <w:lang w:eastAsia="hr-HR" w:val="en-US"/>
        </w:rPr>
        <w:t>kn</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iznosu</w:t>
      </w:r>
      <w:r w:rsidRPr="0093651C">
        <w:rPr>
          <w:lang w:eastAsia="hr-HR"/>
        </w:rPr>
        <w:t xml:space="preserve"> </w:t>
      </w:r>
      <w:r w:rsidRPr="0093651C">
        <w:rPr>
          <w:lang w:eastAsia="hr-HR" w:val="en-US"/>
        </w:rPr>
        <w:t>od</w:t>
      </w:r>
      <w:r w:rsidRPr="0093651C">
        <w:rPr>
          <w:lang w:eastAsia="hr-HR"/>
        </w:rPr>
        <w:t xml:space="preserve"> -9.848.803,85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da</w:t>
      </w:r>
      <w:r w:rsidRPr="0093651C">
        <w:rPr>
          <w:lang w:eastAsia="hr-HR"/>
        </w:rPr>
        <w:t xml:space="preserve"> </w:t>
      </w:r>
      <w:r w:rsidRPr="0093651C">
        <w:rPr>
          <w:lang w:eastAsia="hr-HR" w:val="en-US"/>
        </w:rPr>
        <w:t>vjerovnici</w:t>
      </w:r>
      <w:r w:rsidRPr="0093651C">
        <w:rPr>
          <w:lang w:eastAsia="hr-HR"/>
        </w:rPr>
        <w:t xml:space="preserve"> </w:t>
      </w:r>
      <w:r w:rsidRPr="0093651C">
        <w:rPr>
          <w:lang w:eastAsia="hr-HR" w:val="en-US"/>
        </w:rPr>
        <w:t>svoje</w:t>
      </w:r>
      <w:r w:rsidRPr="0093651C">
        <w:rPr>
          <w:lang w:eastAsia="hr-HR"/>
        </w:rPr>
        <w:t xml:space="preserve">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unesu</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temeljni</w:t>
      </w:r>
      <w:r w:rsidRPr="0093651C">
        <w:rPr>
          <w:lang w:eastAsia="hr-HR"/>
        </w:rPr>
        <w:t xml:space="preserve"> </w:t>
      </w:r>
      <w:r w:rsidRPr="0093651C">
        <w:rPr>
          <w:lang w:eastAsia="hr-HR" w:val="en-US"/>
        </w:rPr>
        <w:t>kapital</w:t>
      </w:r>
      <w:r w:rsidRPr="0093651C">
        <w:rPr>
          <w:lang w:eastAsia="hr-HR"/>
        </w:rPr>
        <w:t xml:space="preserve"> </w:t>
      </w:r>
      <w:r w:rsidRPr="0093651C">
        <w:rPr>
          <w:lang w:eastAsia="hr-HR" w:val="en-US"/>
        </w:rPr>
        <w:t>dru</w:t>
      </w:r>
      <w:r w:rsidRPr="0093651C">
        <w:rPr>
          <w:lang w:eastAsia="hr-HR"/>
        </w:rPr>
        <w:t>š</w:t>
      </w:r>
      <w:r w:rsidRPr="0093651C">
        <w:rPr>
          <w:lang w:eastAsia="hr-HR" w:val="en-US"/>
        </w:rPr>
        <w:t>tva</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postupku</w:t>
      </w:r>
      <w:r w:rsidRPr="0093651C">
        <w:rPr>
          <w:lang w:eastAsia="hr-HR"/>
        </w:rPr>
        <w:t xml:space="preserve"> </w:t>
      </w:r>
      <w:r w:rsidRPr="0093651C">
        <w:rPr>
          <w:lang w:eastAsia="hr-HR" w:val="en-US"/>
        </w:rPr>
        <w:t>pove</w:t>
      </w:r>
      <w:r w:rsidRPr="0093651C">
        <w:rPr>
          <w:lang w:eastAsia="hr-HR"/>
        </w:rPr>
        <w:t>ć</w:t>
      </w:r>
      <w:r w:rsidRPr="0093651C">
        <w:rPr>
          <w:lang w:eastAsia="hr-HR" w:val="en-US"/>
        </w:rPr>
        <w:t>anja</w:t>
      </w:r>
      <w:r w:rsidRPr="0093651C">
        <w:rPr>
          <w:lang w:eastAsia="hr-HR"/>
        </w:rPr>
        <w:t xml:space="preserve"> </w:t>
      </w:r>
      <w:r w:rsidRPr="0093651C">
        <w:rPr>
          <w:lang w:eastAsia="hr-HR" w:val="en-US"/>
        </w:rPr>
        <w:t>temeljnog</w:t>
      </w:r>
      <w:r w:rsidRPr="0093651C">
        <w:rPr>
          <w:lang w:eastAsia="hr-HR"/>
        </w:rPr>
        <w:t xml:space="preserve"> </w:t>
      </w:r>
      <w:r w:rsidRPr="0093651C">
        <w:rPr>
          <w:lang w:eastAsia="hr-HR" w:val="en-US"/>
        </w:rPr>
        <w:t>kapitala</w:t>
      </w:r>
      <w:r w:rsidRPr="0093651C">
        <w:rPr>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b/>
          <w:lang w:eastAsia="hr-HR"/>
        </w:rPr>
      </w:pPr>
      <w:r w:rsidRPr="0093651C">
        <w:rPr>
          <w:b/>
          <w:lang w:eastAsia="hr-HR"/>
        </w:rPr>
        <w:t xml:space="preserve">3.2. </w:t>
      </w:r>
      <w:r w:rsidRPr="0093651C">
        <w:rPr>
          <w:b/>
          <w:lang w:eastAsia="hr-HR" w:val="en-US"/>
        </w:rPr>
        <w:t>Vjerovnicima</w:t>
      </w:r>
      <w:r w:rsidRPr="0093651C">
        <w:rPr>
          <w:b/>
          <w:lang w:eastAsia="hr-HR"/>
        </w:rPr>
        <w:t xml:space="preserve"> </w:t>
      </w:r>
      <w:r w:rsidRPr="0093651C">
        <w:rPr>
          <w:b/>
          <w:lang w:eastAsia="hr-HR" w:val="en-US"/>
        </w:rPr>
        <w:t>sa</w:t>
      </w:r>
      <w:r w:rsidRPr="0093651C">
        <w:rPr>
          <w:b/>
          <w:lang w:eastAsia="hr-HR"/>
        </w:rPr>
        <w:t xml:space="preserve"> </w:t>
      </w:r>
      <w:r w:rsidRPr="0093651C">
        <w:rPr>
          <w:b/>
          <w:lang w:eastAsia="hr-HR" w:val="en-US"/>
        </w:rPr>
        <w:t>tra</w:t>
      </w:r>
      <w:r w:rsidRPr="0093651C">
        <w:rPr>
          <w:b/>
          <w:lang w:eastAsia="hr-HR"/>
        </w:rPr>
        <w:t>ž</w:t>
      </w:r>
      <w:r w:rsidRPr="0093651C">
        <w:rPr>
          <w:b/>
          <w:lang w:eastAsia="hr-HR" w:val="en-US"/>
        </w:rPr>
        <w:t>binama</w:t>
      </w:r>
      <w:r w:rsidRPr="0093651C">
        <w:rPr>
          <w:b/>
          <w:lang w:eastAsia="hr-HR"/>
        </w:rPr>
        <w:t xml:space="preserve"> </w:t>
      </w:r>
      <w:r w:rsidRPr="0093651C">
        <w:rPr>
          <w:b/>
          <w:lang w:eastAsia="hr-HR" w:val="en-US"/>
        </w:rPr>
        <w:t>manjim</w:t>
      </w:r>
      <w:r w:rsidRPr="0093651C">
        <w:rPr>
          <w:b/>
          <w:lang w:eastAsia="hr-HR"/>
        </w:rPr>
        <w:t xml:space="preserve"> </w:t>
      </w:r>
      <w:r w:rsidRPr="0093651C">
        <w:rPr>
          <w:b/>
          <w:lang w:eastAsia="hr-HR" w:val="en-US"/>
        </w:rPr>
        <w:t>od</w:t>
      </w:r>
      <w:r w:rsidRPr="0093651C">
        <w:rPr>
          <w:b/>
          <w:lang w:eastAsia="hr-HR"/>
        </w:rPr>
        <w:t xml:space="preserve"> 500.000,00 </w:t>
      </w:r>
      <w:r w:rsidRPr="0093651C">
        <w:rPr>
          <w:b/>
          <w:lang w:eastAsia="hr-HR" w:val="en-US"/>
        </w:rPr>
        <w:t>kn</w:t>
      </w:r>
      <w:r w:rsidRPr="0093651C">
        <w:rPr>
          <w:b/>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val="en-US"/>
        </w:rPr>
        <w:t>Dru</w:t>
      </w:r>
      <w:r w:rsidRPr="0093651C">
        <w:rPr>
          <w:lang w:eastAsia="hr-HR"/>
        </w:rPr>
        <w:t>š</w:t>
      </w:r>
      <w:r w:rsidRPr="0093651C">
        <w:rPr>
          <w:lang w:eastAsia="hr-HR" w:val="en-US"/>
        </w:rPr>
        <w:t>tvo</w:t>
      </w:r>
      <w:r w:rsidRPr="0093651C">
        <w:rPr>
          <w:lang w:eastAsia="hr-HR"/>
        </w:rPr>
        <w:t xml:space="preserve"> </w:t>
      </w:r>
      <w:r w:rsidRPr="0093651C">
        <w:rPr>
          <w:lang w:eastAsia="hr-HR" w:val="en-US"/>
        </w:rPr>
        <w:t>ima</w:t>
      </w:r>
      <w:r w:rsidRPr="0093651C">
        <w:rPr>
          <w:lang w:eastAsia="hr-HR"/>
        </w:rPr>
        <w:t xml:space="preserve"> </w:t>
      </w:r>
      <w:r w:rsidRPr="0093651C">
        <w:rPr>
          <w:lang w:eastAsia="hr-HR" w:val="en-US"/>
        </w:rPr>
        <w:t>obveze</w:t>
      </w:r>
      <w:r w:rsidRPr="0093651C">
        <w:rPr>
          <w:lang w:eastAsia="hr-HR"/>
        </w:rPr>
        <w:t xml:space="preserve"> </w:t>
      </w:r>
      <w:r w:rsidRPr="0093651C">
        <w:rPr>
          <w:lang w:eastAsia="hr-HR" w:val="en-US"/>
        </w:rPr>
        <w:t>prema</w:t>
      </w:r>
      <w:r w:rsidRPr="0093651C">
        <w:rPr>
          <w:lang w:eastAsia="hr-HR"/>
        </w:rPr>
        <w:t xml:space="preserve"> </w:t>
      </w:r>
      <w:r w:rsidRPr="0093651C">
        <w:rPr>
          <w:lang w:eastAsia="hr-HR" w:val="en-US"/>
        </w:rPr>
        <w:t>vjerovnicima</w:t>
      </w:r>
      <w:r w:rsidRPr="0093651C">
        <w:rPr>
          <w:lang w:eastAsia="hr-HR"/>
        </w:rPr>
        <w:t xml:space="preserve"> č</w:t>
      </w:r>
      <w:r w:rsidRPr="0093651C">
        <w:rPr>
          <w:lang w:eastAsia="hr-HR" w:val="en-US"/>
        </w:rPr>
        <w:t>ije</w:t>
      </w:r>
      <w:r w:rsidRPr="0093651C">
        <w:rPr>
          <w:lang w:eastAsia="hr-HR"/>
        </w:rPr>
        <w:t xml:space="preserve"> </w:t>
      </w:r>
      <w:r w:rsidRPr="0093651C">
        <w:rPr>
          <w:lang w:eastAsia="hr-HR" w:val="en-US"/>
        </w:rPr>
        <w:t>su</w:t>
      </w:r>
      <w:r w:rsidRPr="0093651C">
        <w:rPr>
          <w:lang w:eastAsia="hr-HR"/>
        </w:rPr>
        <w:t xml:space="preserve">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manje</w:t>
      </w:r>
      <w:r w:rsidRPr="0093651C">
        <w:rPr>
          <w:lang w:eastAsia="hr-HR"/>
        </w:rPr>
        <w:t xml:space="preserve"> </w:t>
      </w:r>
      <w:r w:rsidRPr="0093651C">
        <w:rPr>
          <w:lang w:eastAsia="hr-HR" w:val="en-US"/>
        </w:rPr>
        <w:t>od</w:t>
      </w:r>
      <w:r w:rsidRPr="0093651C">
        <w:rPr>
          <w:lang w:eastAsia="hr-HR"/>
        </w:rPr>
        <w:t xml:space="preserve"> 500.000,00 </w:t>
      </w:r>
      <w:r w:rsidRPr="0093651C">
        <w:rPr>
          <w:lang w:eastAsia="hr-HR" w:val="en-US"/>
        </w:rPr>
        <w:t>kn</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iznosu</w:t>
      </w:r>
      <w:r w:rsidRPr="0093651C">
        <w:rPr>
          <w:lang w:eastAsia="hr-HR"/>
        </w:rPr>
        <w:t xml:space="preserve"> </w:t>
      </w:r>
      <w:r w:rsidRPr="0093651C">
        <w:rPr>
          <w:lang w:eastAsia="hr-HR" w:val="en-US"/>
        </w:rPr>
        <w:t>od</w:t>
      </w:r>
      <w:r w:rsidRPr="0093651C">
        <w:rPr>
          <w:lang w:eastAsia="hr-HR"/>
        </w:rPr>
        <w:t xml:space="preserve"> 763.978,46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pla</w:t>
      </w:r>
      <w:r w:rsidRPr="0093651C">
        <w:rPr>
          <w:lang w:eastAsia="hr-HR"/>
        </w:rPr>
        <w:t>ć</w:t>
      </w:r>
      <w:r w:rsidRPr="0093651C">
        <w:rPr>
          <w:lang w:eastAsia="hr-HR" w:val="en-US"/>
        </w:rPr>
        <w:t>anje</w:t>
      </w:r>
      <w:r w:rsidRPr="0093651C">
        <w:rPr>
          <w:lang w:eastAsia="hr-HR"/>
        </w:rPr>
        <w:t xml:space="preserve"> </w:t>
      </w:r>
      <w:r w:rsidRPr="0093651C">
        <w:rPr>
          <w:lang w:eastAsia="hr-HR" w:val="en-US"/>
        </w:rPr>
        <w:t>u</w:t>
      </w:r>
      <w:r w:rsidRPr="0093651C">
        <w:rPr>
          <w:lang w:eastAsia="hr-HR"/>
        </w:rPr>
        <w:t xml:space="preserve"> 48 </w:t>
      </w:r>
      <w:r w:rsidRPr="0093651C">
        <w:rPr>
          <w:lang w:eastAsia="hr-HR" w:val="en-US"/>
        </w:rPr>
        <w:t>mjese</w:t>
      </w:r>
      <w:r w:rsidRPr="0093651C">
        <w:rPr>
          <w:lang w:eastAsia="hr-HR"/>
        </w:rPr>
        <w:t>č</w:t>
      </w:r>
      <w:r w:rsidRPr="0093651C">
        <w:rPr>
          <w:lang w:eastAsia="hr-HR" w:val="en-US"/>
        </w:rPr>
        <w:t>na</w:t>
      </w:r>
      <w:r w:rsidRPr="0093651C">
        <w:rPr>
          <w:lang w:eastAsia="hr-HR"/>
        </w:rPr>
        <w:t xml:space="preserve"> </w:t>
      </w:r>
      <w:r w:rsidRPr="0093651C">
        <w:rPr>
          <w:lang w:eastAsia="hr-HR" w:val="en-US"/>
        </w:rPr>
        <w:t>obroka</w:t>
      </w:r>
      <w:r w:rsidRPr="0093651C">
        <w:rPr>
          <w:lang w:eastAsia="hr-HR"/>
        </w:rPr>
        <w:t xml:space="preserve"> </w:t>
      </w:r>
      <w:r w:rsidRPr="0093651C">
        <w:rPr>
          <w:lang w:eastAsia="hr-HR" w:val="en-US"/>
        </w:rPr>
        <w:t>bez</w:t>
      </w:r>
      <w:r w:rsidRPr="0093651C">
        <w:rPr>
          <w:lang w:eastAsia="hr-HR"/>
        </w:rPr>
        <w:t xml:space="preserve"> </w:t>
      </w:r>
      <w:r w:rsidRPr="0093651C">
        <w:rPr>
          <w:lang w:eastAsia="hr-HR" w:val="en-US"/>
        </w:rPr>
        <w:t>kamata</w:t>
      </w:r>
      <w:r w:rsidRPr="0093651C">
        <w:rPr>
          <w:lang w:eastAsia="hr-HR"/>
        </w:rPr>
        <w:t xml:space="preserve">, </w:t>
      </w:r>
      <w:r w:rsidRPr="0093651C">
        <w:rPr>
          <w:lang w:eastAsia="hr-HR" w:val="en-US"/>
        </w:rPr>
        <w:t>uz</w:t>
      </w:r>
      <w:r w:rsidRPr="0093651C">
        <w:rPr>
          <w:lang w:eastAsia="hr-HR"/>
        </w:rPr>
        <w:t xml:space="preserve"> </w:t>
      </w:r>
      <w:r w:rsidRPr="0093651C">
        <w:rPr>
          <w:lang w:eastAsia="hr-HR" w:val="en-US"/>
        </w:rPr>
        <w:t>otpis</w:t>
      </w:r>
      <w:r w:rsidRPr="0093651C">
        <w:rPr>
          <w:lang w:eastAsia="hr-HR"/>
        </w:rPr>
        <w:t xml:space="preserve"> 50 %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i</w:t>
      </w:r>
      <w:r w:rsidRPr="0093651C">
        <w:rPr>
          <w:lang w:eastAsia="hr-HR"/>
        </w:rPr>
        <w:t xml:space="preserve"> </w:t>
      </w:r>
      <w:r w:rsidRPr="0093651C">
        <w:rPr>
          <w:lang w:eastAsia="hr-HR" w:val="en-US"/>
        </w:rPr>
        <w:t>uz</w:t>
      </w:r>
      <w:r w:rsidRPr="0093651C">
        <w:rPr>
          <w:lang w:eastAsia="hr-HR"/>
        </w:rPr>
        <w:t xml:space="preserve"> 12 </w:t>
      </w:r>
      <w:r w:rsidRPr="0093651C">
        <w:rPr>
          <w:lang w:eastAsia="hr-HR" w:val="en-US"/>
        </w:rPr>
        <w:t>mjeseca</w:t>
      </w:r>
      <w:r w:rsidRPr="0093651C">
        <w:rPr>
          <w:lang w:eastAsia="hr-HR"/>
        </w:rPr>
        <w:t xml:space="preserve"> </w:t>
      </w:r>
      <w:r w:rsidRPr="0093651C">
        <w:rPr>
          <w:lang w:eastAsia="hr-HR" w:val="en-US"/>
        </w:rPr>
        <w:t>po</w:t>
      </w:r>
      <w:r w:rsidRPr="0093651C">
        <w:rPr>
          <w:lang w:eastAsia="hr-HR"/>
        </w:rPr>
        <w:t>č</w:t>
      </w:r>
      <w:r w:rsidRPr="0093651C">
        <w:rPr>
          <w:lang w:eastAsia="hr-HR" w:val="en-US"/>
        </w:rPr>
        <w:t>eka</w:t>
      </w:r>
      <w:r w:rsidRPr="0093651C">
        <w:rPr>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val="en-US"/>
        </w:rPr>
        <w:t>Dru</w:t>
      </w:r>
      <w:r w:rsidRPr="0093651C">
        <w:rPr>
          <w:lang w:eastAsia="hr-HR"/>
        </w:rPr>
        <w:t>š</w:t>
      </w:r>
      <w:r w:rsidRPr="0093651C">
        <w:rPr>
          <w:lang w:eastAsia="hr-HR" w:val="en-US"/>
        </w:rPr>
        <w:t>tvo</w:t>
      </w:r>
      <w:r w:rsidRPr="0093651C">
        <w:rPr>
          <w:lang w:eastAsia="hr-HR"/>
        </w:rPr>
        <w:t xml:space="preserve"> </w:t>
      </w:r>
      <w:r w:rsidRPr="0093651C">
        <w:rPr>
          <w:lang w:eastAsia="hr-HR" w:val="en-US"/>
        </w:rPr>
        <w:t>ima</w:t>
      </w:r>
      <w:r w:rsidRPr="0093651C">
        <w:rPr>
          <w:lang w:eastAsia="hr-HR"/>
        </w:rPr>
        <w:t xml:space="preserve"> </w:t>
      </w:r>
      <w:r w:rsidRPr="0093651C">
        <w:rPr>
          <w:lang w:eastAsia="hr-HR" w:val="en-US"/>
        </w:rPr>
        <w:t>obveze</w:t>
      </w:r>
      <w:r w:rsidRPr="0093651C">
        <w:rPr>
          <w:lang w:eastAsia="hr-HR"/>
        </w:rPr>
        <w:t xml:space="preserve"> </w:t>
      </w:r>
      <w:r w:rsidRPr="0093651C">
        <w:rPr>
          <w:lang w:eastAsia="hr-HR" w:val="en-US"/>
        </w:rPr>
        <w:t>prema</w:t>
      </w:r>
      <w:r w:rsidRPr="0093651C">
        <w:rPr>
          <w:lang w:eastAsia="hr-HR"/>
        </w:rPr>
        <w:t xml:space="preserve"> </w:t>
      </w:r>
      <w:r w:rsidRPr="0093651C">
        <w:rPr>
          <w:lang w:eastAsia="hr-HR" w:val="en-US"/>
        </w:rPr>
        <w:t>vjerovnicima</w:t>
      </w:r>
      <w:r w:rsidRPr="0093651C">
        <w:rPr>
          <w:lang w:eastAsia="hr-HR"/>
        </w:rPr>
        <w:t xml:space="preserve"> č</w:t>
      </w:r>
      <w:r w:rsidRPr="0093651C">
        <w:rPr>
          <w:lang w:eastAsia="hr-HR" w:val="en-US"/>
        </w:rPr>
        <w:t>ije</w:t>
      </w:r>
      <w:r w:rsidRPr="0093651C">
        <w:rPr>
          <w:lang w:eastAsia="hr-HR"/>
        </w:rPr>
        <w:t xml:space="preserve"> </w:t>
      </w:r>
      <w:r w:rsidRPr="0093651C">
        <w:rPr>
          <w:lang w:eastAsia="hr-HR" w:val="en-US"/>
        </w:rPr>
        <w:t>su</w:t>
      </w:r>
      <w:r w:rsidRPr="0093651C">
        <w:rPr>
          <w:lang w:eastAsia="hr-HR"/>
        </w:rPr>
        <w:t xml:space="preserve">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utvr</w:t>
      </w:r>
      <w:r w:rsidRPr="0093651C">
        <w:rPr>
          <w:lang w:eastAsia="hr-HR"/>
        </w:rPr>
        <w:t>đ</w:t>
      </w:r>
      <w:r w:rsidRPr="0093651C">
        <w:rPr>
          <w:lang w:eastAsia="hr-HR" w:val="en-US"/>
        </w:rPr>
        <w:t>ene</w:t>
      </w:r>
      <w:r w:rsidRPr="0093651C">
        <w:rPr>
          <w:lang w:eastAsia="hr-HR"/>
        </w:rPr>
        <w:t xml:space="preserve"> </w:t>
      </w:r>
      <w:r w:rsidRPr="0093651C">
        <w:rPr>
          <w:lang w:eastAsia="hr-HR" w:val="en-US"/>
        </w:rPr>
        <w:t>temeljem</w:t>
      </w:r>
      <w:r w:rsidRPr="0093651C">
        <w:rPr>
          <w:lang w:eastAsia="hr-HR"/>
        </w:rPr>
        <w:t xml:space="preserve"> </w:t>
      </w:r>
      <w:r w:rsidRPr="0093651C">
        <w:rPr>
          <w:lang w:eastAsia="hr-HR" w:val="en-US"/>
        </w:rPr>
        <w:t>danih</w:t>
      </w:r>
      <w:r w:rsidRPr="0093651C">
        <w:rPr>
          <w:lang w:eastAsia="hr-HR"/>
        </w:rPr>
        <w:t xml:space="preserve"> </w:t>
      </w:r>
      <w:r w:rsidRPr="0093651C">
        <w:rPr>
          <w:lang w:eastAsia="hr-HR" w:val="en-US"/>
        </w:rPr>
        <w:t>jamstava</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ukupnom</w:t>
      </w:r>
      <w:r w:rsidRPr="0093651C">
        <w:rPr>
          <w:lang w:eastAsia="hr-HR"/>
        </w:rPr>
        <w:t xml:space="preserve"> </w:t>
      </w:r>
      <w:r w:rsidRPr="0093651C">
        <w:rPr>
          <w:lang w:eastAsia="hr-HR" w:val="en-US"/>
        </w:rPr>
        <w:t>iznosu</w:t>
      </w:r>
      <w:r w:rsidRPr="0093651C">
        <w:rPr>
          <w:lang w:eastAsia="hr-HR"/>
        </w:rPr>
        <w:t xml:space="preserve"> </w:t>
      </w:r>
      <w:r w:rsidRPr="0093651C">
        <w:rPr>
          <w:lang w:eastAsia="hr-HR" w:val="en-US"/>
        </w:rPr>
        <w:t>od</w:t>
      </w:r>
      <w:r w:rsidRPr="0093651C">
        <w:rPr>
          <w:lang w:eastAsia="hr-HR"/>
        </w:rPr>
        <w:t xml:space="preserve"> 16.706.081,94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slu</w:t>
      </w:r>
      <w:r w:rsidRPr="0093651C">
        <w:rPr>
          <w:lang w:eastAsia="hr-HR"/>
        </w:rPr>
        <w:t>č</w:t>
      </w:r>
      <w:r w:rsidRPr="0093651C">
        <w:rPr>
          <w:lang w:eastAsia="hr-HR" w:val="en-US"/>
        </w:rPr>
        <w:t>aju</w:t>
      </w:r>
      <w:r w:rsidRPr="0093651C">
        <w:rPr>
          <w:lang w:eastAsia="hr-HR"/>
        </w:rPr>
        <w:t xml:space="preserve"> </w:t>
      </w:r>
      <w:r w:rsidRPr="0093651C">
        <w:rPr>
          <w:lang w:eastAsia="hr-HR" w:val="en-US"/>
        </w:rPr>
        <w:t>pla</w:t>
      </w:r>
      <w:r w:rsidRPr="0093651C">
        <w:rPr>
          <w:lang w:eastAsia="hr-HR"/>
        </w:rPr>
        <w:t>ć</w:t>
      </w:r>
      <w:r w:rsidRPr="0093651C">
        <w:rPr>
          <w:lang w:eastAsia="hr-HR" w:val="en-US"/>
        </w:rPr>
        <w:t>anja</w:t>
      </w:r>
      <w:r w:rsidRPr="0093651C">
        <w:rPr>
          <w:lang w:eastAsia="hr-HR"/>
        </w:rPr>
        <w:t xml:space="preserve"> </w:t>
      </w:r>
      <w:r w:rsidRPr="0093651C">
        <w:rPr>
          <w:lang w:eastAsia="hr-HR" w:val="en-US"/>
        </w:rPr>
        <w:t>predmetnih</w:t>
      </w:r>
      <w:r w:rsidRPr="0093651C">
        <w:rPr>
          <w:lang w:eastAsia="hr-HR"/>
        </w:rPr>
        <w:t xml:space="preserve"> </w:t>
      </w:r>
      <w:r w:rsidRPr="0093651C">
        <w:rPr>
          <w:lang w:eastAsia="hr-HR" w:val="en-US"/>
        </w:rPr>
        <w:t>obveza</w:t>
      </w:r>
      <w:r w:rsidRPr="0093651C">
        <w:rPr>
          <w:lang w:eastAsia="hr-HR"/>
        </w:rPr>
        <w:t xml:space="preserve"> </w:t>
      </w:r>
      <w:r w:rsidRPr="0093651C">
        <w:rPr>
          <w:lang w:eastAsia="hr-HR" w:val="en-US"/>
        </w:rPr>
        <w:t>od</w:t>
      </w:r>
      <w:r w:rsidRPr="0093651C">
        <w:rPr>
          <w:lang w:eastAsia="hr-HR"/>
        </w:rPr>
        <w:t xml:space="preserve"> </w:t>
      </w:r>
      <w:r w:rsidRPr="0093651C">
        <w:rPr>
          <w:lang w:eastAsia="hr-HR" w:val="en-US"/>
        </w:rPr>
        <w:t>strane</w:t>
      </w:r>
      <w:r w:rsidRPr="0093651C">
        <w:rPr>
          <w:lang w:eastAsia="hr-HR"/>
        </w:rPr>
        <w:t xml:space="preserve"> </w:t>
      </w:r>
      <w:r w:rsidRPr="0093651C">
        <w:rPr>
          <w:lang w:eastAsia="hr-HR" w:val="en-US"/>
        </w:rPr>
        <w:t>vjerovnika</w:t>
      </w:r>
      <w:r w:rsidRPr="0093651C">
        <w:rPr>
          <w:lang w:eastAsia="hr-HR"/>
        </w:rPr>
        <w:t xml:space="preserve">, </w:t>
      </w:r>
      <w:r w:rsidRPr="0093651C">
        <w:rPr>
          <w:lang w:eastAsia="hr-HR" w:val="en-US"/>
        </w:rPr>
        <w:t>istima</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pla</w:t>
      </w:r>
      <w:r w:rsidRPr="0093651C">
        <w:rPr>
          <w:lang w:eastAsia="hr-HR"/>
        </w:rPr>
        <w:t>ć</w:t>
      </w:r>
      <w:r w:rsidRPr="0093651C">
        <w:rPr>
          <w:lang w:eastAsia="hr-HR" w:val="en-US"/>
        </w:rPr>
        <w:t>anje</w:t>
      </w:r>
      <w:r w:rsidRPr="0093651C">
        <w:rPr>
          <w:lang w:eastAsia="hr-HR"/>
        </w:rPr>
        <w:t xml:space="preserve"> </w:t>
      </w:r>
      <w:r w:rsidRPr="0093651C">
        <w:rPr>
          <w:lang w:eastAsia="hr-HR" w:val="en-US"/>
        </w:rPr>
        <w:t>u</w:t>
      </w:r>
      <w:r w:rsidRPr="0093651C">
        <w:rPr>
          <w:lang w:eastAsia="hr-HR"/>
        </w:rPr>
        <w:t xml:space="preserve"> 48 </w:t>
      </w:r>
      <w:r w:rsidRPr="0093651C">
        <w:rPr>
          <w:lang w:eastAsia="hr-HR" w:val="en-US"/>
        </w:rPr>
        <w:t>mjese</w:t>
      </w:r>
      <w:r w:rsidRPr="0093651C">
        <w:rPr>
          <w:lang w:eastAsia="hr-HR"/>
        </w:rPr>
        <w:t>č</w:t>
      </w:r>
      <w:r w:rsidRPr="0093651C">
        <w:rPr>
          <w:lang w:eastAsia="hr-HR" w:val="en-US"/>
        </w:rPr>
        <w:t>na</w:t>
      </w:r>
      <w:r w:rsidRPr="0093651C">
        <w:rPr>
          <w:lang w:eastAsia="hr-HR"/>
        </w:rPr>
        <w:t xml:space="preserve"> </w:t>
      </w:r>
      <w:r w:rsidRPr="0093651C">
        <w:rPr>
          <w:lang w:eastAsia="hr-HR" w:val="en-US"/>
        </w:rPr>
        <w:t>obroka</w:t>
      </w:r>
      <w:r w:rsidRPr="0093651C">
        <w:rPr>
          <w:lang w:eastAsia="hr-HR"/>
        </w:rPr>
        <w:t xml:space="preserve"> </w:t>
      </w:r>
      <w:r w:rsidRPr="0093651C">
        <w:rPr>
          <w:lang w:eastAsia="hr-HR" w:val="en-US"/>
        </w:rPr>
        <w:t>bez</w:t>
      </w:r>
      <w:r w:rsidRPr="0093651C">
        <w:rPr>
          <w:lang w:eastAsia="hr-HR"/>
        </w:rPr>
        <w:t xml:space="preserve"> </w:t>
      </w:r>
      <w:r w:rsidRPr="0093651C">
        <w:rPr>
          <w:lang w:eastAsia="hr-HR" w:val="en-US"/>
        </w:rPr>
        <w:t>kamata</w:t>
      </w:r>
      <w:r w:rsidRPr="0093651C">
        <w:rPr>
          <w:lang w:eastAsia="hr-HR"/>
        </w:rPr>
        <w:t xml:space="preserve">, </w:t>
      </w:r>
      <w:r w:rsidRPr="0093651C">
        <w:rPr>
          <w:lang w:eastAsia="hr-HR" w:val="en-US"/>
        </w:rPr>
        <w:t>uz</w:t>
      </w:r>
      <w:r w:rsidRPr="0093651C">
        <w:rPr>
          <w:lang w:eastAsia="hr-HR"/>
        </w:rPr>
        <w:t xml:space="preserve"> </w:t>
      </w:r>
      <w:r w:rsidRPr="0093651C">
        <w:rPr>
          <w:lang w:eastAsia="hr-HR" w:val="en-US"/>
        </w:rPr>
        <w:t>otpis</w:t>
      </w:r>
      <w:r w:rsidRPr="0093651C">
        <w:rPr>
          <w:lang w:eastAsia="hr-HR"/>
        </w:rPr>
        <w:t xml:space="preserve"> 50 %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i</w:t>
      </w:r>
      <w:r w:rsidRPr="0093651C">
        <w:rPr>
          <w:lang w:eastAsia="hr-HR"/>
        </w:rPr>
        <w:t xml:space="preserve"> </w:t>
      </w:r>
      <w:r w:rsidRPr="0093651C">
        <w:rPr>
          <w:lang w:eastAsia="hr-HR" w:val="en-US"/>
        </w:rPr>
        <w:t>uz</w:t>
      </w:r>
      <w:r w:rsidRPr="0093651C">
        <w:rPr>
          <w:lang w:eastAsia="hr-HR"/>
        </w:rPr>
        <w:t xml:space="preserve"> 12 </w:t>
      </w:r>
      <w:r w:rsidRPr="0093651C">
        <w:rPr>
          <w:lang w:eastAsia="hr-HR" w:val="en-US"/>
        </w:rPr>
        <w:t>mjeseca</w:t>
      </w:r>
      <w:r w:rsidRPr="0093651C">
        <w:rPr>
          <w:lang w:eastAsia="hr-HR"/>
        </w:rPr>
        <w:t xml:space="preserve"> </w:t>
      </w:r>
      <w:r w:rsidRPr="0093651C">
        <w:rPr>
          <w:lang w:eastAsia="hr-HR" w:val="en-US"/>
        </w:rPr>
        <w:t>po</w:t>
      </w:r>
      <w:r w:rsidRPr="0093651C">
        <w:rPr>
          <w:lang w:eastAsia="hr-HR"/>
        </w:rPr>
        <w:t>č</w:t>
      </w:r>
      <w:r w:rsidRPr="0093651C">
        <w:rPr>
          <w:lang w:eastAsia="hr-HR" w:val="en-US"/>
        </w:rPr>
        <w:t>eka</w:t>
      </w:r>
      <w:r w:rsidRPr="0093651C">
        <w:rPr>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center"/>
        <w:rPr>
          <w:lang w:eastAsia="hr-HR"/>
        </w:rPr>
      </w:pPr>
      <w:r w:rsidRPr="0093651C">
        <w:rPr>
          <w:b/>
          <w:bCs/>
          <w:lang w:eastAsia="hr-HR"/>
        </w:rPr>
        <w:lastRenderedPageBreak/>
        <w:t xml:space="preserve">V. </w:t>
      </w:r>
    </w:p>
    <w:p w:rsidRDefault="0093651C" w:rsidP="0093651C" w:rsidR="0093651C" w:rsidRPr="0093651C">
      <w:pPr>
        <w:suppressAutoHyphens/>
        <w:spacing w:lineRule="atLeast" w:line="100"/>
        <w:jc w:val="center"/>
        <w:rPr>
          <w:lang w:eastAsia="hr-HR"/>
        </w:rPr>
      </w:pPr>
    </w:p>
    <w:p w:rsidRDefault="0093651C" w:rsidP="0093651C" w:rsidR="0093651C" w:rsidRPr="0093651C">
      <w:pPr>
        <w:suppressAutoHyphens/>
        <w:spacing w:lineRule="atLeast" w:line="100"/>
        <w:jc w:val="both"/>
        <w:rPr>
          <w:lang w:eastAsia="x-none"/>
        </w:rPr>
      </w:pPr>
      <w:r w:rsidRPr="0093651C">
        <w:rPr>
          <w:lang w:eastAsia="x-none"/>
        </w:rPr>
        <w:t>Stranke ovom Nagodbom utvrđuju da su suglasne da se utvrđene tražbine vjerovnika iz točke II. ove Nagodbe, sukladno prihvaćenom Izmijenjenom planu financijskog restrukturiranja namire na način da:</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after="120"/>
        <w:jc w:val="both"/>
        <w:rPr>
          <w:b/>
          <w:sz w:val="16"/>
          <w:szCs w:val="16"/>
          <w:lang w:eastAsia="x-none"/>
        </w:rPr>
      </w:pPr>
      <w:r w:rsidRPr="0093651C">
        <w:rPr>
          <w:b/>
          <w:sz w:val="16"/>
          <w:szCs w:val="16"/>
          <w:lang w:eastAsia="x-none"/>
        </w:rPr>
        <w:t>1.  GRUPA TIJELA JAVNE UPRAVE I TRGOVAČKA DRUŠTVA U VEĆINSKOM  DRŽAVNOM VLASNIŠTVU</w:t>
      </w: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color w:val="000000"/>
          <w:lang w:eastAsia="hr-HR"/>
        </w:rPr>
      </w:pPr>
      <w:r w:rsidRPr="0093651C">
        <w:rPr>
          <w:lang w:eastAsia="hr-HR"/>
        </w:rPr>
        <w:t>-</w:t>
      </w:r>
      <w:r w:rsidRPr="0093651C">
        <w:rPr>
          <w:lang w:eastAsia="hr-HR"/>
        </w:rPr>
        <w:tab/>
        <w:t>dužnik GRAĐENJE HERC d.o.o., obvezuje se vjerovniku Hrvatske vode, Ulica grada Vukovara 220, Zagreb, OIB 28921383001 namiriti 40% ukupne utvrđene tražbine  iz točke II. ove Nagodbe, te da smanjena tražbina vjerovnika Hrvatske vode, Ulica grada Vukovara 220, Zagreb, OIB 28921383001  iznosi 1.095.922,00 kn, a da će navedenu smanjenu tražbinu dužnik GRAĐENJE HERC d.o.o. otplaćivati u 48 (četrdeset osam) mjesečnih rata, beskamatno, u roku od 4 godine, uz godinu dana počeka na način da:</w:t>
      </w:r>
      <w:r w:rsidRPr="0093651C">
        <w:rPr>
          <w:color w:val="000000"/>
          <w:lang w:eastAsia="hr-HR"/>
        </w:rPr>
        <w:t xml:space="preserve"> </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1176"/>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w:t>
      </w:r>
      <w:r w:rsidRPr="0093651C">
        <w:rPr>
          <w:lang w:eastAsia="hr-HR"/>
        </w:rPr>
        <w:tab/>
        <w:t>dužnik GRAĐENJE HERC d.o.o., obvezuje se vjerovniku HEP -Operator distribucijskog sustava d.o.o., Gundulićeva 32, Zagreb,OIB 46830600751 namiriti 40% ukupne utvrđene tražbine  iz točke II. ove Nagodbe, te da smanjena tražbina vjerovnika HEP -Operator distribucijskog sustava d.o.o., Gundulićeva 32, Zagreb,OIB 46830600751  iznosi 5,58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636"/>
        <w:gridCol w:w="1076"/>
        <w:gridCol w:w="1356"/>
        <w:gridCol w:w="870"/>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Grad Zagreb, Trg Stjepana radića, Zagreb, OIB 61817894937 namiriti 40% ukupne utvrđene tražbine  iz točke II. ove Nagodbe, te da smanjena tražbina vjerovnika Grad Zagreb, Trg Stjepana radića, Zagreb, OIB 61817894937 iznosi 2.527.584,00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1176"/>
        <w:gridCol w:w="1076"/>
        <w:gridCol w:w="1356"/>
        <w:gridCol w:w="870"/>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rPr>
                <w:color w:val="000000"/>
                <w:lang w:eastAsia="hr-HR"/>
              </w:rPr>
            </w:pPr>
            <w:r w:rsidRPr="0093651C">
              <w:rPr>
                <w:color w:val="000000"/>
                <w:lang w:eastAsia="hr-HR" w:val="en-US"/>
              </w:rPr>
              <w:t>15.09.2018.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15.10.2018.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15.11.2018.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15.12.2018.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15.01.2019.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15.02.2019.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15.03.2019.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15.04.2019.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15.05.2019.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15.06.2019.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15.07.2019.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15.08.2019.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15.09.2019.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15.10.2019.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15.11.2019.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15.12.2019.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15.01.2020.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15.02.2020.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15.03.2020.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15.04.2020.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15.05.2020.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15.06.2020.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15.07.2020.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15.08.2020.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15.09.2020.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15.10.2020.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15.11.2020.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15.12.2020.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15.01.2021.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15.02.2021.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15.03.2021.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15.04.2021.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15.05.2021.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15.06.2021.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15.07.2021.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15.08.2021.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15.09.2021.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15.10.2021.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15.11.2021.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15.12.2021.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15.01.2022.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15.02.2022.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15.03.2022.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15.04.2022.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15.05.2022.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15.06.2022.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15.07.2022.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15.08.2022.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 xml:space="preserve">dužnik GRAĐENJE HERC d.o.o., obvezuje se vjerovniku Ministarstvo financija, Katančićeva 5, Zagreb, OIB 1868313648 namiriti 40% ukupne utvrđene tražbine  iz točke II. ove </w:t>
      </w:r>
      <w:r w:rsidRPr="0093651C">
        <w:rPr>
          <w:lang w:eastAsia="hr-HR"/>
        </w:rPr>
        <w:lastRenderedPageBreak/>
        <w:t>Nagodbe, te da smanjena tražbina vjerovnika Ministarstvo financija, Katančićeva 5, Zagreb, OIB 1868313648 iznosi 66.126,68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tbl>
      <w:tblPr>
        <w:tblW w:type="auto" w:w="0"/>
        <w:tblLook w:val="04A0" w:noVBand="1" w:noHBand="0" w:lastColumn="0" w:firstColumn="1" w:lastRow="0" w:firstRow="1"/>
      </w:tblPr>
      <w:tblGrid>
        <w:gridCol w:w="456"/>
        <w:gridCol w:w="836"/>
        <w:gridCol w:w="1323"/>
        <w:gridCol w:w="1056"/>
        <w:gridCol w:w="1076"/>
        <w:gridCol w:w="1356"/>
        <w:gridCol w:w="870"/>
      </w:tblGrid>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lastRenderedPageBreak/>
              <w:t>42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Hrvatske šume d.o.o., Lj. F. Vukotinovića 2, Zagreb, OIB 69693144506 namiriti 40% ukupne utvrđene tražbine  iz točke II. ove Nagodbe, te da smanjena tražbina vjerovnika Hrvatske šume d.o.o., Lj. F. Vukotinovića 2, Zagreb, OIB 69693144506 iznosi 167,36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95"/>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Javni bilježnik JOZO ROTIM, Trg Johna Kennedyja 6b, Zagreb, OIB 15618163660 namiriti 40% ukupne utvrđene tražbine  iz točke II. ove Nagodbe, te da smanjena tražbina vjerovnika Javni bilježnik JOZO ROTIM, Trg Johna Kennedyja 6b, Zagreb, OIB 15618163660</w:t>
      </w:r>
    </w:p>
    <w:p w:rsidRDefault="0093651C" w:rsidP="0093651C" w:rsidR="0093651C" w:rsidRPr="0093651C">
      <w:pPr>
        <w:suppressAutoHyphens/>
        <w:spacing w:lineRule="atLeast" w:line="100"/>
        <w:jc w:val="both"/>
        <w:rPr>
          <w:lang w:eastAsia="hr-HR"/>
        </w:rPr>
      </w:pPr>
      <w:r w:rsidRPr="0093651C">
        <w:rPr>
          <w:lang w:eastAsia="hr-HR"/>
        </w:rPr>
        <w:t>iznosi 8.945,48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61"/>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Javni bilježnik JOŽICA MATKO RUŽDJAK, Kneza Višeslava 2, Zagreb, OIB 23556614682 namiriti 40% ukupne utvrđene tražbine  iz točke II. ove Nagodbe, te da smanjena tražbina vjerovnika Javni bilježnik JOŽICA MATKO RUŽDJAK, Kneza Višeslava 2, Zagreb, OIB 23556614682 iznosi 484,00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61"/>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 xml:space="preserve">dužnik GRAĐENJE HERC d.o.o., obvezuje se vjerovniku Hrvatska gospodarska komora, Roosveltov trg 2, Zagreb, OIB 85167032587 namiriti 40% ukupne utvrđene tražbine  iz točke II. </w:t>
      </w:r>
      <w:r w:rsidRPr="0093651C">
        <w:rPr>
          <w:lang w:eastAsia="hr-HR"/>
        </w:rPr>
        <w:lastRenderedPageBreak/>
        <w:t>ove Nagodbe, te da smanjena tražbina vjerovnika Hrvatska gospodarska komora, Roosveltov trg 2, Zagreb, OIB 85167032587 iznosi 645,85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61"/>
        <w:gridCol w:w="1134"/>
        <w:gridCol w:w="1356"/>
        <w:gridCol w:w="1275"/>
      </w:tblGrid>
      <w:tr w:rsidTr="0093651C" w:rsidR="0093651C" w:rsidRPr="0093651C">
        <w:trPr>
          <w:trHeight w:val="189"/>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Partner banka d.d., Vončinina, Zagreb, OIB 71221608291 namiriti 100% ukupne utvrđene tražbine  iz točke II. ove Nagodbe, te da tražbina vjerovnika Partner banka d.d., Vončinina, Zagreb, OIB 71221608291 iznosi 116,00 kn, a da će navedenu tražbinu dužnik GRAĐENJE HERC d.o.o. otplatiti odjednom, u roku od 30 dana od dana potvrde nagodbe na Trgovačkom sudu.</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 xml:space="preserve">- dužnik GRAĐENJE HERC d.o.o., obvezuje se vjerovniku </w:t>
      </w:r>
      <w:r w:rsidRPr="0093651C">
        <w:rPr>
          <w:color w:val="000000"/>
          <w:lang w:eastAsia="hr-HR"/>
        </w:rPr>
        <w:t xml:space="preserve">A.M. Patačić d.o.o., Aleja Hrvatske mladeži 45, Zagreb, OIB </w:t>
      </w:r>
      <w:r w:rsidRPr="0093651C">
        <w:rPr>
          <w:lang w:eastAsia="hr-HR"/>
        </w:rPr>
        <w:t xml:space="preserve">30593716926 namiriti 50% ukupne utvrđene tražbine  iz točke II. ove Nagodbe, te da smanjena tražbina vjerovnika </w:t>
      </w:r>
      <w:r w:rsidRPr="0093651C">
        <w:rPr>
          <w:color w:val="000000"/>
          <w:lang w:eastAsia="hr-HR"/>
        </w:rPr>
        <w:t xml:space="preserve">A.M. Patačić d.o.o., Aleja Hrvatske mladeži 45, Zagreb, OIB </w:t>
      </w:r>
      <w:r w:rsidRPr="0093651C">
        <w:rPr>
          <w:lang w:eastAsia="hr-HR"/>
        </w:rPr>
        <w:t>30593716926 iznosi 687,50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61"/>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lang w:eastAsia="hr-HR"/>
        </w:rPr>
      </w:pPr>
      <w:r w:rsidRPr="0093651C">
        <w:rPr>
          <w:lang w:eastAsia="hr-HR"/>
        </w:rPr>
        <w:t>-</w:t>
      </w:r>
      <w:r w:rsidRPr="0093651C">
        <w:rPr>
          <w:lang w:eastAsia="hr-HR"/>
        </w:rPr>
        <w:tab/>
        <w:t>dužnik GRAĐENJE HERC d.o.o., obvezuje se vjerovniku INTERINVEST d.o.o., Safeta zajke 269, Sarajevo, OIB: 11099893718 namiriti 50% ukupne utvrđene tražbine  iz točke II. ove Nagodbe, te da smanjena tražbina vjerovnika INTERINVEST d.o.o., Safeta zajke 269, Sarajevo, OIB:11099893718 iznosi 202.149,00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1056"/>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Vučković Stjepan, Schrottova 37, Zagreb, OIB 20668699654 namiriti 50% ukupne utvrđene tražbine  iz točke II. ove Nagodbe, te da smanjena tražbina vjerovnika Vučković Stjepan, Schrottova 37, Zagreb, OIB 20668699654 iznosi 79.152,80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1056"/>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center"/>
        <w:rPr>
          <w:b/>
          <w:bCs/>
          <w:lang w:eastAsia="hr-HR"/>
        </w:rPr>
      </w:pPr>
    </w:p>
    <w:p w:rsidRDefault="0093651C" w:rsidP="0093651C" w:rsidR="0093651C" w:rsidRPr="0093651C">
      <w:pPr>
        <w:suppressAutoHyphens/>
        <w:spacing w:lineRule="atLeast" w:line="100"/>
        <w:jc w:val="center"/>
        <w:rPr>
          <w:b/>
          <w:bCs/>
          <w:lang w:eastAsia="hr-HR"/>
        </w:rPr>
      </w:pPr>
      <w:r w:rsidRPr="0093651C">
        <w:rPr>
          <w:b/>
          <w:bCs/>
          <w:lang w:eastAsia="hr-HR"/>
        </w:rPr>
        <w:t>VI.</w:t>
      </w:r>
    </w:p>
    <w:p w:rsidRDefault="0093651C" w:rsidP="0093651C" w:rsidR="0093651C" w:rsidRPr="0093651C">
      <w:pPr>
        <w:suppressAutoHyphens/>
        <w:spacing w:lineRule="atLeast" w:line="100"/>
        <w:jc w:val="center"/>
        <w:rPr>
          <w:b/>
          <w:bCs/>
          <w:lang w:eastAsia="hr-HR"/>
        </w:rPr>
      </w:pPr>
    </w:p>
    <w:p w:rsidRDefault="0093651C" w:rsidP="0093651C" w:rsidR="0093651C" w:rsidRPr="0093651C">
      <w:pPr>
        <w:jc w:val="both"/>
        <w:rPr>
          <w:lang w:eastAsia="hr-HR"/>
        </w:rPr>
      </w:pPr>
      <w:r w:rsidRPr="0093651C">
        <w:rPr>
          <w:lang w:eastAsia="hr-HR"/>
        </w:rPr>
        <w:t xml:space="preserve">Vjerovnici FIDUS GRADNJA d.o.o. Oranice 34 Zagreb, OIB 39103538847, Palac Dinko,OIB 95640712687 </w:t>
      </w:r>
      <w:r w:rsidRPr="0093651C">
        <w:rPr>
          <w:lang w:eastAsia="hr-HR" w:val="en-US"/>
        </w:rPr>
        <w:t>I</w:t>
      </w:r>
      <w:r w:rsidRPr="0093651C">
        <w:rPr>
          <w:lang w:eastAsia="hr-HR"/>
        </w:rPr>
        <w:t xml:space="preserve"> Šimunac Tomislav, Mesnička 24, Zagreb, OIB 40157363535 izvršili suprijavu potraživanja po osnovu jamstava za dužnika GRAĐENJE HERC d.o.o. prema Vjerovniku Partner banka d.d., svaki u iznosu od 5.568.693,98 kn.</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U slučaju da FIDUS GRADNJA d.o.o. Oranice 34 Zagreb, OIB 39103538847, Palac Dinko,OIB 95640712687 </w:t>
      </w:r>
      <w:r w:rsidRPr="0093651C">
        <w:rPr>
          <w:lang w:eastAsia="hr-HR" w:val="en-US"/>
        </w:rPr>
        <w:t>I</w:t>
      </w:r>
      <w:r w:rsidRPr="0093651C">
        <w:rPr>
          <w:lang w:eastAsia="hr-HR"/>
        </w:rPr>
        <w:t xml:space="preserve"> Šimunac Tomislav, Mesnička 24, Zagreb, OIB 40157363535 izvrše uplate prema Vjerovniku Partner banka d.d. umjesto dužnika GRAĐENJE HERC d.o.o. i na taj način ostvari regresno pravo prema dužniku GRAĐENJE HERC d.o.o., uplaćena novčana sredstva će istoj biti vraćena od strane dužnika GRAĐENJE HERC d.o.o., sukladno otplatnom planu vjerovnika Vjerovniku Partner banka d.d.</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center"/>
        <w:rPr>
          <w:b/>
          <w:lang w:eastAsia="hr-HR"/>
        </w:rPr>
      </w:pPr>
      <w:r w:rsidRPr="0093651C">
        <w:rPr>
          <w:b/>
          <w:lang w:eastAsia="hr-HR"/>
        </w:rPr>
        <w:t>VII.</w:t>
      </w:r>
    </w:p>
    <w:p w:rsidRDefault="0093651C" w:rsidP="0093651C" w:rsidR="0093651C" w:rsidRPr="0093651C">
      <w:pPr>
        <w:suppressAutoHyphens/>
        <w:spacing w:lineRule="atLeast" w:line="100"/>
        <w:jc w:val="center"/>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Stranke suglasno utvrđuju da ova Nagodba ima snagu ovršne isprave za sve vjerovnike čije su tražbine utvrđene u postupku predstečajne nagodbe koji se vodio nad dužnikom GRAĐENJE HERC d.o.o. vodio pred Financijskom agencijom pod Klasom: </w:t>
      </w:r>
      <w:r w:rsidRPr="0093651C">
        <w:rPr>
          <w:lang w:eastAsia="hr-HR" w:val="en-US"/>
        </w:rPr>
        <w:t>UP</w:t>
      </w:r>
      <w:r w:rsidRPr="0093651C">
        <w:rPr>
          <w:lang w:eastAsia="hr-HR"/>
        </w:rPr>
        <w:t xml:space="preserve"> - </w:t>
      </w:r>
      <w:r w:rsidRPr="0093651C">
        <w:rPr>
          <w:lang w:eastAsia="hr-HR" w:val="en-US"/>
        </w:rPr>
        <w:t>I</w:t>
      </w:r>
      <w:r w:rsidRPr="0093651C">
        <w:rPr>
          <w:lang w:eastAsia="hr-HR"/>
        </w:rPr>
        <w:t>/110/07/15-01/8522.</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Stranke suglasno utvrđuju da ova Nagodba ima snagu i pravne učinke ovršne isprave temeljem koje svaki vjerovnik iz ove Nagodbe može ostvariti tražbinu u smislu točke V. ove Nagodbe prema dužniku GRAĐENJE HERC d.o.o., te da svi vjerovnici zajedno ili svaki pojedinačno mogu ostvariti tražbine u smislu točke V. ove Nagodbe prema dužniku GRAĐENJE HERC d.o.o.</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Stranke suglasno utvrđuju da se dužnik GRAĐENJE HERC d.o.o. oslobođa od obveza namirenja tražbina vjerovnika iz Nagodbe ako namiri tražbine u skladu s točkom V. ove Nagodbe. </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Stranke suglasno utvrđuju da se dužnik GRAĐENJE HERC d.o.o. na temelju ove Nagodbe oslobađa od obveze da vjerovnicima isplati iznos koji je veći od iznosa prihvaćenog u ovoj Nagodbi odnosno, koji je veći od iznosa tražbina u smislu točke V. ove Nagodbe, a rokovi plaćanja se odgađaju u skladu s ovom Nagodbom.</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Stranke utvrđuju da nakon pravomoćnosti rješenja o potvrdi ove Nagodbe nije dopušteno pokretanje ovršnog, upravnog ili parničnog postupka protiv dužnika GRAĐENJE HERC d.o.o. radi utvrđenja i ostvarenja tražbine koja je nastala prije otvaranja postupka predstečajne nagodbe koji se nad dužnikom GRAĐENJE HERC d.o.o.  vodio pred Financijskom agencijom pod Klasom: </w:t>
      </w:r>
      <w:r w:rsidRPr="0093651C">
        <w:rPr>
          <w:lang w:eastAsia="hr-HR" w:val="en-US"/>
        </w:rPr>
        <w:t>UP</w:t>
      </w:r>
      <w:r w:rsidRPr="0093651C">
        <w:rPr>
          <w:lang w:eastAsia="hr-HR"/>
        </w:rPr>
        <w:t xml:space="preserve"> - </w:t>
      </w:r>
      <w:r w:rsidRPr="0093651C">
        <w:rPr>
          <w:lang w:eastAsia="hr-HR" w:val="en-US"/>
        </w:rPr>
        <w:t>I</w:t>
      </w:r>
      <w:r w:rsidRPr="0093651C">
        <w:rPr>
          <w:lang w:eastAsia="hr-HR"/>
        </w:rPr>
        <w:t>/110/07/15-01/8522, a u tom postupku nije prijavljena od strane vjerovnika niti je tu tražbinu dužnik uvrstio u popis obveza prema vjerovnicima iz članka 60. stavka 3. ovoga Zakona.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x-none"/>
        </w:rPr>
      </w:pPr>
      <w:r w:rsidRPr="0093651C">
        <w:rPr>
          <w:lang w:eastAsia="x-none"/>
        </w:rPr>
        <w:t xml:space="preserve">U odnosu na tražbine vjerovnika utvrđene u postupku predstečajne nagodbe koji se nad dužnikom GRAĐENJE HERC d.o.o. vodio pred Financijskom agencijom pod Klasom: </w:t>
      </w:r>
      <w:r w:rsidRPr="0093651C">
        <w:rPr>
          <w:lang w:eastAsia="x-none" w:val="en-US"/>
        </w:rPr>
        <w:t>UP</w:t>
      </w:r>
      <w:r w:rsidRPr="0093651C">
        <w:rPr>
          <w:lang w:eastAsia="x-none"/>
        </w:rPr>
        <w:t xml:space="preserve"> - </w:t>
      </w:r>
      <w:r w:rsidRPr="0093651C">
        <w:rPr>
          <w:lang w:eastAsia="x-none" w:val="en-US"/>
        </w:rPr>
        <w:t>I</w:t>
      </w:r>
      <w:r w:rsidRPr="0093651C">
        <w:rPr>
          <w:lang w:eastAsia="x-none"/>
        </w:rPr>
        <w:t>/110/07/15-</w:t>
      </w:r>
      <w:r w:rsidRPr="0093651C">
        <w:rPr>
          <w:lang w:eastAsia="x-none"/>
        </w:rPr>
        <w:lastRenderedPageBreak/>
        <w:t>01/8522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Ovršne isprave koje se odnose na tražbine iz ove Nagodbe gube pravnu snagu u odnosu na dužnika GRAĐENJE HERC d.o.o.</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Ovršne isprave razlučnih vjerovnika ne gube pravnu snagu glede namirenja na predmetu na kojem postoji razlučno pravo.</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Ako se ova Nagodba potpuno ne izvrši, vjerovnici koji su namireni u smislu točke V. ove Nagodbe nisu dužni vratiti ono što su primili, a tražbine tih vjerovnika smatrat će se potpuno namirenim ako su namireni iznosi utvrđeni u točki V. ove Nagodbe.</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Vjerovnici koji su djelomično namireni u smislu točke V. ove Nagodbe mogu prijaviti u stečajnom postupku koji bi se vodio nad dužnikom GRAĐENJE HERC d.o.o. ukupnu smanjenu tražbinu iz točke V. ove Nagodbe umanjenu za iznos koji se smatra da je po ovoj Nagodbi namiren.</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Vjerovnici koji ni djelomično nisu namireni u smislu točke V. ove Nagodbe mogu prijaviti u stečajnom postupku koji bi se vodio nad dužnikom GRAĐENJE HERC d.o.o. tražbine samo u smanjenim iznosima iz točke IV. ove Nagodbe.</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center"/>
        <w:rPr>
          <w:lang w:eastAsia="hr-HR"/>
        </w:rPr>
      </w:pPr>
      <w:r w:rsidRPr="0093651C">
        <w:rPr>
          <w:b/>
          <w:bCs/>
          <w:lang w:eastAsia="hr-HR"/>
        </w:rPr>
        <w:t>VIII.</w:t>
      </w:r>
    </w:p>
    <w:p w:rsidRDefault="0093651C" w:rsidP="0093651C" w:rsidR="0093651C" w:rsidRPr="0093651C">
      <w:pPr>
        <w:suppressAutoHyphens/>
        <w:spacing w:lineRule="atLeast" w:line="100"/>
        <w:jc w:val="both"/>
        <w:rPr>
          <w:lang w:eastAsia="hr-HR"/>
        </w:rPr>
      </w:pPr>
    </w:p>
    <w:p w:rsidRDefault="0093651C" w:rsidP="0093651C" w:rsidR="00294B89">
      <w:pPr>
        <w:rPr>
          <w:lang w:eastAsia="hr-HR"/>
        </w:rPr>
      </w:pPr>
      <w:r w:rsidRPr="0093651C">
        <w:rPr>
          <w:lang w:eastAsia="hr-HR"/>
        </w:rPr>
        <w:t>U znak prihvata prava i obveza koje za njih iz ove Nagodbe proistječu, stranke ove Nagodbe vlastoručno potpisuju zapisnik o ovoj Nagodbi</w:t>
      </w:r>
      <w:r>
        <w:rPr>
          <w:lang w:eastAsia="hr-HR"/>
        </w:rPr>
        <w:t>.</w:t>
      </w:r>
    </w:p>
    <w:p w:rsidRDefault="0093651C" w:rsidP="0093651C" w:rsidR="0093651C">
      <w:pPr>
        <w:rPr>
          <w:lang w:eastAsia="hr-HR"/>
        </w:rPr>
      </w:pPr>
    </w:p>
    <w:p w:rsidRDefault="0093651C" w:rsidP="0093651C" w:rsidR="0093651C">
      <w:pPr>
        <w:rPr>
          <w:rFonts w:cs="Tahoma"/>
        </w:rPr>
      </w:pPr>
    </w:p>
    <w:p w:rsidRDefault="00212105" w:rsidP="0093651C" w:rsidR="00212105">
      <w:pPr>
        <w:rPr>
          <w:rFonts w:cs="Tahoma"/>
        </w:rPr>
      </w:pPr>
    </w:p>
    <w:p w:rsidRDefault="00212105" w:rsidP="0093651C" w:rsidR="00212105">
      <w:pPr>
        <w:rPr>
          <w:rFonts w:cs="Tahoma"/>
        </w:rPr>
      </w:pPr>
    </w:p>
    <w:p w:rsidRDefault="00212105" w:rsidP="0093651C" w:rsidR="00212105">
      <w:pPr>
        <w:rPr>
          <w:rFonts w:cs="Tahoma"/>
        </w:rPr>
      </w:pPr>
    </w:p>
    <w:p w:rsidRDefault="00212105" w:rsidP="0093651C" w:rsidR="00212105">
      <w:pPr>
        <w:rPr>
          <w:rFonts w:cs="Tahoma"/>
        </w:rPr>
      </w:pPr>
    </w:p>
    <w:p w:rsidRDefault="00212105" w:rsidP="0093651C" w:rsidR="00212105">
      <w:pPr>
        <w:rPr>
          <w:rFonts w:cs="Tahoma"/>
        </w:rPr>
      </w:pPr>
    </w:p>
    <w:p w:rsidRDefault="00212105" w:rsidP="0093651C" w:rsidR="00212105">
      <w:pPr>
        <w:rPr>
          <w:rFonts w:cs="Tahoma"/>
        </w:rPr>
      </w:pPr>
    </w:p>
    <w:p w:rsidRDefault="004434F8" w:rsidP="004434F8" w:rsidR="004434F8" w:rsidRPr="004434F8">
      <w:pPr>
        <w:rPr>
          <w:rFonts w:cs="Tahoma"/>
        </w:rPr>
      </w:pPr>
      <w:r w:rsidRPr="004434F8">
        <w:rPr>
          <w:rFonts w:cs="Tahoma"/>
        </w:rPr>
        <w:t>VJEROVNICI</w:t>
      </w:r>
      <w:r>
        <w:rPr>
          <w:rFonts w:cs="Tahoma"/>
        </w:rPr>
        <w:t xml:space="preserve">:                                                                                                                             </w:t>
      </w:r>
    </w:p>
    <w:p w:rsidRDefault="00E33590" w:rsidP="00E33590" w:rsidR="00E33590" w:rsidRPr="00E33590">
      <w:pPr>
        <w:rPr>
          <w:rFonts w:cs="Tahoma"/>
        </w:rPr>
      </w:pPr>
    </w:p>
    <w:p w:rsidRDefault="002422CD" w:rsidP="002422CD" w:rsidR="002422CD" w:rsidRPr="00D65A4C">
      <w:r>
        <w:t xml:space="preserve">- A.M.PATAČIĆ  d.o.o. iz Zagreba, Aleja Hrvatske mladeži 45, OIB: 30593716926, odvjetnik Denis Marinković </w:t>
      </w:r>
    </w:p>
    <w:p w:rsidRDefault="002422CD" w:rsidP="002422CD" w:rsidR="002422CD">
      <w:r w:rsidRPr="003B0395">
        <w:tab/>
      </w:r>
    </w:p>
    <w:p w:rsidRDefault="002422CD" w:rsidP="002422CD" w:rsidR="002422CD">
      <w:pPr>
        <w:jc w:val="both"/>
      </w:pPr>
      <w:r>
        <w:t>- FIDUS GRADNJA d.o.o. iz Zagreba, Oranice 34, OIB: 39103538847, odvjetnik Denis Marinković</w:t>
      </w:r>
    </w:p>
    <w:p w:rsidRDefault="002422CD" w:rsidP="002422CD" w:rsidR="002422CD">
      <w:pPr>
        <w:jc w:val="both"/>
      </w:pPr>
      <w:r>
        <w:t xml:space="preserve">            </w:t>
      </w:r>
    </w:p>
    <w:p w:rsidRDefault="002422CD" w:rsidP="002422CD" w:rsidR="002422CD">
      <w:pPr>
        <w:jc w:val="both"/>
      </w:pPr>
      <w:r>
        <w:t xml:space="preserve">-    INTERINVEST d.o.o. iz Sarajeva, Safeta Zajke 269, Bosna i Hercegovina, </w:t>
      </w:r>
      <w:r w:rsidRPr="00AE7348">
        <w:t xml:space="preserve"> </w:t>
      </w:r>
      <w:r>
        <w:t>odvjetnik Denis Marinković</w:t>
      </w:r>
    </w:p>
    <w:p w:rsidRDefault="002422CD" w:rsidP="002422CD" w:rsidR="002422CD">
      <w:pPr>
        <w:jc w:val="both"/>
      </w:pPr>
    </w:p>
    <w:p w:rsidRDefault="002422CD" w:rsidP="002422CD" w:rsidR="002422CD">
      <w:pPr>
        <w:jc w:val="both"/>
      </w:pPr>
      <w:r>
        <w:t>-     DINKO PALAC,  Bukovečki krč, 31, Zagreb, OIB: 95640712687 odvjetnik Denis Marinković</w:t>
      </w:r>
    </w:p>
    <w:p w:rsidRDefault="002422CD" w:rsidP="002422CD" w:rsidR="002422CD">
      <w:pPr>
        <w:jc w:val="both"/>
      </w:pPr>
    </w:p>
    <w:p w:rsidRDefault="002422CD" w:rsidP="002422CD" w:rsidR="002422CD">
      <w:pPr>
        <w:jc w:val="both"/>
      </w:pPr>
      <w:r>
        <w:lastRenderedPageBreak/>
        <w:t xml:space="preserve">-   TOMISLAV ŠIMUNAC, iz </w:t>
      </w:r>
      <w:r w:rsidRPr="003B0395">
        <w:t>Zagreb</w:t>
      </w:r>
      <w:r>
        <w:t>a</w:t>
      </w:r>
      <w:r w:rsidRPr="003B0395">
        <w:t>,</w:t>
      </w:r>
      <w:r>
        <w:t xml:space="preserve"> Ilica 253, </w:t>
      </w:r>
      <w:r w:rsidRPr="003B0395">
        <w:t xml:space="preserve"> OIB: </w:t>
      </w:r>
      <w:r>
        <w:t>20668699654 odvjetnik Denis Marinković</w:t>
      </w:r>
    </w:p>
    <w:p w:rsidRDefault="002422CD" w:rsidP="002422CD" w:rsidR="002422CD">
      <w:pPr>
        <w:jc w:val="both"/>
      </w:pPr>
    </w:p>
    <w:p w:rsidRDefault="002422CD" w:rsidP="002422CD" w:rsidR="002422CD">
      <w:pPr>
        <w:jc w:val="both"/>
      </w:pPr>
      <w:r>
        <w:t xml:space="preserve">-     </w:t>
      </w:r>
      <w:r w:rsidRPr="00DC41F2">
        <w:t>STJEPAN VUČKOVIĆ, iz Zagreba, Schrottova 37, OIB: 20668699654</w:t>
      </w:r>
      <w:r>
        <w:t xml:space="preserve"> odvjetnik Denis Marinković</w:t>
      </w:r>
    </w:p>
    <w:p w:rsidRDefault="002422CD" w:rsidP="002422CD" w:rsidR="002422CD">
      <w:pPr>
        <w:jc w:val="both"/>
      </w:pPr>
    </w:p>
    <w:p w:rsidRDefault="002422CD" w:rsidP="007E556E" w:rsidR="002422CD"/>
    <w:p w:rsidRDefault="002422CD" w:rsidP="007E556E" w:rsidR="002422CD" w:rsidRPr="004E6C67"/>
    <w:p w:rsidRDefault="004E6C67" w:rsidP="007E556E" w:rsidR="004E6C67">
      <w:pPr>
        <w:rPr>
          <w:rFonts w:cs="Tahoma"/>
        </w:rPr>
      </w:pPr>
    </w:p>
    <w:p w:rsidRDefault="004434F8" w:rsidP="007E556E" w:rsidR="00BA7ACB">
      <w:pPr>
        <w:rPr>
          <w:rFonts w:cs="Tahoma"/>
        </w:rPr>
      </w:pPr>
      <w:r w:rsidRPr="004434F8">
        <w:rPr>
          <w:rFonts w:cs="Tahoma"/>
        </w:rPr>
        <w:t>DUŽNIK</w:t>
      </w:r>
      <w:r>
        <w:rPr>
          <w:rFonts w:cs="Tahoma"/>
        </w:rPr>
        <w:t>:</w:t>
      </w:r>
      <w:r w:rsidR="00BA7ACB">
        <w:rPr>
          <w:rFonts w:cs="Tahoma"/>
        </w:rPr>
        <w:t xml:space="preserve">                                                                                                         </w:t>
      </w:r>
      <w:r w:rsidR="007E556E">
        <w:rPr>
          <w:rFonts w:cs="Tahoma"/>
        </w:rPr>
        <w:t xml:space="preserve">  </w:t>
      </w:r>
    </w:p>
    <w:p w:rsidRDefault="00BA7ACB" w:rsidP="006622FB" w:rsidR="00BA7ACB">
      <w:pPr>
        <w:jc w:val="right"/>
        <w:rPr>
          <w:rFonts w:cs="Tahoma"/>
        </w:rPr>
      </w:pPr>
    </w:p>
    <w:p w:rsidRDefault="002422CD" w:rsidP="004E6C67" w:rsidR="004E6C67">
      <w:pPr>
        <w:jc w:val="both"/>
      </w:pPr>
      <w:r>
        <w:t xml:space="preserve">Antun Pavić, </w:t>
      </w:r>
      <w:r w:rsidR="004E6C67">
        <w:t>odgovorna osoba</w:t>
      </w:r>
    </w:p>
    <w:p w:rsidRDefault="00BA7ACB" w:rsidP="006622FB" w:rsidR="00BA7ACB">
      <w:pPr>
        <w:jc w:val="right"/>
        <w:rPr>
          <w:rFonts w:cs="Tahoma"/>
        </w:rPr>
      </w:pP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Dovršeno u </w:t>
      </w:r>
      <w:r w:rsidR="00490269">
        <w:rPr>
          <w:rFonts w:cs="Tahoma"/>
        </w:rPr>
        <w:t>10,43</w:t>
      </w:r>
      <w:r w:rsidRPr="00E47BAD">
        <w:rPr>
          <w:rFonts w:cs="Tahoma"/>
        </w:rPr>
        <w:t xml:space="preserve"> sati.  </w:t>
      </w: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Stečajni sudac:                       </w:t>
      </w:r>
    </w:p>
    <w:p w:rsidRDefault="00E47BAD" w:rsidP="00E47BAD" w:rsidR="00E47BAD" w:rsidRPr="00E47BAD">
      <w:pPr>
        <w:jc w:val="center"/>
        <w:rPr>
          <w:rFonts w:cs="Tahoma"/>
        </w:rPr>
      </w:pPr>
      <w:r w:rsidRPr="00E47BAD">
        <w:rPr>
          <w:rFonts w:cs="Tahoma"/>
        </w:rPr>
        <w:t>Vesna Sremac Šoštar</w:t>
      </w: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Zapisničar: </w:t>
      </w:r>
    </w:p>
    <w:p w:rsidRDefault="00E47BAD" w:rsidP="00E47BAD" w:rsidR="00E47BAD" w:rsidRPr="00E47BAD">
      <w:pPr>
        <w:jc w:val="center"/>
        <w:rPr>
          <w:rFonts w:cs="Tahoma"/>
        </w:rPr>
      </w:pPr>
      <w:r>
        <w:rPr>
          <w:rFonts w:cs="Tahoma"/>
        </w:rPr>
        <w:t>Matea Bizjak</w:t>
      </w:r>
    </w:p>
    <w:p w:rsidRDefault="00E47BAD" w:rsidP="00E47BAD" w:rsidR="00C1314F">
      <w:pPr>
        <w:jc w:val="center"/>
        <w:rPr>
          <w:rFonts w:cs="Tahoma"/>
        </w:rPr>
      </w:pPr>
      <w:r w:rsidRPr="00E47BAD">
        <w:rPr>
          <w:rFonts w:cs="Tahoma"/>
        </w:rPr>
        <w:tab/>
      </w:r>
      <w:r w:rsidRPr="00E47BAD">
        <w:rPr>
          <w:rFonts w:cs="Tahoma"/>
        </w:rPr>
        <w:tab/>
      </w:r>
      <w:r w:rsidRPr="00E47BAD">
        <w:rPr>
          <w:rFonts w:cs="Tahoma"/>
        </w:rPr>
        <w:tab/>
      </w:r>
      <w:r w:rsidRPr="00E47BAD">
        <w:rPr>
          <w:rFonts w:cs="Tahoma"/>
        </w:rPr>
        <w:tab/>
      </w:r>
      <w:r w:rsidRPr="00E47BAD">
        <w:rPr>
          <w:rFonts w:cs="Tahoma"/>
        </w:rPr>
        <w:tab/>
      </w:r>
      <w:r w:rsidRPr="00E47BAD">
        <w:rPr>
          <w:rFonts w:cs="Tahoma"/>
        </w:rPr>
        <w:tab/>
      </w:r>
    </w:p>
    <w:sectPr w:rsidSect="005155D7" w:rsidR="00C1314F">
      <w:headerReference w:type="even" r:id="rId10"/>
      <w:headerReference w:type="default" r:id="rId11"/>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38D7" w:rsidR="001A38D7">
      <w:r>
        <w:separator/>
      </w:r>
    </w:p>
  </w:endnote>
  <w:endnote w:id="0" w:type="continuationSeparator">
    <w:p w:rsidRDefault="001A38D7" w:rsidR="001A38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Calibri">
    <w:panose1 w:val="020F0502020204030204"/>
    <w:charset w:val="EE"/>
    <w:family w:val="swiss"/>
    <w:pitch w:val="variable"/>
    <w:sig w:csb1="00000000" w:csb0="0000019F" w:usb3="00000000" w:usb2="00000001" w:usb1="4000ACFF" w:usb0="E00002FF"/>
  </w:font>
  <w:font w:name="Lucida Sans Typewriter">
    <w:panose1 w:val="020B0509030504030204"/>
    <w:charset w:val="00"/>
    <w:family w:val="modern"/>
    <w:pitch w:val="fixed"/>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38D7" w:rsidR="001A38D7">
      <w:r>
        <w:separator/>
      </w:r>
    </w:p>
  </w:footnote>
  <w:footnote w:id="0" w:type="continuationSeparator">
    <w:p w:rsidRDefault="001A38D7" w:rsidR="001A38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51C" w:rsidP="006D1CC5" w:rsidR="009365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651C" w:rsidP="006D1CC5" w:rsidR="0093651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51C" w:rsidP="006D1CC5" w:rsidR="009365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2F7B">
      <w:rPr>
        <w:rStyle w:val="Brojstranice"/>
        <w:noProof/>
      </w:rPr>
      <w:t>24</w:t>
    </w:r>
    <w:r>
      <w:rPr>
        <w:rStyle w:val="Brojstranice"/>
      </w:rPr>
      <w:fldChar w:fldCharType="end"/>
    </w:r>
  </w:p>
  <w:p w:rsidRDefault="0093651C" w:rsidP="006D1CC5" w:rsidR="0093651C">
    <w:pPr>
      <w:pStyle w:val="Zaglavlje"/>
      <w:ind w:right="360"/>
      <w:jc w:val="right"/>
    </w:pPr>
    <w:r>
      <w:t>48. St-2079/17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00000004"/>
    <w:name w:val="WW8Num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2">
    <w:nsid w:val="03213DB3"/>
    <w:multiLevelType w:val="hybridMultilevel"/>
    <w:tmpl w:val="DEEA47F6"/>
    <w:lvl w:tplc="33522E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8107E05"/>
    <w:multiLevelType w:val="hybridMultilevel"/>
    <w:tmpl w:val="71DCA8D2"/>
    <w:lvl w:tplc="0436000B" w:ilvl="0">
      <w:start w:val="1"/>
      <w:numFmt w:val="bullet"/>
      <w:lvlText w:val=""/>
      <w:lvlJc w:val="left"/>
      <w:pPr>
        <w:ind w:hanging="360" w:left="780"/>
      </w:pPr>
      <w:rPr>
        <w:rFonts w:hAnsi="Wingdings" w:ascii="Wingdings" w:hint="default"/>
      </w:rPr>
    </w:lvl>
    <w:lvl w:tplc="04360003" w:ilvl="1">
      <w:start w:val="1"/>
      <w:numFmt w:val="decimal"/>
      <w:lvlText w:val="%2."/>
      <w:lvlJc w:val="left"/>
      <w:pPr>
        <w:tabs>
          <w:tab w:pos="1440" w:val="num"/>
        </w:tabs>
        <w:ind w:hanging="360" w:left="1440"/>
      </w:pPr>
    </w:lvl>
    <w:lvl w:tplc="04360005" w:ilvl="2">
      <w:start w:val="1"/>
      <w:numFmt w:val="decimal"/>
      <w:lvlText w:val="%3."/>
      <w:lvlJc w:val="left"/>
      <w:pPr>
        <w:tabs>
          <w:tab w:pos="2160" w:val="num"/>
        </w:tabs>
        <w:ind w:hanging="360" w:left="2160"/>
      </w:pPr>
    </w:lvl>
    <w:lvl w:tplc="04360001" w:ilvl="3">
      <w:start w:val="1"/>
      <w:numFmt w:val="decimal"/>
      <w:lvlText w:val="%4."/>
      <w:lvlJc w:val="left"/>
      <w:pPr>
        <w:tabs>
          <w:tab w:pos="2880" w:val="num"/>
        </w:tabs>
        <w:ind w:hanging="360" w:left="2880"/>
      </w:pPr>
    </w:lvl>
    <w:lvl w:tplc="04360003" w:ilvl="4">
      <w:start w:val="1"/>
      <w:numFmt w:val="decimal"/>
      <w:lvlText w:val="%5."/>
      <w:lvlJc w:val="left"/>
      <w:pPr>
        <w:tabs>
          <w:tab w:pos="3600" w:val="num"/>
        </w:tabs>
        <w:ind w:hanging="360" w:left="3600"/>
      </w:pPr>
    </w:lvl>
    <w:lvl w:tplc="04360005" w:ilvl="5">
      <w:start w:val="1"/>
      <w:numFmt w:val="decimal"/>
      <w:lvlText w:val="%6."/>
      <w:lvlJc w:val="left"/>
      <w:pPr>
        <w:tabs>
          <w:tab w:pos="4320" w:val="num"/>
        </w:tabs>
        <w:ind w:hanging="360" w:left="4320"/>
      </w:pPr>
    </w:lvl>
    <w:lvl w:tplc="04360001" w:ilvl="6">
      <w:start w:val="1"/>
      <w:numFmt w:val="decimal"/>
      <w:lvlText w:val="%7."/>
      <w:lvlJc w:val="left"/>
      <w:pPr>
        <w:tabs>
          <w:tab w:pos="5040" w:val="num"/>
        </w:tabs>
        <w:ind w:hanging="360" w:left="5040"/>
      </w:pPr>
    </w:lvl>
    <w:lvl w:tplc="04360003" w:ilvl="7">
      <w:start w:val="1"/>
      <w:numFmt w:val="decimal"/>
      <w:lvlText w:val="%8."/>
      <w:lvlJc w:val="left"/>
      <w:pPr>
        <w:tabs>
          <w:tab w:pos="5760" w:val="num"/>
        </w:tabs>
        <w:ind w:hanging="360" w:left="5760"/>
      </w:pPr>
    </w:lvl>
    <w:lvl w:tplc="04360005" w:ilvl="8">
      <w:start w:val="1"/>
      <w:numFmt w:val="decimal"/>
      <w:lvlText w:val="%9."/>
      <w:lvlJc w:val="left"/>
      <w:pPr>
        <w:tabs>
          <w:tab w:pos="6480" w:val="num"/>
        </w:tabs>
        <w:ind w:hanging="360" w:left="6480"/>
      </w:pPr>
    </w:lvl>
  </w:abstractNum>
  <w:abstractNum w:abstractNumId="4">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0A616AB7"/>
    <w:multiLevelType w:val="multilevel"/>
    <w:tmpl w:val="FFFFFFFF"/>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6">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169C22BB"/>
    <w:multiLevelType w:val="hybridMultilevel"/>
    <w:tmpl w:val="58D2F8DC"/>
    <w:lvl w:tplc="8714A79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AFF5F5F"/>
    <w:multiLevelType w:val="hybridMultilevel"/>
    <w:tmpl w:val="1EAAEAFE"/>
    <w:lvl w:tplc="798EBAB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1D103872"/>
    <w:multiLevelType w:val="hybridMultilevel"/>
    <w:tmpl w:val="112E6AEE"/>
    <w:lvl w:tplc="B730531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D284ABC"/>
    <w:multiLevelType w:val="hybridMultilevel"/>
    <w:tmpl w:val="A8BA80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DD47891"/>
    <w:multiLevelType w:val="hybridMultilevel"/>
    <w:tmpl w:val="26362820"/>
    <w:lvl w:tplc="3D180A2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1980D08"/>
    <w:multiLevelType w:val="hybridMultilevel"/>
    <w:tmpl w:val="C2F22EAE"/>
    <w:lvl w:tplc="092E76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24C95B7B"/>
    <w:multiLevelType w:val="hybridMultilevel"/>
    <w:tmpl w:val="D3143838"/>
    <w:lvl w:tplc="00E241E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98F1AA0"/>
    <w:multiLevelType w:val="hybridMultilevel"/>
    <w:tmpl w:val="EE746A86"/>
    <w:lvl w:tplc="4FCCC762" w:ilvl="0">
      <w:start w:val="3"/>
      <w:numFmt w:val="bullet"/>
      <w:lvlText w:val="-"/>
      <w:lvlJc w:val="left"/>
      <w:pPr>
        <w:ind w:hanging="360" w:left="813"/>
      </w:pPr>
      <w:rPr>
        <w:rFonts w:cs="Arial" w:eastAsia="Times New Roman" w:hAnsi="Arial" w:ascii="Arial" w:hint="default"/>
      </w:rPr>
    </w:lvl>
    <w:lvl w:tentative="true" w:tplc="041A0003" w:ilvl="1">
      <w:start w:val="1"/>
      <w:numFmt w:val="bullet"/>
      <w:lvlText w:val="o"/>
      <w:lvlJc w:val="left"/>
      <w:pPr>
        <w:ind w:hanging="360" w:left="1533"/>
      </w:pPr>
      <w:rPr>
        <w:rFonts w:cs="Courier New" w:hAnsi="Courier New" w:ascii="Courier New" w:hint="default"/>
      </w:rPr>
    </w:lvl>
    <w:lvl w:tentative="true" w:tplc="041A0005" w:ilvl="2">
      <w:start w:val="1"/>
      <w:numFmt w:val="bullet"/>
      <w:lvlText w:val=""/>
      <w:lvlJc w:val="left"/>
      <w:pPr>
        <w:ind w:hanging="360" w:left="2253"/>
      </w:pPr>
      <w:rPr>
        <w:rFonts w:hAnsi="Wingdings" w:ascii="Wingdings" w:hint="default"/>
      </w:rPr>
    </w:lvl>
    <w:lvl w:tentative="true" w:tplc="041A0001" w:ilvl="3">
      <w:start w:val="1"/>
      <w:numFmt w:val="bullet"/>
      <w:lvlText w:val=""/>
      <w:lvlJc w:val="left"/>
      <w:pPr>
        <w:ind w:hanging="360" w:left="2973"/>
      </w:pPr>
      <w:rPr>
        <w:rFonts w:hAnsi="Symbol" w:ascii="Symbol" w:hint="default"/>
      </w:rPr>
    </w:lvl>
    <w:lvl w:tentative="true" w:tplc="041A0003" w:ilvl="4">
      <w:start w:val="1"/>
      <w:numFmt w:val="bullet"/>
      <w:lvlText w:val="o"/>
      <w:lvlJc w:val="left"/>
      <w:pPr>
        <w:ind w:hanging="360" w:left="3693"/>
      </w:pPr>
      <w:rPr>
        <w:rFonts w:cs="Courier New" w:hAnsi="Courier New" w:ascii="Courier New" w:hint="default"/>
      </w:rPr>
    </w:lvl>
    <w:lvl w:tentative="true" w:tplc="041A0005" w:ilvl="5">
      <w:start w:val="1"/>
      <w:numFmt w:val="bullet"/>
      <w:lvlText w:val=""/>
      <w:lvlJc w:val="left"/>
      <w:pPr>
        <w:ind w:hanging="360" w:left="4413"/>
      </w:pPr>
      <w:rPr>
        <w:rFonts w:hAnsi="Wingdings" w:ascii="Wingdings" w:hint="default"/>
      </w:rPr>
    </w:lvl>
    <w:lvl w:tentative="true" w:tplc="041A0001" w:ilvl="6">
      <w:start w:val="1"/>
      <w:numFmt w:val="bullet"/>
      <w:lvlText w:val=""/>
      <w:lvlJc w:val="left"/>
      <w:pPr>
        <w:ind w:hanging="360" w:left="5133"/>
      </w:pPr>
      <w:rPr>
        <w:rFonts w:hAnsi="Symbol" w:ascii="Symbol" w:hint="default"/>
      </w:rPr>
    </w:lvl>
    <w:lvl w:tentative="true" w:tplc="041A0003" w:ilvl="7">
      <w:start w:val="1"/>
      <w:numFmt w:val="bullet"/>
      <w:lvlText w:val="o"/>
      <w:lvlJc w:val="left"/>
      <w:pPr>
        <w:ind w:hanging="360" w:left="5853"/>
      </w:pPr>
      <w:rPr>
        <w:rFonts w:cs="Courier New" w:hAnsi="Courier New" w:ascii="Courier New" w:hint="default"/>
      </w:rPr>
    </w:lvl>
    <w:lvl w:tentative="true" w:tplc="041A0005" w:ilvl="8">
      <w:start w:val="1"/>
      <w:numFmt w:val="bullet"/>
      <w:lvlText w:val=""/>
      <w:lvlJc w:val="left"/>
      <w:pPr>
        <w:ind w:hanging="360" w:left="6573"/>
      </w:pPr>
      <w:rPr>
        <w:rFonts w:hAnsi="Wingdings" w:ascii="Wingdings" w:hint="default"/>
      </w:rPr>
    </w:lvl>
  </w:abstractNum>
  <w:abstractNum w:abstractNumId="18">
    <w:nsid w:val="2A9853ED"/>
    <w:multiLevelType w:val="hybridMultilevel"/>
    <w:tmpl w:val="9C7CD952"/>
    <w:lvl w:tplc="0746422A"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2FC27059"/>
    <w:multiLevelType w:val="hybridMultilevel"/>
    <w:tmpl w:val="A0AC7090"/>
    <w:lvl w:tplc="D16CB26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17E6BDB"/>
    <w:multiLevelType w:val="hybridMultilevel"/>
    <w:tmpl w:val="8B78F226"/>
    <w:lvl w:tplc="798EBAB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3FA56193"/>
    <w:multiLevelType w:val="hybridMultilevel"/>
    <w:tmpl w:val="70807272"/>
    <w:lvl w:tplc="4FCCC76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18D7190"/>
    <w:multiLevelType w:val="hybridMultilevel"/>
    <w:tmpl w:val="BF50CFEE"/>
    <w:lvl w:tplc="59E076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1D95E1F"/>
    <w:multiLevelType w:val="hybridMultilevel"/>
    <w:tmpl w:val="2896881A"/>
    <w:lvl w:tplc="5B0A102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2FC0A61"/>
    <w:multiLevelType w:val="hybridMultilevel"/>
    <w:tmpl w:val="C86AFFDA"/>
    <w:lvl w:tplc="6690421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3C64C6F"/>
    <w:multiLevelType w:val="multilevel"/>
    <w:tmpl w:val="FFFFFFFF"/>
    <w:lvl w:ilvl="0">
      <w:start w:val="1"/>
      <w:numFmt w:val="bullet"/>
      <w:lvlText w:val="-"/>
      <w:lvlJc w:val="left"/>
      <w:pPr>
        <w:ind w:hanging="360" w:left="1440"/>
      </w:pPr>
      <w:rPr>
        <w:rFonts w:cs="Arial" w:hAnsi="Arial" w:ascii="Arial" w:hint="default"/>
      </w:rPr>
    </w:lvl>
    <w:lvl w:ilvl="1">
      <w:start w:val="1"/>
      <w:numFmt w:val="bullet"/>
      <w:lvlText w:val="o"/>
      <w:lvlJc w:val="left"/>
      <w:pPr>
        <w:ind w:hanging="360" w:left="2160"/>
      </w:pPr>
      <w:rPr>
        <w:rFonts w:cs="Courier New" w:hAnsi="Courier New" w:ascii="Courier New" w:hint="default"/>
      </w:rPr>
    </w:lvl>
    <w:lvl w:ilvl="2">
      <w:start w:val="1"/>
      <w:numFmt w:val="bullet"/>
      <w:lvlText w:val=""/>
      <w:lvlJc w:val="left"/>
      <w:pPr>
        <w:ind w:hanging="360" w:left="2880"/>
      </w:pPr>
      <w:rPr>
        <w:rFonts w:cs="Wingdings" w:hAnsi="Wingdings" w:ascii="Wingdings" w:hint="default"/>
      </w:rPr>
    </w:lvl>
    <w:lvl w:ilvl="3">
      <w:start w:val="1"/>
      <w:numFmt w:val="bullet"/>
      <w:lvlText w:val=""/>
      <w:lvlJc w:val="left"/>
      <w:pPr>
        <w:ind w:hanging="360" w:left="3600"/>
      </w:pPr>
      <w:rPr>
        <w:rFonts w:cs="Symbol" w:hAnsi="Symbol" w:ascii="Symbol" w:hint="default"/>
      </w:rPr>
    </w:lvl>
    <w:lvl w:ilvl="4">
      <w:start w:val="1"/>
      <w:numFmt w:val="bullet"/>
      <w:lvlText w:val="o"/>
      <w:lvlJc w:val="left"/>
      <w:pPr>
        <w:ind w:hanging="360" w:left="4320"/>
      </w:pPr>
      <w:rPr>
        <w:rFonts w:cs="Courier New" w:hAnsi="Courier New" w:ascii="Courier New" w:hint="default"/>
      </w:rPr>
    </w:lvl>
    <w:lvl w:ilvl="5">
      <w:start w:val="1"/>
      <w:numFmt w:val="bullet"/>
      <w:lvlText w:val=""/>
      <w:lvlJc w:val="left"/>
      <w:pPr>
        <w:ind w:hanging="360" w:left="5040"/>
      </w:pPr>
      <w:rPr>
        <w:rFonts w:cs="Wingdings" w:hAnsi="Wingdings" w:ascii="Wingdings" w:hint="default"/>
      </w:rPr>
    </w:lvl>
    <w:lvl w:ilvl="6">
      <w:start w:val="1"/>
      <w:numFmt w:val="bullet"/>
      <w:lvlText w:val=""/>
      <w:lvlJc w:val="left"/>
      <w:pPr>
        <w:ind w:hanging="360" w:left="5760"/>
      </w:pPr>
      <w:rPr>
        <w:rFonts w:cs="Symbol" w:hAnsi="Symbol" w:ascii="Symbol" w:hint="default"/>
      </w:rPr>
    </w:lvl>
    <w:lvl w:ilvl="7">
      <w:start w:val="1"/>
      <w:numFmt w:val="bullet"/>
      <w:lvlText w:val="o"/>
      <w:lvlJc w:val="left"/>
      <w:pPr>
        <w:ind w:hanging="360" w:left="6480"/>
      </w:pPr>
      <w:rPr>
        <w:rFonts w:cs="Courier New" w:hAnsi="Courier New" w:ascii="Courier New" w:hint="default"/>
      </w:rPr>
    </w:lvl>
    <w:lvl w:ilvl="8">
      <w:start w:val="1"/>
      <w:numFmt w:val="bullet"/>
      <w:lvlText w:val=""/>
      <w:lvlJc w:val="left"/>
      <w:pPr>
        <w:ind w:hanging="360" w:left="7200"/>
      </w:pPr>
      <w:rPr>
        <w:rFonts w:cs="Wingdings" w:hAnsi="Wingdings" w:ascii="Wingdings" w:hint="default"/>
      </w:rPr>
    </w:lvl>
  </w:abstractNum>
  <w:abstractNum w:abstractNumId="27">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46F60A2D"/>
    <w:multiLevelType w:val="hybridMultilevel"/>
    <w:tmpl w:val="12DE2A8A"/>
    <w:lvl w:tplc="F0AA6DC8" w:ilvl="0">
      <w:start w:val="2"/>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77F2121"/>
    <w:multiLevelType w:val="hybridMultilevel"/>
    <w:tmpl w:val="3BDCECEA"/>
    <w:lvl w:tplc="72BE85A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58227E5"/>
    <w:multiLevelType w:val="hybridMultilevel"/>
    <w:tmpl w:val="7BF854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9BB32C6"/>
    <w:multiLevelType w:val="hybridMultilevel"/>
    <w:tmpl w:val="00425844"/>
    <w:lvl w:tplc="FE14DD0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D8C0703"/>
    <w:multiLevelType w:val="hybridMultilevel"/>
    <w:tmpl w:val="EF4CC0E0"/>
    <w:lvl w:tplc="8BE43D5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pStyle w:val="Naslov4"/>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4D63D74"/>
    <w:multiLevelType w:val="hybridMultilevel"/>
    <w:tmpl w:val="0C9E8BA0"/>
    <w:lvl w:tplc="8CDEA62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9117B2D"/>
    <w:multiLevelType w:val="hybridMultilevel"/>
    <w:tmpl w:val="5F361C5E"/>
    <w:lvl w:tplc="041A0017" w:ilvl="0">
      <w:start w:val="1"/>
      <w:numFmt w:val="lowerLetter"/>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9496EE3"/>
    <w:multiLevelType w:val="hybridMultilevel"/>
    <w:tmpl w:val="D1CCFB30"/>
    <w:lvl w:tplc="178CD3A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D257A40"/>
    <w:multiLevelType w:val="hybridMultilevel"/>
    <w:tmpl w:val="C1A09586"/>
    <w:lvl w:tplc="CDAE3E4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F6C48EF"/>
    <w:multiLevelType w:val="hybridMultilevel"/>
    <w:tmpl w:val="3BD6FAF6"/>
    <w:lvl w:tplc="52A02B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0443385"/>
    <w:multiLevelType w:val="hybridMultilevel"/>
    <w:tmpl w:val="5F9C4A60"/>
    <w:lvl w:tplc="A14EC35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AE025A4"/>
    <w:multiLevelType w:val="hybridMultilevel"/>
    <w:tmpl w:val="E8244368"/>
    <w:lvl w:tplc="0E4CC6EC"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hAnsi="Lucida Sans Typewriter" w:ascii="Lucida Sans Typewriter"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Lucida Sans Typewriter" w:ascii="Lucida Sans Typewriter"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Lucida Sans Typewriter" w:ascii="Lucida Sans Typewriter"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33"/>
  </w:num>
  <w:num w:numId="2">
    <w:abstractNumId w:val="27"/>
  </w:num>
  <w:num w:numId="3">
    <w:abstractNumId w:val="42"/>
  </w:num>
  <w:num w:numId="4">
    <w:abstractNumId w:val="4"/>
  </w:num>
  <w:num w:numId="5">
    <w:abstractNumId w:val="7"/>
  </w:num>
  <w:num w:numId="6">
    <w:abstractNumId w:val="6"/>
  </w:num>
  <w:num w:numId="7">
    <w:abstractNumId w:val="16"/>
  </w:num>
  <w:num w:numId="8">
    <w:abstractNumId w:val="14"/>
  </w:num>
  <w:num w:numId="9">
    <w:abstractNumId w:val="40"/>
  </w:num>
  <w:num w:numId="10">
    <w:abstractNumId w:val="24"/>
  </w:num>
  <w:num w:numId="11">
    <w:abstractNumId w:val="35"/>
  </w:num>
  <w:num w:numId="12">
    <w:abstractNumId w:val="28"/>
  </w:num>
  <w:num w:numId="13">
    <w:abstractNumId w:val="2"/>
  </w:num>
  <w:num w:numId="14">
    <w:abstractNumId w:val="2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3"/>
  </w:num>
  <w:num w:numId="18">
    <w:abstractNumId w:val="29"/>
  </w:num>
  <w:num w:numId="19">
    <w:abstractNumId w:val="32"/>
  </w:num>
  <w:num w:numId="20">
    <w:abstractNumId w:val="8"/>
  </w:num>
  <w:num w:numId="21">
    <w:abstractNumId w:val="10"/>
  </w:num>
  <w:num w:numId="22">
    <w:abstractNumId w:val="22"/>
  </w:num>
  <w:num w:numId="23">
    <w:abstractNumId w:val="36"/>
  </w:num>
  <w:num w:numId="24">
    <w:abstractNumId w:val="19"/>
  </w:num>
  <w:num w:numId="25">
    <w:abstractNumId w:val="31"/>
  </w:num>
  <w:num w:numId="26">
    <w:abstractNumId w:val="34"/>
  </w:num>
  <w:num w:numId="27">
    <w:abstractNumId w:val="39"/>
  </w:num>
  <w:num w:numId="28">
    <w:abstractNumId w:val="12"/>
  </w:num>
  <w:num w:numId="29">
    <w:abstractNumId w:val="38"/>
  </w:num>
  <w:num w:numId="30">
    <w:abstractNumId w:val="37"/>
  </w:num>
  <w:num w:numId="31">
    <w:abstractNumId w:val="13"/>
  </w:num>
  <w:num w:numId="32">
    <w:abstractNumId w:val="11"/>
  </w:num>
  <w:num w:numId="33">
    <w:abstractNumId w:val="15"/>
  </w:num>
  <w:num w:numId="34">
    <w:abstractNumId w:val="30"/>
  </w:num>
  <w:num w:numId="35">
    <w:abstractNumId w:val="5"/>
  </w:num>
  <w:num w:numId="36">
    <w:abstractNumId w:val="26"/>
  </w:num>
  <w:num w:numId="37">
    <w:abstractNumId w:val="18"/>
  </w:num>
  <w:num w:numId="38">
    <w:abstractNumId w:val="20"/>
  </w:num>
  <w:num w:numId="39">
    <w:abstractNumId w:val="9"/>
  </w:num>
  <w:num w:numId="40">
    <w:abstractNumId w:val="17"/>
  </w:num>
  <w:num w:numId="41">
    <w:abstractNumId w:val="21"/>
  </w:num>
  <w:num w:numId="42">
    <w:abstractNumId w:val="41"/>
  </w:num>
  <w:num w:numId="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179C7"/>
    <w:rsid w:val="00021A97"/>
    <w:rsid w:val="000223F8"/>
    <w:rsid w:val="000226BC"/>
    <w:rsid w:val="00026E44"/>
    <w:rsid w:val="0003108C"/>
    <w:rsid w:val="00036C64"/>
    <w:rsid w:val="00037FC9"/>
    <w:rsid w:val="00042443"/>
    <w:rsid w:val="000517AC"/>
    <w:rsid w:val="00062710"/>
    <w:rsid w:val="00066E49"/>
    <w:rsid w:val="000811FC"/>
    <w:rsid w:val="0008139F"/>
    <w:rsid w:val="00085328"/>
    <w:rsid w:val="00091288"/>
    <w:rsid w:val="000A2DB7"/>
    <w:rsid w:val="000C4975"/>
    <w:rsid w:val="000F5C00"/>
    <w:rsid w:val="00101B9E"/>
    <w:rsid w:val="00103954"/>
    <w:rsid w:val="00107865"/>
    <w:rsid w:val="001176A2"/>
    <w:rsid w:val="001225CB"/>
    <w:rsid w:val="00122B0F"/>
    <w:rsid w:val="00126B49"/>
    <w:rsid w:val="001529FC"/>
    <w:rsid w:val="00170D3E"/>
    <w:rsid w:val="001757F8"/>
    <w:rsid w:val="00180F72"/>
    <w:rsid w:val="001923E6"/>
    <w:rsid w:val="001A38D7"/>
    <w:rsid w:val="001B2F7B"/>
    <w:rsid w:val="001D440C"/>
    <w:rsid w:val="001D56F9"/>
    <w:rsid w:val="001E28F1"/>
    <w:rsid w:val="001E3294"/>
    <w:rsid w:val="001E4A85"/>
    <w:rsid w:val="001F3895"/>
    <w:rsid w:val="00212105"/>
    <w:rsid w:val="00226D61"/>
    <w:rsid w:val="00237430"/>
    <w:rsid w:val="002411A5"/>
    <w:rsid w:val="002422CD"/>
    <w:rsid w:val="002510AE"/>
    <w:rsid w:val="00272A8B"/>
    <w:rsid w:val="00287050"/>
    <w:rsid w:val="00292C06"/>
    <w:rsid w:val="00294B89"/>
    <w:rsid w:val="002A6F27"/>
    <w:rsid w:val="002E06C1"/>
    <w:rsid w:val="002E1765"/>
    <w:rsid w:val="002E7B01"/>
    <w:rsid w:val="00304F52"/>
    <w:rsid w:val="00341ACD"/>
    <w:rsid w:val="00354B27"/>
    <w:rsid w:val="00354BA5"/>
    <w:rsid w:val="00360CB7"/>
    <w:rsid w:val="0036737A"/>
    <w:rsid w:val="00372BAA"/>
    <w:rsid w:val="003A19D8"/>
    <w:rsid w:val="003B0395"/>
    <w:rsid w:val="003B1587"/>
    <w:rsid w:val="003D0D2C"/>
    <w:rsid w:val="003F054E"/>
    <w:rsid w:val="003F4934"/>
    <w:rsid w:val="004009E8"/>
    <w:rsid w:val="0040710E"/>
    <w:rsid w:val="0041301F"/>
    <w:rsid w:val="00415AB7"/>
    <w:rsid w:val="004175BA"/>
    <w:rsid w:val="00431D7D"/>
    <w:rsid w:val="00432AA4"/>
    <w:rsid w:val="00437BB0"/>
    <w:rsid w:val="004434F8"/>
    <w:rsid w:val="00453E0D"/>
    <w:rsid w:val="00454BAF"/>
    <w:rsid w:val="00470C81"/>
    <w:rsid w:val="004775DB"/>
    <w:rsid w:val="004846A4"/>
    <w:rsid w:val="00485C05"/>
    <w:rsid w:val="00490269"/>
    <w:rsid w:val="0049792E"/>
    <w:rsid w:val="004C744D"/>
    <w:rsid w:val="004D2973"/>
    <w:rsid w:val="004E6C67"/>
    <w:rsid w:val="004E77A7"/>
    <w:rsid w:val="004F24AB"/>
    <w:rsid w:val="004F3783"/>
    <w:rsid w:val="00503EBF"/>
    <w:rsid w:val="005155D7"/>
    <w:rsid w:val="00517FAA"/>
    <w:rsid w:val="00531983"/>
    <w:rsid w:val="0054440C"/>
    <w:rsid w:val="0055552E"/>
    <w:rsid w:val="00586CDA"/>
    <w:rsid w:val="00587523"/>
    <w:rsid w:val="005D107D"/>
    <w:rsid w:val="005D2EB3"/>
    <w:rsid w:val="005D3D30"/>
    <w:rsid w:val="00610957"/>
    <w:rsid w:val="00634DE0"/>
    <w:rsid w:val="00634E69"/>
    <w:rsid w:val="00651F3C"/>
    <w:rsid w:val="00661968"/>
    <w:rsid w:val="006622FB"/>
    <w:rsid w:val="00676E6D"/>
    <w:rsid w:val="006925C1"/>
    <w:rsid w:val="006A4835"/>
    <w:rsid w:val="006A5245"/>
    <w:rsid w:val="006B4988"/>
    <w:rsid w:val="006B5233"/>
    <w:rsid w:val="006D1CC5"/>
    <w:rsid w:val="006E63BC"/>
    <w:rsid w:val="006E6B7E"/>
    <w:rsid w:val="006F025B"/>
    <w:rsid w:val="007015B3"/>
    <w:rsid w:val="00711211"/>
    <w:rsid w:val="00722406"/>
    <w:rsid w:val="00724F42"/>
    <w:rsid w:val="0073166A"/>
    <w:rsid w:val="007601CC"/>
    <w:rsid w:val="00780244"/>
    <w:rsid w:val="00782129"/>
    <w:rsid w:val="0079435C"/>
    <w:rsid w:val="007A15FB"/>
    <w:rsid w:val="007B5853"/>
    <w:rsid w:val="007B7505"/>
    <w:rsid w:val="007C77CF"/>
    <w:rsid w:val="007D5BD2"/>
    <w:rsid w:val="007E556E"/>
    <w:rsid w:val="007E5623"/>
    <w:rsid w:val="007F6ACD"/>
    <w:rsid w:val="008009C2"/>
    <w:rsid w:val="00800E4C"/>
    <w:rsid w:val="00806922"/>
    <w:rsid w:val="008107DD"/>
    <w:rsid w:val="00817035"/>
    <w:rsid w:val="0082786A"/>
    <w:rsid w:val="0083512E"/>
    <w:rsid w:val="00840202"/>
    <w:rsid w:val="0085483A"/>
    <w:rsid w:val="00872037"/>
    <w:rsid w:val="0088685A"/>
    <w:rsid w:val="008A3D95"/>
    <w:rsid w:val="008B32B0"/>
    <w:rsid w:val="008D0E63"/>
    <w:rsid w:val="008E31AC"/>
    <w:rsid w:val="008F4356"/>
    <w:rsid w:val="00910DBC"/>
    <w:rsid w:val="0093651C"/>
    <w:rsid w:val="0094133F"/>
    <w:rsid w:val="00956491"/>
    <w:rsid w:val="00960601"/>
    <w:rsid w:val="009630AA"/>
    <w:rsid w:val="009741FA"/>
    <w:rsid w:val="009A378D"/>
    <w:rsid w:val="009A3DB3"/>
    <w:rsid w:val="009B60BB"/>
    <w:rsid w:val="009C2003"/>
    <w:rsid w:val="009C3D6D"/>
    <w:rsid w:val="009C566A"/>
    <w:rsid w:val="009D57E8"/>
    <w:rsid w:val="009E78DE"/>
    <w:rsid w:val="009F6059"/>
    <w:rsid w:val="00A41302"/>
    <w:rsid w:val="00A47382"/>
    <w:rsid w:val="00A511E0"/>
    <w:rsid w:val="00A51825"/>
    <w:rsid w:val="00A576C1"/>
    <w:rsid w:val="00A81A06"/>
    <w:rsid w:val="00AA4D05"/>
    <w:rsid w:val="00AB4FAE"/>
    <w:rsid w:val="00AC3E29"/>
    <w:rsid w:val="00AC611B"/>
    <w:rsid w:val="00AD7E5F"/>
    <w:rsid w:val="00AE6625"/>
    <w:rsid w:val="00AE7348"/>
    <w:rsid w:val="00AE763D"/>
    <w:rsid w:val="00B004AE"/>
    <w:rsid w:val="00B00C27"/>
    <w:rsid w:val="00B26C6A"/>
    <w:rsid w:val="00B627B5"/>
    <w:rsid w:val="00B65804"/>
    <w:rsid w:val="00B71902"/>
    <w:rsid w:val="00B9464F"/>
    <w:rsid w:val="00BA7ACB"/>
    <w:rsid w:val="00BB0EB1"/>
    <w:rsid w:val="00BB2370"/>
    <w:rsid w:val="00BB6888"/>
    <w:rsid w:val="00BC36F6"/>
    <w:rsid w:val="00BD1056"/>
    <w:rsid w:val="00BD4DFC"/>
    <w:rsid w:val="00BD79F4"/>
    <w:rsid w:val="00C101B8"/>
    <w:rsid w:val="00C11A24"/>
    <w:rsid w:val="00C1314F"/>
    <w:rsid w:val="00C3023C"/>
    <w:rsid w:val="00C32EBF"/>
    <w:rsid w:val="00C72870"/>
    <w:rsid w:val="00C87A66"/>
    <w:rsid w:val="00C90B39"/>
    <w:rsid w:val="00CA399C"/>
    <w:rsid w:val="00CD5ED2"/>
    <w:rsid w:val="00CD601C"/>
    <w:rsid w:val="00CF3DBC"/>
    <w:rsid w:val="00D12E3A"/>
    <w:rsid w:val="00D13D2F"/>
    <w:rsid w:val="00D234DB"/>
    <w:rsid w:val="00D2697B"/>
    <w:rsid w:val="00D45980"/>
    <w:rsid w:val="00D476C1"/>
    <w:rsid w:val="00D65A4C"/>
    <w:rsid w:val="00D75B74"/>
    <w:rsid w:val="00D846BA"/>
    <w:rsid w:val="00D86A7E"/>
    <w:rsid w:val="00DA237A"/>
    <w:rsid w:val="00DA4C11"/>
    <w:rsid w:val="00DB5315"/>
    <w:rsid w:val="00DB6D33"/>
    <w:rsid w:val="00DC0D74"/>
    <w:rsid w:val="00DC41F2"/>
    <w:rsid w:val="00DE7F89"/>
    <w:rsid w:val="00E0448E"/>
    <w:rsid w:val="00E16A6A"/>
    <w:rsid w:val="00E24F94"/>
    <w:rsid w:val="00E320F7"/>
    <w:rsid w:val="00E33521"/>
    <w:rsid w:val="00E33590"/>
    <w:rsid w:val="00E33802"/>
    <w:rsid w:val="00E34374"/>
    <w:rsid w:val="00E47BAD"/>
    <w:rsid w:val="00E553E3"/>
    <w:rsid w:val="00E57B63"/>
    <w:rsid w:val="00E825FC"/>
    <w:rsid w:val="00EA7B0A"/>
    <w:rsid w:val="00EB0F0D"/>
    <w:rsid w:val="00EB4F83"/>
    <w:rsid w:val="00ED7889"/>
    <w:rsid w:val="00F00894"/>
    <w:rsid w:val="00F06035"/>
    <w:rsid w:val="00F136DD"/>
    <w:rsid w:val="00F23595"/>
    <w:rsid w:val="00F256DA"/>
    <w:rsid w:val="00F41D38"/>
    <w:rsid w:val="00F50BD7"/>
    <w:rsid w:val="00F61935"/>
    <w:rsid w:val="00F760E1"/>
    <w:rsid w:val="00F8280F"/>
    <w:rsid w:val="00F86054"/>
    <w:rsid w:val="00F9061A"/>
    <w:rsid w:val="00FA1371"/>
    <w:rsid w:val="00FC0846"/>
    <w:rsid w:val="00FC4924"/>
    <w:rsid w:val="00FC668A"/>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uiPriority="99"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uiPriority="99" w:name="caption"/>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Body Text 3"/>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99"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rPr>
  </w:style>
  <w:style w:styleId="Naslov4" w:type="paragraph">
    <w:name w:val="heading 4"/>
    <w:basedOn w:val="Normal"/>
    <w:next w:val="Textbody"/>
    <w:link w:val="Naslov4Char"/>
    <w:uiPriority w:val="99"/>
    <w:qFormat/>
    <w:rsid w:val="0093651C"/>
    <w:pPr>
      <w:keepNext/>
      <w:numPr>
        <w:ilvl w:val="3"/>
        <w:numId w:val="1"/>
      </w:numPr>
      <w:suppressAutoHyphens/>
      <w:spacing w:lineRule="atLeast" w:line="100"/>
      <w:jc w:val="center"/>
      <w:outlineLvl w:val="3"/>
    </w:pPr>
    <w:rPr>
      <w:rFonts w:hAnsi="Arial" w:ascii="Arial"/>
      <w:b/>
      <w:bCs/>
      <w:sz w:val="20"/>
      <w:szCs w:val="20"/>
      <w:lang w:eastAsia="hr-HR"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9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5D2EB3"/>
    <w:rPr>
      <w:rFonts w:cs="Tahoma" w:hAnsi="Tahoma" w:ascii="Tahoma"/>
      <w:sz w:val="16"/>
      <w:szCs w:val="16"/>
    </w:rPr>
  </w:style>
  <w:style w:customStyle="true" w:styleId="TekstbaloniaChar" w:type="character">
    <w:name w:val="Tekst balončića Char"/>
    <w:link w:val="Tekstbalonia"/>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1" w:type="table">
    <w:name w:val="Grid Table 41"/>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styleId="Tekstrezerviranogmjesta" w:type="character">
    <w:name w:val="Placeholder Text"/>
    <w:basedOn w:val="Zadanifontodlomka"/>
    <w:uiPriority w:val="99"/>
    <w:semiHidden/>
    <w:rsid w:val="0088685A"/>
    <w:rPr>
      <w:color w:val="808080"/>
      <w:bdr w:space="0" w:sz="0" w:color="auto" w:val="none"/>
      <w:shd w:fill="auto" w:color="auto" w:val="clear"/>
    </w:rPr>
  </w:style>
  <w:style w:customStyle="true" w:styleId="eSPISCCParagraphDefaultFont" w:type="character">
    <w:name w:val="eSPIS_CC_Paragraph Default Font"/>
    <w:basedOn w:val="Zadanifontodlomka"/>
    <w:rsid w:val="00886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85A"/>
    <w:rPr>
      <w:bdr w:space="0" w:sz="0" w:color="auto" w:val="none"/>
      <w:shd w:fill="FFFFCC" w:color="auto" w:val="clear"/>
      <w:lang w:val="hr-HR"/>
    </w:rPr>
  </w:style>
  <w:style w:customStyle="true" w:styleId="PozadinaSvijetloCrvena" w:type="character">
    <w:name w:val="Pozadina_SvijetloCrvena"/>
    <w:basedOn w:val="eSPISCCParagraphDefaultFont"/>
    <w:rsid w:val="00886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85A"/>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34"/>
    <w:locked/>
    <w:rsid w:val="006925C1"/>
    <w:rPr>
      <w:rFonts w:eastAsia="Calibri" w:hAnsi="Calibri" w:ascii="Calibri"/>
      <w:sz w:val="22"/>
      <w:szCs w:val="22"/>
      <w:lang w:eastAsia="en-US"/>
    </w:rPr>
  </w:style>
  <w:style w:customStyle="true" w:styleId="st" w:type="character">
    <w:name w:val="st"/>
    <w:basedOn w:val="Zadanifontodlomka"/>
    <w:rsid w:val="00D86A7E"/>
  </w:style>
  <w:style w:customStyle="true" w:styleId="Naslov4Char" w:type="character">
    <w:name w:val="Naslov 4 Char"/>
    <w:basedOn w:val="Zadanifontodlomka"/>
    <w:link w:val="Naslov4"/>
    <w:uiPriority w:val="99"/>
    <w:rsid w:val="0093651C"/>
    <w:rPr>
      <w:rFonts w:hAnsi="Arial" w:ascii="Arial"/>
      <w:b/>
      <w:bCs/>
      <w:lang w:val="x-none"/>
    </w:rPr>
  </w:style>
  <w:style w:customStyle="true" w:styleId="Bezpopisa1" w:type="numbering">
    <w:name w:val="Bez popisa1"/>
    <w:next w:val="Bezpopisa"/>
    <w:uiPriority w:val="99"/>
    <w:semiHidden/>
    <w:unhideWhenUsed/>
    <w:rsid w:val="0093651C"/>
  </w:style>
  <w:style w:customStyle="true" w:styleId="BodyTextChar" w:type="character">
    <w:name w:val="Body Text Char"/>
    <w:uiPriority w:val="99"/>
    <w:rsid w:val="0093651C"/>
    <w:rPr>
      <w:rFonts w:cs="Arial" w:hAnsi="Arial" w:ascii="Arial"/>
      <w:sz w:val="20"/>
      <w:szCs w:val="20"/>
      <w:lang w:eastAsia="hr-HR" w:val="x-none"/>
    </w:rPr>
  </w:style>
  <w:style w:customStyle="true" w:styleId="BodyText3Char" w:type="character">
    <w:name w:val="Body Text 3 Char"/>
    <w:uiPriority w:val="99"/>
    <w:rsid w:val="0093651C"/>
    <w:rPr>
      <w:rFonts w:cs="Arial" w:hAnsi="Arial" w:ascii="Arial"/>
      <w:sz w:val="20"/>
      <w:szCs w:val="20"/>
      <w:lang w:eastAsia="hr-HR" w:val="x-none"/>
    </w:rPr>
  </w:style>
  <w:style w:customStyle="true" w:styleId="HeaderChar" w:type="character">
    <w:name w:val="Header Char"/>
    <w:uiPriority w:val="99"/>
    <w:rsid w:val="0093651C"/>
    <w:rPr>
      <w:rFonts w:cs="Times New Roman" w:hAnsi="Times New Roman" w:ascii="Times New Roman"/>
      <w:sz w:val="20"/>
      <w:szCs w:val="20"/>
      <w:lang w:eastAsia="hr-HR" w:val="x-none"/>
    </w:rPr>
  </w:style>
  <w:style w:customStyle="true" w:styleId="FooterChar" w:type="character">
    <w:name w:val="Footer Char"/>
    <w:uiPriority w:val="99"/>
    <w:rsid w:val="0093651C"/>
    <w:rPr>
      <w:rFonts w:cs="Times New Roman" w:hAnsi="Times New Roman" w:ascii="Times New Roman"/>
      <w:sz w:val="20"/>
      <w:szCs w:val="20"/>
      <w:lang w:eastAsia="hr-HR" w:val="x-none"/>
    </w:rPr>
  </w:style>
  <w:style w:customStyle="true" w:styleId="ListLabel1" w:type="character">
    <w:name w:val="ListLabel 1"/>
    <w:uiPriority w:val="99"/>
    <w:rsid w:val="0093651C"/>
    <w:rPr>
      <w:rFonts w:eastAsia="Times New Roman"/>
    </w:rPr>
  </w:style>
  <w:style w:customStyle="true" w:styleId="ListLabel2" w:type="character">
    <w:name w:val="ListLabel 2"/>
    <w:uiPriority w:val="99"/>
    <w:rsid w:val="0093651C"/>
  </w:style>
  <w:style w:customStyle="true" w:styleId="ListLabel3" w:type="character">
    <w:name w:val="ListLabel 3"/>
    <w:uiPriority w:val="99"/>
    <w:rsid w:val="0093651C"/>
    <w:rPr>
      <w:rFonts w:eastAsia="Times New Roman"/>
    </w:rPr>
  </w:style>
  <w:style w:customStyle="true" w:styleId="Heading" w:type="paragraph">
    <w:name w:val="Heading"/>
    <w:basedOn w:val="Normal"/>
    <w:next w:val="Textbody"/>
    <w:uiPriority w:val="99"/>
    <w:rsid w:val="0093651C"/>
    <w:pPr>
      <w:keepNext/>
      <w:suppressAutoHyphens/>
      <w:spacing w:lineRule="atLeast" w:line="100" w:after="120" w:before="240"/>
    </w:pPr>
    <w:rPr>
      <w:rFonts w:cs="Tahoma" w:hAnsi="Tahoma" w:ascii="Tahoma"/>
      <w:sz w:val="28"/>
      <w:szCs w:val="28"/>
      <w:lang w:eastAsia="hr-HR" w:val="en-US"/>
    </w:rPr>
  </w:style>
  <w:style w:customStyle="true" w:styleId="Textbody" w:type="paragraph">
    <w:name w:val="Text body"/>
    <w:basedOn w:val="Normal"/>
    <w:uiPriority w:val="99"/>
    <w:rsid w:val="0093651C"/>
    <w:pPr>
      <w:suppressAutoHyphens/>
      <w:spacing w:lineRule="atLeast" w:line="100"/>
    </w:pPr>
    <w:rPr>
      <w:rFonts w:cs="Arial" w:hAnsi="Arial" w:ascii="Arial"/>
      <w:sz w:val="22"/>
      <w:szCs w:val="22"/>
      <w:lang w:eastAsia="hr-HR" w:val="en-US"/>
    </w:rPr>
  </w:style>
  <w:style w:styleId="Popis" w:type="paragraph">
    <w:name w:val="List"/>
    <w:basedOn w:val="Textbody"/>
    <w:uiPriority w:val="99"/>
    <w:rsid w:val="0093651C"/>
    <w:rPr>
      <w:rFonts w:cs="Tahoma" w:hAnsi="Tahoma" w:ascii="Tahoma"/>
    </w:rPr>
  </w:style>
  <w:style w:styleId="Opisslike" w:type="paragraph">
    <w:name w:val="caption"/>
    <w:basedOn w:val="Normal"/>
    <w:uiPriority w:val="99"/>
    <w:qFormat/>
    <w:rsid w:val="0093651C"/>
    <w:pPr>
      <w:suppressLineNumbers/>
      <w:suppressAutoHyphens/>
      <w:spacing w:lineRule="atLeast" w:line="100" w:after="120" w:before="120"/>
    </w:pPr>
    <w:rPr>
      <w:rFonts w:cs="Tahoma" w:hAnsi="Tahoma" w:ascii="Tahoma"/>
      <w:i/>
      <w:iCs/>
      <w:lang w:eastAsia="hr-HR" w:val="en-US"/>
    </w:rPr>
  </w:style>
  <w:style w:customStyle="true" w:styleId="Index" w:type="paragraph">
    <w:name w:val="Index"/>
    <w:basedOn w:val="Normal"/>
    <w:uiPriority w:val="99"/>
    <w:rsid w:val="0093651C"/>
    <w:pPr>
      <w:suppressLineNumbers/>
      <w:suppressAutoHyphens/>
      <w:spacing w:lineRule="atLeast" w:line="100"/>
    </w:pPr>
    <w:rPr>
      <w:rFonts w:cs="Tahoma" w:hAnsi="Tahoma" w:ascii="Tahoma"/>
      <w:sz w:val="20"/>
      <w:szCs w:val="20"/>
      <w:lang w:eastAsia="hr-HR" w:val="en-US"/>
    </w:rPr>
  </w:style>
  <w:style w:styleId="Tijeloteksta3" w:type="paragraph">
    <w:name w:val="Body Text 3"/>
    <w:basedOn w:val="Normal"/>
    <w:link w:val="Tijeloteksta3Char"/>
    <w:uiPriority w:val="99"/>
    <w:rsid w:val="0093651C"/>
    <w:pPr>
      <w:suppressAutoHyphens/>
      <w:spacing w:lineRule="atLeast" w:line="100"/>
    </w:pPr>
    <w:rPr>
      <w:sz w:val="16"/>
      <w:szCs w:val="16"/>
      <w:lang w:eastAsia="x-none" w:val="en-US"/>
    </w:rPr>
  </w:style>
  <w:style w:customStyle="true" w:styleId="Tijeloteksta3Char" w:type="character">
    <w:name w:val="Tijelo teksta 3 Char"/>
    <w:basedOn w:val="Zadanifontodlomka"/>
    <w:link w:val="Tijeloteksta3"/>
    <w:uiPriority w:val="99"/>
    <w:rsid w:val="0093651C"/>
    <w:rPr>
      <w:sz w:val="16"/>
      <w:szCs w:val="16"/>
      <w:lang w:eastAsia="x-none" w:val="en-US"/>
    </w:rPr>
  </w:style>
  <w:style w:customStyle="true" w:styleId="Reetkatablice1" w:type="table">
    <w:name w:val="Rešetka tablice1"/>
    <w:basedOn w:val="Obinatablica"/>
    <w:next w:val="Reetkatablice"/>
    <w:rsid w:val="0093651C"/>
    <w:pPr>
      <w:suppressAutoHyphens/>
      <w:spacing w:lineRule="atLeast" w:line="100"/>
    </w:pPr>
    <w:rPr>
      <w:rFonts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lijeenaHiperveza" w:type="character">
    <w:name w:val="FollowedHyperlink"/>
    <w:uiPriority w:val="99"/>
    <w:semiHidden/>
    <w:unhideWhenUsed/>
    <w:rsid w:val="0093651C"/>
    <w:rPr>
      <w:color w:val="800080"/>
      <w:u w:val="single"/>
    </w:rPr>
  </w:style>
  <w:style w:customStyle="true" w:styleId="xl70" w:type="paragraph">
    <w:name w:val="xl70"/>
    <w:basedOn w:val="Normal"/>
    <w:rsid w:val="0093651C"/>
    <w:pPr>
      <w:pBdr>
        <w:top w:space="0" w:sz="4" w:color="auto" w:val="single"/>
        <w:left w:space="7" w:sz="4" w:color="auto" w:val="single"/>
        <w:bottom w:space="0" w:sz="4" w:color="auto" w:val="single"/>
        <w:right w:space="0" w:sz="4" w:color="auto" w:val="single"/>
      </w:pBdr>
      <w:spacing w:afterAutospacing="true" w:after="100" w:beforeAutospacing="true" w:before="100"/>
      <w:ind w:firstLineChars="100" w:firstLine="100"/>
      <w:textAlignment w:val="center"/>
    </w:pPr>
    <w:rPr>
      <w:lang w:eastAsia="hr-HR"/>
    </w:rPr>
  </w:style>
  <w:style w:customStyle="true" w:styleId="xl71" w:type="paragraph">
    <w:name w:val="xl71"/>
    <w:basedOn w:val="Normal"/>
    <w:rsid w:val="0093651C"/>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72" w:type="paragraph">
    <w:name w:val="xl72"/>
    <w:basedOn w:val="Normal"/>
    <w:rsid w:val="0093651C"/>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73" w:type="paragraph">
    <w:name w:val="xl73"/>
    <w:basedOn w:val="Normal"/>
    <w:rsid w:val="0093651C"/>
    <w:pPr>
      <w:pBdr>
        <w:top w:space="0" w:sz="4" w:color="auto" w:val="single"/>
        <w:left w:space="7" w:sz="4" w:color="auto" w:val="single"/>
        <w:bottom w:space="0" w:sz="4" w:color="auto" w:val="single"/>
        <w:right w:space="0" w:sz="4" w:color="auto" w:val="single"/>
      </w:pBdr>
      <w:spacing w:afterAutospacing="true" w:after="100" w:beforeAutospacing="true" w:before="100"/>
      <w:ind w:firstLineChars="100" w:firstLine="100"/>
      <w:textAlignment w:val="center"/>
    </w:pPr>
    <w:rPr>
      <w:lang w:eastAsia="hr-HR"/>
    </w:rPr>
  </w:style>
  <w:style w:customStyle="true" w:styleId="xl74" w:type="paragraph">
    <w:name w:val="xl74"/>
    <w:basedOn w:val="Normal"/>
    <w:rsid w:val="0093651C"/>
    <w:pPr>
      <w:pBdr>
        <w:top w:space="0" w:sz="4" w:color="auto" w:val="single"/>
        <w:left w:space="7" w:sz="4" w:color="auto" w:val="single"/>
        <w:bottom w:space="0" w:sz="4" w:color="auto" w:val="single"/>
        <w:right w:space="0" w:sz="4" w:color="auto" w:val="single"/>
      </w:pBdr>
      <w:spacing w:afterAutospacing="true" w:after="100" w:beforeAutospacing="true" w:before="100"/>
      <w:ind w:firstLineChars="100" w:firstLine="100"/>
      <w:textAlignment w:val="center"/>
    </w:pPr>
    <w:rPr>
      <w:lang w:eastAsia="hr-HR"/>
    </w:rPr>
  </w:style>
  <w:style w:customStyle="true" w:styleId="apple-converted-space" w:type="character">
    <w:name w:val="apple-converted-space"/>
    <w:basedOn w:val="Zadanifontodlomka"/>
    <w:rsid w:val="0093651C"/>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uiPriority="99"/>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99"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styleId="Naslov4" w:type="paragraph">
    <w:name w:val="heading 4"/>
    <w:basedOn w:val="Normal"/>
    <w:next w:val="Textbody"/>
    <w:link w:val="Naslov4Char"/>
    <w:uiPriority w:val="99"/>
    <w:qFormat/>
    <w:rsid w:val="0093651C"/>
    <w:pPr>
      <w:keepNext/>
      <w:numPr>
        <w:ilvl w:val="3"/>
        <w:numId w:val="1"/>
      </w:numPr>
      <w:suppressAutoHyphens/>
      <w:spacing w:line="100" w:lineRule="atLeast"/>
      <w:jc w:val="center"/>
      <w:outlineLvl w:val="3"/>
    </w:pPr>
    <w:rPr>
      <w:rFonts w:ascii="Arial" w:hAnsi="Arial"/>
      <w:b/>
      <w:bCs/>
      <w:sz w:val="20"/>
      <w:szCs w:val="20"/>
      <w:lang w:eastAsia="hr-HR"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5D2EB3"/>
    <w:rPr>
      <w:rFonts w:ascii="Tahoma" w:cs="Tahoma" w:hAnsi="Tahoma"/>
      <w:sz w:val="16"/>
      <w:szCs w:val="16"/>
    </w:rPr>
  </w:style>
  <w:style w:customStyle="1" w:styleId="TekstbaloniaChar" w:type="character">
    <w:name w:val="Tekst balončića Char"/>
    <w:link w:val="Tekstbalonia"/>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 w:type="character">
    <w:name w:val="st"/>
    <w:basedOn w:val="Zadanifontodlomka"/>
    <w:rsid w:val="00D86A7E"/>
  </w:style>
  <w:style w:customStyle="1" w:styleId="Naslov4Char" w:type="character">
    <w:name w:val="Naslov 4 Char"/>
    <w:basedOn w:val="Zadanifontodlomka"/>
    <w:link w:val="Naslov4"/>
    <w:uiPriority w:val="99"/>
    <w:rsid w:val="0093651C"/>
    <w:rPr>
      <w:rFonts w:ascii="Arial" w:hAnsi="Arial"/>
      <w:b/>
      <w:bCs/>
      <w:lang w:val="x-none"/>
    </w:rPr>
  </w:style>
  <w:style w:customStyle="1" w:styleId="Bezpopisa1" w:type="numbering">
    <w:name w:val="Bez popisa1"/>
    <w:next w:val="Bezpopisa"/>
    <w:uiPriority w:val="99"/>
    <w:semiHidden/>
    <w:unhideWhenUsed/>
    <w:rsid w:val="0093651C"/>
  </w:style>
  <w:style w:customStyle="1" w:styleId="BodyTextChar" w:type="character">
    <w:name w:val="Body Text Char"/>
    <w:uiPriority w:val="99"/>
    <w:rsid w:val="0093651C"/>
    <w:rPr>
      <w:rFonts w:ascii="Arial" w:cs="Arial" w:hAnsi="Arial"/>
      <w:sz w:val="20"/>
      <w:szCs w:val="20"/>
      <w:lang w:eastAsia="hr-HR" w:val="x-none"/>
    </w:rPr>
  </w:style>
  <w:style w:customStyle="1" w:styleId="BodyText3Char" w:type="character">
    <w:name w:val="Body Text 3 Char"/>
    <w:uiPriority w:val="99"/>
    <w:rsid w:val="0093651C"/>
    <w:rPr>
      <w:rFonts w:ascii="Arial" w:cs="Arial" w:hAnsi="Arial"/>
      <w:sz w:val="20"/>
      <w:szCs w:val="20"/>
      <w:lang w:eastAsia="hr-HR" w:val="x-none"/>
    </w:rPr>
  </w:style>
  <w:style w:customStyle="1" w:styleId="HeaderChar" w:type="character">
    <w:name w:val="Header Char"/>
    <w:uiPriority w:val="99"/>
    <w:rsid w:val="0093651C"/>
    <w:rPr>
      <w:rFonts w:ascii="Times New Roman" w:cs="Times New Roman" w:hAnsi="Times New Roman"/>
      <w:sz w:val="20"/>
      <w:szCs w:val="20"/>
      <w:lang w:eastAsia="hr-HR" w:val="x-none"/>
    </w:rPr>
  </w:style>
  <w:style w:customStyle="1" w:styleId="FooterChar" w:type="character">
    <w:name w:val="Footer Char"/>
    <w:uiPriority w:val="99"/>
    <w:rsid w:val="0093651C"/>
    <w:rPr>
      <w:rFonts w:ascii="Times New Roman" w:cs="Times New Roman" w:hAnsi="Times New Roman"/>
      <w:sz w:val="20"/>
      <w:szCs w:val="20"/>
      <w:lang w:eastAsia="hr-HR" w:val="x-none"/>
    </w:rPr>
  </w:style>
  <w:style w:customStyle="1" w:styleId="ListLabel1" w:type="character">
    <w:name w:val="ListLabel 1"/>
    <w:uiPriority w:val="99"/>
    <w:rsid w:val="0093651C"/>
    <w:rPr>
      <w:rFonts w:eastAsia="Times New Roman"/>
    </w:rPr>
  </w:style>
  <w:style w:customStyle="1" w:styleId="ListLabel2" w:type="character">
    <w:name w:val="ListLabel 2"/>
    <w:uiPriority w:val="99"/>
    <w:rsid w:val="0093651C"/>
  </w:style>
  <w:style w:customStyle="1" w:styleId="ListLabel3" w:type="character">
    <w:name w:val="ListLabel 3"/>
    <w:uiPriority w:val="99"/>
    <w:rsid w:val="0093651C"/>
    <w:rPr>
      <w:rFonts w:eastAsia="Times New Roman"/>
    </w:rPr>
  </w:style>
  <w:style w:customStyle="1" w:styleId="Heading" w:type="paragraph">
    <w:name w:val="Heading"/>
    <w:basedOn w:val="Normal"/>
    <w:next w:val="Textbody"/>
    <w:uiPriority w:val="99"/>
    <w:rsid w:val="0093651C"/>
    <w:pPr>
      <w:keepNext/>
      <w:suppressAutoHyphens/>
      <w:spacing w:after="120" w:before="240" w:line="100" w:lineRule="atLeast"/>
    </w:pPr>
    <w:rPr>
      <w:rFonts w:ascii="Tahoma" w:cs="Tahoma" w:hAnsi="Tahoma"/>
      <w:sz w:val="28"/>
      <w:szCs w:val="28"/>
      <w:lang w:eastAsia="hr-HR" w:val="en-US"/>
    </w:rPr>
  </w:style>
  <w:style w:customStyle="1" w:styleId="Textbody" w:type="paragraph">
    <w:name w:val="Text body"/>
    <w:basedOn w:val="Normal"/>
    <w:uiPriority w:val="99"/>
    <w:rsid w:val="0093651C"/>
    <w:pPr>
      <w:suppressAutoHyphens/>
      <w:spacing w:line="100" w:lineRule="atLeast"/>
    </w:pPr>
    <w:rPr>
      <w:rFonts w:ascii="Arial" w:cs="Arial" w:hAnsi="Arial"/>
      <w:sz w:val="22"/>
      <w:szCs w:val="22"/>
      <w:lang w:eastAsia="hr-HR" w:val="en-US"/>
    </w:rPr>
  </w:style>
  <w:style w:styleId="Popis" w:type="paragraph">
    <w:name w:val="List"/>
    <w:basedOn w:val="Textbody"/>
    <w:uiPriority w:val="99"/>
    <w:rsid w:val="0093651C"/>
    <w:rPr>
      <w:rFonts w:ascii="Tahoma" w:cs="Tahoma" w:hAnsi="Tahoma"/>
    </w:rPr>
  </w:style>
  <w:style w:styleId="Opisslike" w:type="paragraph">
    <w:name w:val="caption"/>
    <w:basedOn w:val="Normal"/>
    <w:uiPriority w:val="99"/>
    <w:qFormat/>
    <w:rsid w:val="0093651C"/>
    <w:pPr>
      <w:suppressLineNumbers/>
      <w:suppressAutoHyphens/>
      <w:spacing w:after="120" w:before="120" w:line="100" w:lineRule="atLeast"/>
    </w:pPr>
    <w:rPr>
      <w:rFonts w:ascii="Tahoma" w:cs="Tahoma" w:hAnsi="Tahoma"/>
      <w:i/>
      <w:iCs/>
      <w:lang w:eastAsia="hr-HR" w:val="en-US"/>
    </w:rPr>
  </w:style>
  <w:style w:customStyle="1" w:styleId="Index" w:type="paragraph">
    <w:name w:val="Index"/>
    <w:basedOn w:val="Normal"/>
    <w:uiPriority w:val="99"/>
    <w:rsid w:val="0093651C"/>
    <w:pPr>
      <w:suppressLineNumbers/>
      <w:suppressAutoHyphens/>
      <w:spacing w:line="100" w:lineRule="atLeast"/>
    </w:pPr>
    <w:rPr>
      <w:rFonts w:ascii="Tahoma" w:cs="Tahoma" w:hAnsi="Tahoma"/>
      <w:sz w:val="20"/>
      <w:szCs w:val="20"/>
      <w:lang w:eastAsia="hr-HR" w:val="en-US"/>
    </w:rPr>
  </w:style>
  <w:style w:styleId="Tijeloteksta3" w:type="paragraph">
    <w:name w:val="Body Text 3"/>
    <w:basedOn w:val="Normal"/>
    <w:link w:val="Tijeloteksta3Char"/>
    <w:uiPriority w:val="99"/>
    <w:rsid w:val="0093651C"/>
    <w:pPr>
      <w:suppressAutoHyphens/>
      <w:spacing w:line="100" w:lineRule="atLeast"/>
    </w:pPr>
    <w:rPr>
      <w:sz w:val="16"/>
      <w:szCs w:val="16"/>
      <w:lang w:eastAsia="x-none" w:val="en-US"/>
    </w:rPr>
  </w:style>
  <w:style w:customStyle="1" w:styleId="Tijeloteksta3Char" w:type="character">
    <w:name w:val="Tijelo teksta 3 Char"/>
    <w:basedOn w:val="Zadanifontodlomka"/>
    <w:link w:val="Tijeloteksta3"/>
    <w:uiPriority w:val="99"/>
    <w:rsid w:val="0093651C"/>
    <w:rPr>
      <w:sz w:val="16"/>
      <w:szCs w:val="16"/>
      <w:lang w:eastAsia="x-none" w:val="en-US"/>
    </w:rPr>
  </w:style>
  <w:style w:customStyle="1" w:styleId="Reetkatablice1" w:type="table">
    <w:name w:val="Rešetka tablice1"/>
    <w:basedOn w:val="Obinatablica"/>
    <w:next w:val="Reetkatablice"/>
    <w:rsid w:val="0093651C"/>
    <w:pPr>
      <w:suppressAutoHyphens/>
      <w:spacing w:line="100" w:lineRule="atLeast"/>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lijeenaHiperveza" w:type="character">
    <w:name w:val="FollowedHyperlink"/>
    <w:uiPriority w:val="99"/>
    <w:semiHidden/>
    <w:unhideWhenUsed/>
    <w:rsid w:val="0093651C"/>
    <w:rPr>
      <w:color w:val="800080"/>
      <w:u w:val="single"/>
    </w:rPr>
  </w:style>
  <w:style w:customStyle="1" w:styleId="xl70" w:type="paragraph">
    <w:name w:val="xl70"/>
    <w:basedOn w:val="Normal"/>
    <w:rsid w:val="0093651C"/>
    <w:pPr>
      <w:pBdr>
        <w:top w:color="auto" w:space="0" w:sz="4" w:val="single"/>
        <w:left w:color="auto" w:space="7" w:sz="4" w:val="single"/>
        <w:bottom w:color="auto" w:space="0" w:sz="4" w:val="single"/>
        <w:right w:color="auto" w:space="0" w:sz="4" w:val="single"/>
      </w:pBdr>
      <w:spacing w:after="100" w:afterAutospacing="1" w:before="100" w:beforeAutospacing="1"/>
      <w:ind w:firstLine="100" w:firstLineChars="100"/>
      <w:textAlignment w:val="center"/>
    </w:pPr>
    <w:rPr>
      <w:lang w:eastAsia="hr-HR"/>
    </w:rPr>
  </w:style>
  <w:style w:customStyle="1" w:styleId="xl71" w:type="paragraph">
    <w:name w:val="xl71"/>
    <w:basedOn w:val="Normal"/>
    <w:rsid w:val="0093651C"/>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72" w:type="paragraph">
    <w:name w:val="xl72"/>
    <w:basedOn w:val="Normal"/>
    <w:rsid w:val="0093651C"/>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73" w:type="paragraph">
    <w:name w:val="xl73"/>
    <w:basedOn w:val="Normal"/>
    <w:rsid w:val="0093651C"/>
    <w:pPr>
      <w:pBdr>
        <w:top w:color="auto" w:space="0" w:sz="4" w:val="single"/>
        <w:left w:color="auto" w:space="7" w:sz="4" w:val="single"/>
        <w:bottom w:color="auto" w:space="0" w:sz="4" w:val="single"/>
        <w:right w:color="auto" w:space="0" w:sz="4" w:val="single"/>
      </w:pBdr>
      <w:spacing w:after="100" w:afterAutospacing="1" w:before="100" w:beforeAutospacing="1"/>
      <w:ind w:firstLine="100" w:firstLineChars="100"/>
      <w:textAlignment w:val="center"/>
    </w:pPr>
    <w:rPr>
      <w:lang w:eastAsia="hr-HR"/>
    </w:rPr>
  </w:style>
  <w:style w:customStyle="1" w:styleId="xl74" w:type="paragraph">
    <w:name w:val="xl74"/>
    <w:basedOn w:val="Normal"/>
    <w:rsid w:val="0093651C"/>
    <w:pPr>
      <w:pBdr>
        <w:top w:color="auto" w:space="0" w:sz="4" w:val="single"/>
        <w:left w:color="auto" w:space="7" w:sz="4" w:val="single"/>
        <w:bottom w:color="auto" w:space="0" w:sz="4" w:val="single"/>
        <w:right w:color="auto" w:space="0" w:sz="4" w:val="single"/>
      </w:pBdr>
      <w:spacing w:after="100" w:afterAutospacing="1" w:before="100" w:beforeAutospacing="1"/>
      <w:ind w:firstLine="100" w:firstLineChars="100"/>
      <w:textAlignment w:val="center"/>
    </w:pPr>
    <w:rPr>
      <w:lang w:eastAsia="hr-HR"/>
    </w:rPr>
  </w:style>
  <w:style w:customStyle="1" w:styleId="apple-converted-space" w:type="character">
    <w:name w:val="apple-converted-space"/>
    <w:basedOn w:val="Zadanifontodlomka"/>
    <w:rsid w:val="0093651C"/>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St-2079/2017-33</izvorni_sadrzaj>
    <derivirana_varijabla naziv="DomainObject.Oznaka_1">St-2079/2017-33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23</izvorni_sadrzaj>
    <derivirana_varijabla naziv="DomainObject.BrojStranica_1">23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2079</izvorni_sadrzaj>
    <derivirana_varijabla naziv="DomainObject.Predmet.Broj_1">2079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St-2079/2017</izvorni_sadrzaj>
    <derivirana_varijabla naziv="DomainObject.Predmet.OznakaBroj_1">St-2079/2017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GRAĐENJE HERC d.o.o.</izvorni_sadrzaj>
    <derivirana_varijabla naziv="DomainObject.Predmet.ProtustrankaFormated_1">  GRAĐENJE HERC d.o.o.</derivirana_varijabla>
  </DomainObject.Predmet.ProtustrankaFormated>
  <DomainObject.Predmet.ProtustrankaFormatedOIB>
    <izvorni_sadrzaj>  GRAĐENJE HERC d.o.o., OIB 66385532845</izvorni_sadrzaj>
    <derivirana_varijabla naziv="DomainObject.Predmet.ProtustrankaFormatedOIB_1">  GRAĐENJE HERC d.o.o., OIB 66385532845</derivirana_varijabla>
  </DomainObject.Predmet.ProtustrankaFormatedOIB>
  <DomainObject.Predmet.ProtustrankaFormatedWithAdress>
    <izvorni_sadrzaj> GRAĐENJE HERC d.o.o., Ilica 253, 10000 Zagreb</izvorni_sadrzaj>
    <derivirana_varijabla naziv="DomainObject.Predmet.ProtustrankaFormatedWithAdress_1"> GRAĐENJE HERC d.o.o., Ilica 253, 10000 Zagreb</derivirana_varijabla>
  </DomainObject.Predmet.ProtustrankaFormatedWithAdress>
  <DomainObject.Predmet.ProtustrankaFormatedWithAdressOIB>
    <izvorni_sadrzaj> GRAĐENJE HERC d.o.o., OIB 66385532845, Ilica 253, 10000 Zagreb</izvorni_sadrzaj>
    <derivirana_varijabla naziv="DomainObject.Predmet.ProtustrankaFormatedWithAdressOIB_1"> GRAĐENJE HERC d.o.o., OIB 66385532845, Ilica 253, 10000 Zagreb</derivirana_varijabla>
  </DomainObject.Predmet.ProtustrankaFormatedWithAdressOIB>
  <DomainObject.Predmet.ProtustrankaWithAdress>
    <izvorni_sadrzaj>GRAĐENJE HERC d.o.o. Ilica 253, 10000 Zagreb</izvorni_sadrzaj>
    <derivirana_varijabla naziv="DomainObject.Predmet.ProtustrankaWithAdress_1">GRAĐENJE HERC d.o.o. Ilica 253, 10000 Zagreb</derivirana_varijabla>
  </DomainObject.Predmet.ProtustrankaWithAdress>
  <DomainObject.Predmet.ProtustrankaWithAdressOIB>
    <izvorni_sadrzaj>GRAĐENJE HERC d.o.o., OIB 66385532845, Ilica 253, 10000 Zagreb</izvorni_sadrzaj>
    <derivirana_varijabla naziv="DomainObject.Predmet.ProtustrankaWithAdressOIB_1">GRAĐENJE HERC d.o.o., OIB 66385532845, Ilica 253, 10000 Zagreb</derivirana_varijabla>
  </DomainObject.Predmet.ProtustrankaWithAdressOIB>
  <DomainObject.Predmet.ProtustrankaNazivFormated>
    <izvorni_sadrzaj>GRAĐENJE HERC d.o.o.</izvorni_sadrzaj>
    <derivirana_varijabla naziv="DomainObject.Predmet.ProtustrankaNazivFormated_1">GRAĐENJE HERC d.o.o.</derivirana_varijabla>
  </DomainObject.Predmet.ProtustrankaNazivFormated>
  <DomainObject.Predmet.ProtustrankaNazivFormatedOIB>
    <izvorni_sadrzaj>GRAĐENJE HERC d.o.o., OIB 66385532845</izvorni_sadrzaj>
    <derivirana_varijabla naziv="DomainObject.Predmet.ProtustrankaNazivFormatedOIB_1">GRAĐENJE HERC d.o.o., OIB 66385532845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GRAĐENJE HERC d.o.o.</izvorni_sadrzaj>
    <derivirana_varijabla naziv="DomainObject.Predmet.StrankaFormated_1">  GRAĐENJE HERC d.o.o.</derivirana_varijabla>
  </DomainObject.Predmet.StrankaFormated>
  <DomainObject.Predmet.StrankaFormatedOIB>
    <izvorni_sadrzaj>  GRAĐENJE HERC d.o.o., OIB 66385532845</izvorni_sadrzaj>
    <derivirana_varijabla naziv="DomainObject.Predmet.StrankaFormatedOIB_1">  GRAĐENJE HERC d.o.o., OIB 66385532845</derivirana_varijabla>
  </DomainObject.Predmet.StrankaFormatedOIB>
  <DomainObject.Predmet.StrankaFormatedWithAdress>
    <izvorni_sadrzaj> GRAĐENJE HERC d.o.o., Ilica 253, 10000 Zagreb</izvorni_sadrzaj>
    <derivirana_varijabla naziv="DomainObject.Predmet.StrankaFormatedWithAdress_1"> GRAĐENJE HERC d.o.o., Ilica 253, 10000 Zagreb</derivirana_varijabla>
  </DomainObject.Predmet.StrankaFormatedWithAdress>
  <DomainObject.Predmet.StrankaFormatedWithAdressOIB>
    <izvorni_sadrzaj> GRAĐENJE HERC d.o.o., OIB 66385532845, Ilica 253, 10000 Zagreb</izvorni_sadrzaj>
    <derivirana_varijabla naziv="DomainObject.Predmet.StrankaFormatedWithAdressOIB_1"> GRAĐENJE HERC d.o.o., OIB 66385532845, Ilica 253, 10000 Zagreb</derivirana_varijabla>
  </DomainObject.Predmet.StrankaFormatedWithAdressOIB>
  <DomainObject.Predmet.StrankaWithAdress>
    <izvorni_sadrzaj>GRAĐENJE HERC d.o.o. Ilica 253,10000 Zagreb</izvorni_sadrzaj>
    <derivirana_varijabla naziv="DomainObject.Predmet.StrankaWithAdress_1">GRAĐENJE HERC d.o.o. Ilica 253,10000 Zagreb</derivirana_varijabla>
  </DomainObject.Predmet.StrankaWithAdress>
  <DomainObject.Predmet.StrankaWithAdressOIB>
    <izvorni_sadrzaj>GRAĐENJE HERC d.o.o., OIB 66385532845, Ilica 253,10000 Zagreb</izvorni_sadrzaj>
    <derivirana_varijabla naziv="DomainObject.Predmet.StrankaWithAdressOIB_1">GRAĐENJE HERC d.o.o., OIB 66385532845, Ilica 253,10000 Zagreb</derivirana_varijabla>
  </DomainObject.Predmet.StrankaWithAdressOIB>
  <DomainObject.Predmet.StrankaNazivFormated>
    <izvorni_sadrzaj>GRAĐENJE HERC d.o.o.</izvorni_sadrzaj>
    <derivirana_varijabla naziv="DomainObject.Predmet.StrankaNazivFormated_1">GRAĐENJE HERC d.o.o.</derivirana_varijabla>
  </DomainObject.Predmet.StrankaNazivFormated>
  <DomainObject.Predmet.StrankaNazivFormatedOIB>
    <izvorni_sadrzaj>GRAĐENJE HERC d.o.o., OIB 66385532845</izvorni_sadrzaj>
    <derivirana_varijabla naziv="DomainObject.Predmet.StrankaNazivFormatedOIB_1">GRAĐENJE HERC d.o.o., OIB 66385532845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GRAĐENJE HERC d.o.o.</item>
    </izvorni_sadrzaj>
    <derivirana_varijabla naziv="DomainObject.Predmet.StrankaListFormated_1">
      <item>GRAĐENJE HERC d.o.o.</item>
    </derivirana_varijabla>
  </DomainObject.Predmet.StrankaListFormated>
  <DomainObject.Predmet.StrankaListFormatedOIB>
    <izvorni_sadrzaj>
      <item>GRAĐENJE HERC d.o.o., OIB 66385532845</item>
    </izvorni_sadrzaj>
    <derivirana_varijabla naziv="DomainObject.Predmet.StrankaListFormatedOIB_1">
      <item>GRAĐENJE HERC d.o.o., OIB 66385532845</item>
    </derivirana_varijabla>
  </DomainObject.Predmet.StrankaListFormatedOIB>
  <DomainObject.Predmet.StrankaListFormatedWithAdress>
    <izvorni_sadrzaj>
      <item>GRAĐENJE HERC d.o.o., Ilica 253, 10000 Zagreb</item>
    </izvorni_sadrzaj>
    <derivirana_varijabla naziv="DomainObject.Predmet.StrankaListFormatedWithAdress_1">
      <item>GRAĐENJE HERC d.o.o., Ilica 253, 10000 Zagreb</item>
    </derivirana_varijabla>
  </DomainObject.Predmet.StrankaListFormatedWithAdress>
  <DomainObject.Predmet.StrankaListFormatedWithAdressOIB>
    <izvorni_sadrzaj>
      <item>GRAĐENJE HERC d.o.o., OIB 66385532845, Ilica 253, 10000 Zagreb</item>
    </izvorni_sadrzaj>
    <derivirana_varijabla naziv="DomainObject.Predmet.StrankaListFormatedWithAdressOIB_1">
      <item>GRAĐENJE HERC d.o.o., OIB 66385532845, Ilica 253, 10000 Zagreb</item>
    </derivirana_varijabla>
  </DomainObject.Predmet.StrankaListFormatedWithAdressOIB>
  <DomainObject.Predmet.StrankaListNazivFormated>
    <izvorni_sadrzaj>
      <item>GRAĐENJE HERC d.o.o.</item>
    </izvorni_sadrzaj>
    <derivirana_varijabla naziv="DomainObject.Predmet.StrankaListNazivFormated_1">
      <item>GRAĐENJE HERC d.o.o.</item>
    </derivirana_varijabla>
  </DomainObject.Predmet.StrankaListNazivFormated>
  <DomainObject.Predmet.StrankaListNazivFormatedOIB>
    <izvorni_sadrzaj>
      <item>GRAĐENJE HERC d.o.o., OIB 66385532845</item>
    </izvorni_sadrzaj>
    <derivirana_varijabla naziv="DomainObject.Predmet.StrankaListNazivFormatedOIB_1">
      <item>GRAĐENJE HERC d.o.o., OIB 66385532845</item>
    </derivirana_varijabla>
  </DomainObject.Predmet.StrankaListNazivFormatedOIB>
  <DomainObject.Predmet.ProtuStrankaListFormated>
    <izvorni_sadrzaj>
      <item>GRAĐENJE HERC d.o.o.</item>
    </izvorni_sadrzaj>
    <derivirana_varijabla naziv="DomainObject.Predmet.ProtuStrankaListFormated_1">
      <item>GRAĐENJE HERC d.o.o.</item>
    </derivirana_varijabla>
  </DomainObject.Predmet.ProtuStrankaListFormated>
  <DomainObject.Predmet.ProtuStrankaListFormatedOIB>
    <izvorni_sadrzaj>
      <item>GRAĐENJE HERC d.o.o., OIB 66385532845</item>
    </izvorni_sadrzaj>
    <derivirana_varijabla naziv="DomainObject.Predmet.ProtuStrankaListFormatedOIB_1">
      <item>GRAĐENJE HERC d.o.o., OIB 66385532845</item>
    </derivirana_varijabla>
  </DomainObject.Predmet.ProtuStrankaListFormatedOIB>
  <DomainObject.Predmet.ProtuStrankaListFormatedWithAdress>
    <izvorni_sadrzaj>
      <item>GRAĐENJE HERC d.o.o., Ilica 253, 10000 Zagreb</item>
    </izvorni_sadrzaj>
    <derivirana_varijabla naziv="DomainObject.Predmet.ProtuStrankaListFormatedWithAdress_1">
      <item>GRAĐENJE HERC d.o.o., Ilica 253, 10000 Zagreb</item>
    </derivirana_varijabla>
  </DomainObject.Predmet.ProtuStrankaListFormatedWithAdress>
  <DomainObject.Predmet.ProtuStrankaListFormatedWithAdressOIB>
    <izvorni_sadrzaj>
      <item>GRAĐENJE HERC d.o.o., OIB 66385532845, Ilica 253, 10000 Zagreb</item>
    </izvorni_sadrzaj>
    <derivirana_varijabla naziv="DomainObject.Predmet.ProtuStrankaListFormatedWithAdressOIB_1">
      <item>GRAĐENJE HERC d.o.o., OIB 66385532845, Ilica 253, 10000 Zagreb</item>
    </derivirana_varijabla>
  </DomainObject.Predmet.ProtuStrankaListFormatedWithAdressOIB>
  <DomainObject.Predmet.ProtuStrankaListNazivFormated>
    <izvorni_sadrzaj>
      <item>GRAĐENJE HERC d.o.o.</item>
    </izvorni_sadrzaj>
    <derivirana_varijabla naziv="DomainObject.Predmet.ProtuStrankaListNazivFormated_1">
      <item>GRAĐENJE HERC d.o.o.</item>
    </derivirana_varijabla>
  </DomainObject.Predmet.ProtuStrankaListNazivFormated>
  <DomainObject.Predmet.ProtuStrankaListNazivFormatedOIB>
    <izvorni_sadrzaj>
      <item>GRAĐENJE HERC d.o.o., OIB 66385532845</item>
    </izvorni_sadrzaj>
    <derivirana_varijabla naziv="DomainObject.Predmet.ProtuStrankaListNazivFormatedOIB_1">
      <item>GRAĐENJE HERC d.o.o., OIB 66385532845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St-2079/2017-33</izvorni_sadrzaj>
    <derivirana_varijabla naziv="DomainObject.PoslovniBrojDokumenta_1">St-2079/2017-33</derivirana_varijabla>
  </DomainObject.PoslovniBrojDokumenta>
  <DomainObject.Predmet.StrankaIDrugi>
    <izvorni_sadrzaj>GRAĐENJE HERC d.o.o.</izvorni_sadrzaj>
    <derivirana_varijabla naziv="DomainObject.Predmet.StrankaIDrugi_1">GRAĐENJE HERC d.o.o.</derivirana_varijabla>
  </DomainObject.Predmet.StrankaIDrugi>
  <DomainObject.Predmet.ProtustrankaIDrugi>
    <izvorni_sadrzaj>GRAĐENJE HERC d.o.o.</izvorni_sadrzaj>
    <derivirana_varijabla naziv="DomainObject.Predmet.ProtustrankaIDrugi_1">GRAĐENJE HERC d.o.o.</derivirana_varijabla>
  </DomainObject.Predmet.ProtustrankaIDrugi>
  <DomainObject.Predmet.StrankaIDrugiAdressOIB>
    <izvorni_sadrzaj>GRAĐENJE HERC d.o.o., OIB 66385532845, Ilica 253, 10000 Zagreb</izvorni_sadrzaj>
    <derivirana_varijabla naziv="DomainObject.Predmet.StrankaIDrugiAdressOIB_1">GRAĐENJE HERC d.o.o., OIB 66385532845, Ilica 253, 10000 Zagreb</derivirana_varijabla>
  </DomainObject.Predmet.StrankaIDrugiAdressOIB>
  <DomainObject.Predmet.ProtustrankaIDrugiAdressOIB>
    <izvorni_sadrzaj>GRAĐENJE HERC d.o.o., OIB 66385532845, Ilica 253, 10000 Zagreb</izvorni_sadrzaj>
    <derivirana_varijabla naziv="DomainObject.Predmet.ProtustrankaIDrugiAdressOIB_1">GRAĐENJE HERC d.o.o., OIB 66385532845, Ilica 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GRAĐENJE HERC d.o.o.</item>
      <item>GRAĐENJE HERC d.o.o.</item>
    </izvorni_sadrzaj>
    <derivirana_varijabla naziv="DomainObject.Predmet.SudioniciListNaziv_1">
      <item>GRAĐENJE HERC d.o.o.</item>
      <item>GRAĐENJE HERC d.o.o.</item>
    </derivirana_varijabla>
  </DomainObject.Predmet.SudioniciListNaziv>
  <DomainObject.Predmet.SudioniciListAdressOIB>
    <izvorni_sadrzaj>
      <item>GRAĐENJE HERC d.o.o., OIB 66385532845, Ilica 253,10000 Zagreb</item>
      <item>GRAĐENJE HERC d.o.o., OIB 66385532845, Ilica 253,10000 Zagreb</item>
    </izvorni_sadrzaj>
    <derivirana_varijabla naziv="DomainObject.Predmet.SudioniciListAdressOIB_1">
      <item>GRAĐENJE HERC d.o.o., OIB 66385532845, Ilica 253,10000 Zagreb</item>
      <item>GRAĐENJE HERC d.o.o., OIB 66385532845, Ilica 253,10000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66385532845</item>
      <item>, OIB 66385532845</item>
    </izvorni_sadrzaj>
    <derivirana_varijabla naziv="DomainObject.Predmet.SudioniciListNazivOIB_1">
      <item>, OIB 66385532845</item>
      <item>, OIB 66385532845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44689D-2485-4E8E-AEFD-359D7274D0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24</properties:Pages>
  <properties:Words>8998</properties:Words>
  <properties:Characters>47461</properties:Characters>
  <properties:Lines>4312</properties:Lines>
  <properties:Paragraphs>3933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Vts</vt:lpstr>
      <vt:lpstr>Vts</vt:lpstr>
    </vt:vector>
  </properties:TitlesOfParts>
  <properties:LinksUpToDate>false</properties:LinksUpToDate>
  <properties:CharactersWithSpaces>54256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2017-09-29T11:27:00Z</dcterms:created>
  <dc:creator>agalic</dc:creator>
  <cp:lastModifiedBy>Matea Bizjak</cp:lastModifiedBy>
  <cp:lastPrinted>2017-09-29T11:28:00Z</cp:lastPrinted>
  <dcterms:modified xmlns:xsi="http://www.w3.org/2001/XMLSchema-instance" xsi:type="dcterms:W3CDTF">2017-09-29T11:29:00Z</dcterms:modified>
  <cp:revision>4</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St-2079/2017-33 / Odluka - Rješenje o odobravanju sklapanja predstečajne nagodbe</vt:lpwstr>
  </prop:property>
  <prop:property name="CC_coloring" pid="4" fmtid="{D5CDD505-2E9C-101B-9397-08002B2CF9AE}">
    <vt:bool>false</vt:bool>
  </prop:property>
  <prop:property name="BrojStranica" pid="5" fmtid="{D5CDD505-2E9C-101B-9397-08002B2CF9AE}">
    <vt:i4>24</vt:i4>
  </prop:property>
</prop:Properties>
</file>