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3459" w14:paraId="27b3459" w:rsidRDefault="00CB510C" w:rsidR="004E53FB">
      <w:pPr>
        <w:pStyle w:val="Standard"/>
        <w:widowControl w:val="false"/>
        <w:spacing w:lineRule="atLeast" w:line="0"/>
        <w:ind w:left="-283"/>
        <w:jc w:val="right"/>
        <w15:collapsed w:val="false"/>
        <w:rPr>
          <w:rFonts w:hint="eastAsia"/>
          <w:b/>
          <w:bCs/>
          <w:sz w:val="22"/>
          <w:szCs w:val="22"/>
        </w:rPr>
      </w:pPr>
      <w:bookmarkStart w:name="_GoBack" w:id="0"/>
      <w:bookmarkEnd w:id="0"/>
      <w:r>
        <w:rPr>
          <w:b/>
          <w:bCs/>
          <w:sz w:val="22"/>
          <w:szCs w:val="22"/>
        </w:rPr>
        <w:t>Na St-5718/16</w:t>
      </w:r>
    </w:p>
    <w:p w:rsidRDefault="004E53FB" w:rsidR="004E53FB">
      <w:pPr>
        <w:pStyle w:val="Textbody"/>
        <w:spacing w:lineRule="atLeast" w:line="0" w:after="0"/>
        <w:ind w:right="-288" w:left="-278"/>
        <w:jc w:val="center"/>
        <w:rPr>
          <w:rFonts w:hint="eastAsia"/>
          <w:b/>
          <w:bCs/>
          <w:sz w:val="22"/>
          <w:szCs w:val="22"/>
        </w:rPr>
      </w:pPr>
    </w:p>
    <w:p w:rsidRDefault="004E53FB" w:rsidR="004E53FB">
      <w:pPr>
        <w:pStyle w:val="Textbody"/>
        <w:spacing w:lineRule="atLeast" w:line="0" w:after="0"/>
        <w:ind w:right="-288" w:left="-278"/>
        <w:rPr>
          <w:rFonts w:hint="eastAsia"/>
          <w:b/>
          <w:bCs/>
          <w:sz w:val="22"/>
          <w:szCs w:val="22"/>
        </w:rPr>
      </w:pPr>
    </w:p>
    <w:p w:rsidRDefault="004E53FB" w:rsidR="004E53FB">
      <w:pPr>
        <w:pStyle w:val="Textbody"/>
        <w:spacing w:lineRule="atLeast" w:line="0" w:after="0"/>
        <w:ind w:right="-288"/>
        <w:rPr>
          <w:rFonts w:hint="eastAsia"/>
          <w:b/>
          <w:bCs/>
          <w:sz w:val="22"/>
          <w:szCs w:val="22"/>
        </w:rPr>
      </w:pPr>
    </w:p>
    <w:p w:rsidRDefault="004E53FB" w:rsidR="004E53FB">
      <w:pPr>
        <w:pStyle w:val="Textbody"/>
        <w:spacing w:lineRule="atLeast" w:line="0" w:after="0"/>
        <w:ind w:right="-288" w:left="-278"/>
        <w:rPr>
          <w:rFonts w:hint="eastAsia"/>
          <w:b/>
          <w:bCs/>
          <w:sz w:val="22"/>
          <w:szCs w:val="22"/>
        </w:rPr>
      </w:pPr>
    </w:p>
    <w:p w:rsidRDefault="00CB510C" w:rsidR="004E53FB">
      <w:pPr>
        <w:pStyle w:val="Textbody"/>
        <w:widowControl w:val="false"/>
        <w:spacing w:lineRule="atLeast" w:line="0" w:after="0"/>
        <w:jc w:val="center"/>
        <w:rPr>
          <w:rFonts w:hint="eastAsia"/>
          <w:b/>
          <w:sz w:val="28"/>
          <w:szCs w:val="28"/>
        </w:rPr>
      </w:pPr>
      <w:r>
        <w:rPr>
          <w:b/>
          <w:sz w:val="28"/>
          <w:szCs w:val="28"/>
        </w:rPr>
        <w:t>TRGOVAČKI SUD U ZAGREBU</w:t>
      </w:r>
    </w:p>
    <w:p w:rsidRDefault="004E53FB" w:rsidR="004E53FB">
      <w:pPr>
        <w:pStyle w:val="Textbody"/>
        <w:spacing w:lineRule="atLeast" w:line="0" w:after="0"/>
        <w:ind w:right="-288" w:left="-278"/>
        <w:rPr>
          <w:rFonts w:hint="eastAsia"/>
          <w:b/>
          <w:sz w:val="22"/>
          <w:szCs w:val="22"/>
        </w:rPr>
      </w:pPr>
    </w:p>
    <w:p w:rsidRDefault="004E53FB" w:rsidR="004E53FB">
      <w:pPr>
        <w:pStyle w:val="Textbody"/>
        <w:spacing w:lineRule="atLeast" w:line="0" w:after="0"/>
        <w:ind w:right="-288" w:left="-278"/>
        <w:rPr>
          <w:rFonts w:hint="eastAsia"/>
          <w:b/>
          <w:sz w:val="22"/>
          <w:szCs w:val="22"/>
        </w:rPr>
      </w:pPr>
    </w:p>
    <w:p w:rsidRDefault="004E53FB" w:rsidR="004E53FB">
      <w:pPr>
        <w:pStyle w:val="Textbody"/>
        <w:spacing w:lineRule="atLeast" w:line="0" w:after="0"/>
        <w:ind w:right="-288" w:left="-278"/>
        <w:rPr>
          <w:rFonts w:hint="eastAsia"/>
          <w:b/>
          <w:sz w:val="22"/>
          <w:szCs w:val="22"/>
        </w:rPr>
      </w:pPr>
    </w:p>
    <w:p w:rsidRDefault="004E53FB" w:rsidR="004E53FB">
      <w:pPr>
        <w:pStyle w:val="Textbody"/>
        <w:spacing w:lineRule="atLeast" w:line="0" w:after="0"/>
        <w:ind w:right="-288" w:left="-278"/>
        <w:rPr>
          <w:rFonts w:hint="eastAsia"/>
          <w:b/>
          <w:sz w:val="22"/>
          <w:szCs w:val="22"/>
        </w:rPr>
      </w:pPr>
    </w:p>
    <w:p w:rsidRDefault="00CB510C" w:rsidR="004E53FB">
      <w:pPr>
        <w:pStyle w:val="Textbody"/>
        <w:widowControl w:val="false"/>
        <w:spacing w:lineRule="atLeast" w:line="0" w:after="0"/>
        <w:ind w:left="-283"/>
        <w:jc w:val="right"/>
        <w:rPr>
          <w:rFonts w:hint="eastAsia"/>
          <w:b/>
          <w:bCs/>
          <w:sz w:val="22"/>
          <w:szCs w:val="22"/>
          <w:u w:val="single"/>
        </w:rPr>
      </w:pPr>
      <w:r>
        <w:rPr>
          <w:sz w:val="22"/>
        </w:rPr>
        <w:t>Z A G R E B</w:t>
      </w:r>
    </w:p>
    <w:p w:rsidRDefault="004E53FB" w:rsidR="004E53FB">
      <w:pPr>
        <w:pStyle w:val="Standard"/>
        <w:rPr>
          <w:rFonts w:hint="eastAsia"/>
          <w:b/>
          <w:bCs/>
        </w:rPr>
      </w:pPr>
    </w:p>
    <w:p w:rsidRDefault="004E53FB" w:rsidR="004E53FB">
      <w:pPr>
        <w:pStyle w:val="Standard"/>
        <w:rPr>
          <w:rFonts w:hint="eastAsia"/>
          <w:b/>
          <w:bCs/>
        </w:rPr>
      </w:pPr>
    </w:p>
    <w:p w:rsidRDefault="004E53FB" w:rsidR="004E53FB">
      <w:pPr>
        <w:pStyle w:val="Standard"/>
        <w:rPr>
          <w:rFonts w:hint="eastAsia"/>
          <w:b/>
          <w:bCs/>
        </w:rPr>
      </w:pPr>
    </w:p>
    <w:p w:rsidRDefault="004E53FB" w:rsidR="004E53FB">
      <w:pPr>
        <w:pStyle w:val="Standard"/>
        <w:rPr>
          <w:rFonts w:hint="eastAsia"/>
          <w:b/>
          <w:bCs/>
        </w:rPr>
      </w:pPr>
    </w:p>
    <w:p w:rsidRDefault="00CB510C" w:rsidR="004E53FB">
      <w:pPr>
        <w:pStyle w:val="Standard"/>
        <w:rPr>
          <w:rFonts w:hint="eastAsia"/>
        </w:rPr>
      </w:pPr>
      <w:r>
        <w:rPr>
          <w:b/>
        </w:rPr>
        <w:t xml:space="preserve">Stečajni dužnik: </w:t>
      </w:r>
      <w:r>
        <w:rPr>
          <w:b/>
          <w:sz w:val="22"/>
          <w:szCs w:val="22"/>
        </w:rPr>
        <w:t>SALTUS d.o.o., Zagreb, Svetice 19, OIB: 52192592109</w:t>
      </w:r>
    </w:p>
    <w:p w:rsidRDefault="004E53FB" w:rsidR="004E53FB">
      <w:pPr>
        <w:pStyle w:val="Standard"/>
        <w:rPr>
          <w:rFonts w:hint="eastAsia"/>
          <w:szCs w:val="22"/>
        </w:rPr>
      </w:pPr>
    </w:p>
    <w:p w:rsidRDefault="004E53FB" w:rsidR="004E53FB">
      <w:pPr>
        <w:pStyle w:val="Standard"/>
        <w:rPr>
          <w:rFonts w:hint="eastAsia"/>
          <w:szCs w:val="22"/>
        </w:rPr>
      </w:pPr>
    </w:p>
    <w:p w:rsidRDefault="004E53FB" w:rsidR="004E53FB">
      <w:pPr>
        <w:pStyle w:val="Standard"/>
        <w:rPr>
          <w:rFonts w:hint="eastAsia"/>
          <w:szCs w:val="22"/>
        </w:rPr>
      </w:pPr>
    </w:p>
    <w:p w:rsidRDefault="004E53FB" w:rsidR="004E53FB">
      <w:pPr>
        <w:pStyle w:val="Standard"/>
        <w:rPr>
          <w:rFonts w:hint="eastAsia"/>
          <w:szCs w:val="22"/>
        </w:rPr>
      </w:pPr>
    </w:p>
    <w:p w:rsidRDefault="004E53FB" w:rsidR="004E53FB">
      <w:pPr>
        <w:pStyle w:val="Standard"/>
        <w:rPr>
          <w:rFonts w:hint="eastAsia"/>
          <w:szCs w:val="22"/>
        </w:rPr>
      </w:pPr>
    </w:p>
    <w:p w:rsidRDefault="004E53FB" w:rsidR="004E53FB">
      <w:pPr>
        <w:pStyle w:val="Standard"/>
        <w:rPr>
          <w:rFonts w:hint="eastAsia"/>
          <w:szCs w:val="22"/>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Naslov2"/>
        <w:numPr>
          <w:ilvl w:val="1"/>
          <w:numId w:val="1"/>
        </w:numPr>
        <w:tabs>
          <w:tab w:pos="-540" w:val="left"/>
          <w:tab w:pos="0" w:val="left"/>
        </w:tabs>
        <w:rPr>
          <w:rFonts w:hint="eastAsia"/>
          <w:sz w:val="28"/>
        </w:rPr>
      </w:pPr>
    </w:p>
    <w:p w:rsidRDefault="004E53FB" w:rsidR="004E53FB">
      <w:pPr>
        <w:pStyle w:val="Standard"/>
        <w:jc w:val="center"/>
        <w:rPr>
          <w:rFonts w:hint="eastAsia"/>
          <w:sz w:val="28"/>
        </w:rPr>
      </w:pPr>
    </w:p>
    <w:p w:rsidRDefault="00CB510C" w:rsidR="004E53FB">
      <w:pPr>
        <w:pStyle w:val="Naslov3"/>
        <w:numPr>
          <w:ilvl w:val="2"/>
          <w:numId w:val="1"/>
        </w:numPr>
        <w:tabs>
          <w:tab w:pos="-540" w:val="left"/>
          <w:tab w:pos="0" w:val="left"/>
        </w:tabs>
        <w:rPr>
          <w:rFonts w:hint="eastAsia"/>
          <w:szCs w:val="32"/>
        </w:rPr>
      </w:pPr>
      <w:r>
        <w:rPr>
          <w:szCs w:val="32"/>
        </w:rPr>
        <w:t>IZVJEŠĆE</w:t>
      </w:r>
    </w:p>
    <w:p w:rsidRDefault="00CB510C" w:rsidR="004E53FB">
      <w:pPr>
        <w:pStyle w:val="Naslov3"/>
        <w:numPr>
          <w:ilvl w:val="2"/>
          <w:numId w:val="1"/>
        </w:numPr>
        <w:tabs>
          <w:tab w:pos="-540" w:val="left"/>
          <w:tab w:pos="0" w:val="left"/>
        </w:tabs>
        <w:rPr>
          <w:rFonts w:hint="eastAsia"/>
          <w:sz w:val="28"/>
          <w:szCs w:val="28"/>
        </w:rPr>
      </w:pPr>
      <w:r>
        <w:rPr>
          <w:sz w:val="28"/>
          <w:szCs w:val="28"/>
        </w:rPr>
        <w:t>STEČAJNOG UPRAVITELJA</w:t>
      </w:r>
    </w:p>
    <w:p w:rsidRDefault="00CB510C" w:rsidR="004E53FB">
      <w:pPr>
        <w:pStyle w:val="Naslov3"/>
        <w:numPr>
          <w:ilvl w:val="2"/>
          <w:numId w:val="1"/>
        </w:numPr>
        <w:tabs>
          <w:tab w:pos="-540" w:val="left"/>
          <w:tab w:pos="0" w:val="left"/>
        </w:tabs>
        <w:rPr>
          <w:rFonts w:hint="eastAsia"/>
          <w:sz w:val="28"/>
        </w:rPr>
      </w:pPr>
      <w:r>
        <w:rPr>
          <w:sz w:val="28"/>
        </w:rPr>
        <w:t>O GOSPODARSKOM POLOŽAJU STEČAJNOG DUŽNIKA I NJEGOVIM UZROCIMA</w:t>
      </w:r>
    </w:p>
    <w:p w:rsidRDefault="004E53FB" w:rsidR="004E53FB">
      <w:pPr>
        <w:pStyle w:val="Naslov3"/>
        <w:numPr>
          <w:ilvl w:val="2"/>
          <w:numId w:val="1"/>
        </w:numPr>
        <w:tabs>
          <w:tab w:pos="-540" w:val="left"/>
          <w:tab w:pos="0" w:val="left"/>
        </w:tabs>
        <w:rPr>
          <w:rFonts w:hint="eastAsia"/>
          <w:sz w:val="28"/>
        </w:rPr>
      </w:pPr>
    </w:p>
    <w:p w:rsidRDefault="004E53FB" w:rsidR="004E53FB">
      <w:pPr>
        <w:pStyle w:val="Standard"/>
        <w:jc w:val="center"/>
        <w:rPr>
          <w:rFonts w:hint="eastAsia"/>
        </w:rPr>
      </w:pPr>
    </w:p>
    <w:p w:rsidRDefault="004E53FB" w:rsidR="004E53FB">
      <w:pPr>
        <w:pStyle w:val="Standard"/>
        <w:jc w:val="both"/>
        <w:rPr>
          <w:rFonts w:hint="eastAsia"/>
        </w:rPr>
      </w:pPr>
    </w:p>
    <w:p w:rsidRDefault="004E53FB" w:rsidR="004E53FB">
      <w:pPr>
        <w:pStyle w:val="Standard"/>
        <w:jc w:val="both"/>
        <w:rPr>
          <w:rFonts w:hint="eastAsia"/>
        </w:rPr>
      </w:pPr>
    </w:p>
    <w:p w:rsidRDefault="004E53FB" w:rsidR="004E53FB">
      <w:pPr>
        <w:pStyle w:val="Standard"/>
        <w:jc w:val="both"/>
        <w:rPr>
          <w:rFonts w:hint="eastAsia"/>
        </w:rPr>
      </w:pPr>
    </w:p>
    <w:p w:rsidRDefault="004E53FB" w:rsidR="004E53FB">
      <w:pPr>
        <w:pStyle w:val="Standard"/>
        <w:jc w:val="both"/>
        <w:rPr>
          <w:rFonts w:hint="eastAsia"/>
        </w:rPr>
      </w:pPr>
    </w:p>
    <w:p w:rsidRDefault="004E53FB" w:rsidR="004E53FB">
      <w:pPr>
        <w:pStyle w:val="Standard"/>
        <w:jc w:val="both"/>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4E53FB" w:rsidR="004E53FB">
      <w:pPr>
        <w:pStyle w:val="Standard"/>
        <w:rPr>
          <w:rFonts w:hint="eastAsia"/>
        </w:rPr>
      </w:pPr>
    </w:p>
    <w:p w:rsidRDefault="00CB510C" w:rsidR="004E53FB">
      <w:pPr>
        <w:pStyle w:val="Standard"/>
        <w:ind w:right="-300"/>
        <w:rPr>
          <w:rFonts w:hint="eastAsia"/>
          <w:b/>
          <w:bCs/>
          <w:u w:val="single"/>
        </w:rPr>
      </w:pPr>
      <w:r>
        <w:rPr>
          <w:b/>
          <w:bCs/>
          <w:u w:val="single"/>
        </w:rPr>
        <w:t>1 puta</w:t>
      </w:r>
      <w:r>
        <w:rPr>
          <w:b/>
          <w:bCs/>
          <w:u w:val="single"/>
        </w:rPr>
        <w:tab/>
      </w:r>
      <w:r>
        <w:rPr>
          <w:b/>
          <w:bCs/>
          <w:u w:val="single"/>
        </w:rPr>
        <w:tab/>
      </w:r>
      <w:r>
        <w:rPr>
          <w:b/>
          <w:bCs/>
          <w:u w:val="single"/>
        </w:rPr>
        <w:tab/>
      </w:r>
      <w:r>
        <w:rPr>
          <w:b/>
          <w:bCs/>
          <w:u w:val="single"/>
        </w:rPr>
        <w:tab/>
      </w:r>
      <w:r>
        <w:rPr>
          <w:b/>
          <w:bCs/>
          <w:u w:val="single"/>
        </w:rPr>
        <w:tab/>
      </w:r>
      <w:r>
        <w:rPr>
          <w:b/>
          <w:bCs/>
          <w:u w:val="single"/>
        </w:rPr>
        <w:tab/>
      </w:r>
      <w:r>
        <w:rPr>
          <w:b/>
          <w:bCs/>
          <w:u w:val="single"/>
        </w:rPr>
        <w:tab/>
      </w:r>
      <w:r>
        <w:rPr>
          <w:b/>
          <w:bCs/>
          <w:u w:val="single"/>
        </w:rPr>
        <w:tab/>
      </w:r>
      <w:r>
        <w:rPr>
          <w:b/>
          <w:bCs/>
          <w:u w:val="single"/>
        </w:rPr>
        <w:tab/>
      </w:r>
      <w:r>
        <w:rPr>
          <w:b/>
          <w:bCs/>
          <w:u w:val="single"/>
        </w:rPr>
        <w:tab/>
      </w:r>
      <w:r>
        <w:rPr>
          <w:b/>
          <w:bCs/>
          <w:u w:val="single"/>
        </w:rPr>
        <w:tab/>
        <w:t>_____</w:t>
      </w:r>
      <w:r>
        <w:rPr>
          <w:b/>
          <w:bCs/>
          <w:u w:val="single"/>
        </w:rPr>
        <w:tab/>
      </w:r>
      <w:r>
        <w:rPr>
          <w:b/>
          <w:bCs/>
          <w:u w:val="single"/>
        </w:rPr>
        <w:tab/>
        <w:t>____</w:t>
      </w:r>
    </w:p>
    <w:p w:rsidRDefault="004E53FB" w:rsidR="004E53FB">
      <w:pPr>
        <w:pStyle w:val="Standard"/>
        <w:jc w:val="both"/>
        <w:rPr>
          <w:rFonts w:hint="eastAsia"/>
          <w:b/>
        </w:rPr>
      </w:pPr>
    </w:p>
    <w:p w:rsidRDefault="004E53FB" w:rsidR="004E53FB">
      <w:pPr>
        <w:pStyle w:val="Standard"/>
        <w:jc w:val="both"/>
        <w:rPr>
          <w:rFonts w:hint="eastAsia"/>
          <w:b/>
        </w:rPr>
      </w:pPr>
    </w:p>
    <w:p w:rsidRDefault="00CB510C" w:rsidR="004E53FB">
      <w:pPr>
        <w:pStyle w:val="Standard"/>
        <w:jc w:val="both"/>
        <w:rPr>
          <w:rFonts w:hint="eastAsia"/>
        </w:rPr>
      </w:pPr>
      <w:r>
        <w:rPr>
          <w:b/>
        </w:rPr>
        <w:lastRenderedPageBreak/>
        <w:t>1.</w:t>
      </w:r>
      <w:r>
        <w:t xml:space="preserve"> Rješenjem Trgovačkog suda u Zagrebu, posl.br. St-5718/16 od 11.05.2018. godine, otvoren je stečajni postupak nad SALTUS d.o.o., Zagreb, Svetice 19, OIB: 52192592109 (u daljnjem tekstu: stečajni dužnik) budući je tijekom prethodnog postupka utvrđeno da nad dužnikom postoje razlozi za otvaranje stečajnog postupka u smislu odredbe čl.5.st.1. Stečajnog zakona i to radi nesposobnosti za plaćanje budući da u Očevidniku redoslijeda osnova za plaćanje FINA-e stečajni dužnik imao više evidentiranih neizvršenih osnova za plaćanje u razdoblju dužem od 120 dana u ukupnom iznosu od 104.237,25 kn koje je trebalo, na temelju valjanih osnova za plaćanje, bez daljnjeg pristanka dužnika naplatiti s bilo kojeg od njegovih računa.</w:t>
      </w:r>
    </w:p>
    <w:p w:rsidRDefault="004E53FB" w:rsidR="004E53FB">
      <w:pPr>
        <w:pStyle w:val="Textbodyindent"/>
        <w:ind w:firstLine="0"/>
        <w:rPr>
          <w:rFonts w:hint="eastAsia"/>
        </w:rPr>
      </w:pPr>
    </w:p>
    <w:p w:rsidRDefault="00CB510C" w:rsidR="004E53FB">
      <w:pPr>
        <w:pStyle w:val="Textbodyindent"/>
        <w:ind w:firstLine="0"/>
        <w:rPr>
          <w:rFonts w:hint="eastAsia"/>
        </w:rPr>
      </w:pPr>
      <w:r>
        <w:t>U skladu s odredbom čl.227. Stečajnog zakona stečajni upravitelj stečajnog dužnika daje slijedeće izvješće o gospodarskom položaju stečajnog dužnika i njegovim uzrocima prema slijedećem:</w:t>
      </w:r>
    </w:p>
    <w:p w:rsidRDefault="00CB510C" w:rsidR="004E53FB">
      <w:pPr>
        <w:pStyle w:val="Textbodyindent"/>
        <w:ind w:firstLine="0"/>
        <w:rPr>
          <w:rFonts w:hint="eastAsia"/>
        </w:rPr>
      </w:pPr>
      <w:r>
        <w:t>-statusni podaci o stečajnom dužniku,</w:t>
      </w:r>
    </w:p>
    <w:p w:rsidRDefault="00CB510C" w:rsidR="004E53FB">
      <w:pPr>
        <w:pStyle w:val="Textbodyindent"/>
        <w:ind w:firstLine="0"/>
        <w:rPr>
          <w:rFonts w:hint="eastAsia"/>
        </w:rPr>
      </w:pPr>
      <w:r>
        <w:t>-gospodarski položaj dužnika u razdoblju do dana otvaranja stečajnog postupka (financijsko stanje prema poslovnim knjigama, imovina) i uzroci nastanka uvjeta za otvaranje stečajnog postupka nad stečajnim dužnikom,</w:t>
      </w:r>
    </w:p>
    <w:p w:rsidRDefault="00CB510C" w:rsidR="004E53FB">
      <w:pPr>
        <w:pStyle w:val="Textbodyindent"/>
        <w:ind w:firstLine="0"/>
        <w:rPr>
          <w:rFonts w:hint="eastAsia"/>
        </w:rPr>
      </w:pPr>
      <w:r>
        <w:t>-gospodarski položaj stečajnog dužnika od otvaranja stečajnog postupka i mogućnost za nastavak obavljanja djelatnosti stečajnog dužnika.</w:t>
      </w:r>
    </w:p>
    <w:p w:rsidRDefault="004E53FB" w:rsidR="004E53FB">
      <w:pPr>
        <w:pStyle w:val="Textbodyindent"/>
        <w:ind w:firstLine="0"/>
        <w:rPr>
          <w:rFonts w:hint="eastAsia"/>
        </w:rPr>
      </w:pPr>
    </w:p>
    <w:p w:rsidRDefault="00CB510C" w:rsidR="004E53FB">
      <w:pPr>
        <w:pStyle w:val="Standard"/>
        <w:jc w:val="both"/>
        <w:rPr>
          <w:rFonts w:hint="eastAsia"/>
        </w:rPr>
      </w:pPr>
      <w:r>
        <w:rPr>
          <w:b/>
        </w:rPr>
        <w:t xml:space="preserve">2. </w:t>
      </w:r>
      <w:r>
        <w:t>Trgovačko društvo SALTUS d.o.o. osnovano je 30.06.1998. godine na temelju Izjave o osnivanju društva s ograničenom odgovornošću.</w:t>
      </w:r>
    </w:p>
    <w:p w:rsidRDefault="004E53FB" w:rsidR="004E53FB">
      <w:pPr>
        <w:pStyle w:val="Textbody"/>
        <w:spacing w:lineRule="atLeast" w:line="0" w:after="0"/>
        <w:ind w:right="-288" w:left="-278"/>
        <w:jc w:val="both"/>
        <w:rPr>
          <w:rFonts w:hint="eastAsia"/>
        </w:rPr>
      </w:pPr>
    </w:p>
    <w:tbl>
      <w:tblPr>
        <w:tblW w:type="dxa" w:w="9645"/>
        <w:tblInd w:type="dxa" w:w="-24"/>
        <w:tblLayout w:type="fixed"/>
        <w:tblCellMar>
          <w:left w:type="dxa" w:w="10"/>
          <w:right w:type="dxa" w:w="10"/>
        </w:tblCellMar>
        <w:tblLook w:val="0000" w:noVBand="0" w:noHBand="0" w:lastColumn="0" w:firstColumn="0" w:lastRow="0" w:firstRow="0"/>
      </w:tblPr>
      <w:tblGrid>
        <w:gridCol w:w="2565"/>
        <w:gridCol w:w="7080"/>
      </w:tblGrid>
      <w:tr w:rsidR="004E53FB">
        <w:tc>
          <w:tcPr>
            <w:tcW w:type="dxa" w:w="2565"/>
            <w:tcMar>
              <w:top w:type="dxa" w:w="0"/>
              <w:left w:type="dxa" w:w="0"/>
              <w:bottom w:type="dxa" w:w="0"/>
              <w:right w:type="dxa" w:w="0"/>
            </w:tcMar>
          </w:tcPr>
          <w:p w:rsidRDefault="00CB510C" w:rsidR="004E53FB">
            <w:pPr>
              <w:pStyle w:val="TableContents"/>
              <w:snapToGrid w:val="false"/>
              <w:spacing w:lineRule="atLeast" w:line="0"/>
              <w:ind w:right="-142"/>
              <w:jc w:val="both"/>
              <w:rPr>
                <w:rFonts w:hint="eastAsia"/>
              </w:rPr>
            </w:pPr>
            <w:r>
              <w:t>Naziv:</w:t>
            </w:r>
          </w:p>
          <w:p w:rsidRDefault="00CB510C" w:rsidR="004E53FB">
            <w:pPr>
              <w:pStyle w:val="TableContents"/>
              <w:spacing w:lineRule="atLeast" w:line="0"/>
              <w:ind w:right="-142"/>
              <w:jc w:val="both"/>
              <w:rPr>
                <w:rFonts w:hint="eastAsia"/>
              </w:rPr>
            </w:pPr>
            <w:r>
              <w:t>Sjedište:</w:t>
            </w:r>
          </w:p>
          <w:p w:rsidRDefault="00CB510C" w:rsidR="004E53FB">
            <w:pPr>
              <w:pStyle w:val="TableContents"/>
              <w:spacing w:lineRule="atLeast" w:line="0"/>
              <w:ind w:right="-142"/>
              <w:jc w:val="both"/>
              <w:rPr>
                <w:rFonts w:hint="eastAsia"/>
              </w:rPr>
            </w:pPr>
            <w:r>
              <w:t>Županija:</w:t>
            </w:r>
          </w:p>
          <w:p w:rsidRDefault="00CB510C" w:rsidR="004E53FB">
            <w:pPr>
              <w:pStyle w:val="TableContents"/>
              <w:spacing w:lineRule="atLeast" w:line="0"/>
              <w:ind w:right="-142"/>
              <w:jc w:val="both"/>
              <w:rPr>
                <w:rFonts w:hint="eastAsia"/>
              </w:rPr>
            </w:pPr>
            <w:r>
              <w:t>Matični broj:</w:t>
            </w:r>
          </w:p>
          <w:p w:rsidRDefault="00CB510C" w:rsidR="004E53FB">
            <w:pPr>
              <w:pStyle w:val="TableContents"/>
              <w:spacing w:lineRule="atLeast" w:line="0"/>
              <w:ind w:right="-142"/>
              <w:jc w:val="both"/>
              <w:rPr>
                <w:rFonts w:hint="eastAsia"/>
              </w:rPr>
            </w:pPr>
            <w:r>
              <w:t>Matični broj subjekta:</w:t>
            </w:r>
          </w:p>
          <w:p w:rsidRDefault="00CB510C" w:rsidR="004E53FB">
            <w:pPr>
              <w:pStyle w:val="TableContents"/>
              <w:spacing w:lineRule="atLeast" w:line="0"/>
              <w:ind w:right="-142"/>
              <w:jc w:val="both"/>
              <w:rPr>
                <w:rFonts w:hint="eastAsia"/>
              </w:rPr>
            </w:pPr>
            <w:r>
              <w:t>OIB:</w:t>
            </w:r>
          </w:p>
          <w:p w:rsidRDefault="00CB510C" w:rsidR="004E53FB">
            <w:pPr>
              <w:pStyle w:val="TableContents"/>
              <w:spacing w:lineRule="atLeast" w:line="0"/>
              <w:ind w:right="-142"/>
              <w:jc w:val="both"/>
              <w:rPr>
                <w:rFonts w:hint="eastAsia"/>
              </w:rPr>
            </w:pPr>
            <w:r>
              <w:t>Oblik:</w:t>
            </w:r>
          </w:p>
          <w:p w:rsidRDefault="00CB510C" w:rsidR="004E53FB">
            <w:pPr>
              <w:pStyle w:val="TableContents"/>
              <w:spacing w:lineRule="atLeast" w:line="0"/>
              <w:ind w:right="-142"/>
              <w:jc w:val="both"/>
              <w:rPr>
                <w:rFonts w:hint="eastAsia"/>
              </w:rPr>
            </w:pPr>
            <w:r>
              <w:t>Djelatnost:</w:t>
            </w:r>
          </w:p>
          <w:p w:rsidRDefault="00CB510C" w:rsidR="004E53FB">
            <w:pPr>
              <w:pStyle w:val="TableContents"/>
              <w:spacing w:lineRule="atLeast" w:line="0"/>
              <w:ind w:right="-142"/>
              <w:jc w:val="both"/>
              <w:rPr>
                <w:rFonts w:hint="eastAsia"/>
              </w:rPr>
            </w:pPr>
            <w:r>
              <w:t>Temeljni kapital:</w:t>
            </w:r>
          </w:p>
          <w:p w:rsidRDefault="00CB510C" w:rsidR="004E53FB">
            <w:pPr>
              <w:pStyle w:val="TableContents"/>
              <w:spacing w:lineRule="atLeast" w:line="0"/>
              <w:ind w:right="-142"/>
              <w:jc w:val="both"/>
              <w:rPr>
                <w:rFonts w:hint="eastAsia"/>
              </w:rPr>
            </w:pPr>
            <w:r>
              <w:t>Osnivač:</w:t>
            </w:r>
          </w:p>
          <w:p w:rsidRDefault="00CB510C" w:rsidR="004E53FB">
            <w:pPr>
              <w:pStyle w:val="TableContents"/>
              <w:spacing w:lineRule="atLeast" w:line="0"/>
              <w:ind w:right="-142"/>
              <w:jc w:val="both"/>
              <w:rPr>
                <w:rFonts w:hint="eastAsia"/>
              </w:rPr>
            </w:pPr>
            <w:r>
              <w:t>Direktor</w:t>
            </w:r>
          </w:p>
        </w:tc>
        <w:tc>
          <w:tcPr>
            <w:tcW w:type="dxa" w:w="7080"/>
            <w:tcMar>
              <w:top w:type="dxa" w:w="0"/>
              <w:left w:type="dxa" w:w="0"/>
              <w:bottom w:type="dxa" w:w="0"/>
              <w:right w:type="dxa" w:w="0"/>
            </w:tcMar>
          </w:tcPr>
          <w:p w:rsidRDefault="00CB510C" w:rsidR="004E53FB">
            <w:pPr>
              <w:pStyle w:val="TableContents"/>
              <w:pBdr>
                <w:left w:space="1" w:sz="8" w:color="000000" w:val="single"/>
              </w:pBdr>
              <w:snapToGrid w:val="false"/>
              <w:spacing w:lineRule="atLeast" w:line="0"/>
              <w:ind w:right="-142" w:left="142"/>
              <w:jc w:val="both"/>
              <w:rPr>
                <w:rFonts w:hint="eastAsia"/>
              </w:rPr>
            </w:pPr>
            <w:r>
              <w:t>SALTUS d.o.o.</w:t>
            </w:r>
          </w:p>
          <w:p w:rsidRDefault="00CB510C" w:rsidR="004E53FB">
            <w:pPr>
              <w:pStyle w:val="TableContents"/>
              <w:pBdr>
                <w:left w:space="1" w:sz="8" w:color="000000" w:val="single"/>
              </w:pBdr>
              <w:spacing w:lineRule="atLeast" w:line="0"/>
              <w:ind w:right="-142" w:left="142"/>
              <w:jc w:val="both"/>
              <w:rPr>
                <w:rFonts w:hint="eastAsia"/>
              </w:rPr>
            </w:pPr>
            <w:r>
              <w:t>Svetice 19, Zagreb</w:t>
            </w:r>
          </w:p>
          <w:p w:rsidRDefault="00CB510C" w:rsidR="004E53FB">
            <w:pPr>
              <w:pStyle w:val="TableContents"/>
              <w:pBdr>
                <w:left w:space="1" w:sz="8" w:color="000000" w:val="single"/>
              </w:pBdr>
              <w:spacing w:lineRule="atLeast" w:line="0"/>
              <w:ind w:right="-142" w:left="142"/>
              <w:jc w:val="both"/>
              <w:rPr>
                <w:rFonts w:hint="eastAsia"/>
              </w:rPr>
            </w:pPr>
            <w:r>
              <w:t>Grad Zagreb</w:t>
            </w:r>
          </w:p>
          <w:p w:rsidRDefault="00CB510C" w:rsidR="004E53FB">
            <w:pPr>
              <w:pStyle w:val="TableContents"/>
              <w:pBdr>
                <w:left w:space="1" w:sz="8" w:color="000000" w:val="single"/>
              </w:pBdr>
              <w:spacing w:lineRule="atLeast" w:line="0"/>
              <w:ind w:right="-142" w:left="142"/>
              <w:jc w:val="both"/>
              <w:rPr>
                <w:rFonts w:hint="eastAsia"/>
              </w:rPr>
            </w:pPr>
            <w:r>
              <w:t>01389793</w:t>
            </w:r>
          </w:p>
          <w:p w:rsidRDefault="00CB510C" w:rsidR="004E53FB">
            <w:pPr>
              <w:pStyle w:val="TableContents"/>
              <w:pBdr>
                <w:left w:space="1" w:sz="8" w:color="000000" w:val="single"/>
              </w:pBdr>
              <w:spacing w:lineRule="atLeast" w:line="0"/>
              <w:ind w:right="-142" w:left="142"/>
              <w:jc w:val="both"/>
              <w:rPr>
                <w:rFonts w:hint="eastAsia"/>
              </w:rPr>
            </w:pPr>
            <w:r>
              <w:t>080243969</w:t>
            </w:r>
          </w:p>
          <w:p w:rsidRDefault="00CB510C" w:rsidR="004E53FB">
            <w:pPr>
              <w:pStyle w:val="TableContents"/>
              <w:pBdr>
                <w:left w:space="1" w:sz="8" w:color="000000" w:val="single"/>
              </w:pBdr>
              <w:spacing w:lineRule="atLeast" w:line="0"/>
              <w:ind w:right="-142" w:left="142"/>
              <w:jc w:val="both"/>
              <w:rPr>
                <w:rFonts w:hint="eastAsia"/>
              </w:rPr>
            </w:pPr>
            <w:r>
              <w:t>52192592109</w:t>
            </w:r>
          </w:p>
          <w:p w:rsidRDefault="00CB510C" w:rsidR="004E53FB">
            <w:pPr>
              <w:pStyle w:val="TableContents"/>
              <w:pBdr>
                <w:left w:space="1" w:sz="8" w:color="000000" w:val="single"/>
              </w:pBdr>
              <w:spacing w:lineRule="atLeast" w:line="0"/>
              <w:ind w:right="-142" w:left="142"/>
              <w:jc w:val="both"/>
              <w:rPr>
                <w:rFonts w:hint="eastAsia"/>
              </w:rPr>
            </w:pPr>
            <w:r>
              <w:t>društvo s ograničenom odgovornošću</w:t>
            </w:r>
          </w:p>
          <w:p w:rsidRDefault="00CB510C" w:rsidR="004E53FB">
            <w:pPr>
              <w:pStyle w:val="TableContents"/>
              <w:pBdr>
                <w:left w:space="1" w:sz="8" w:color="000000" w:val="single"/>
              </w:pBdr>
              <w:spacing w:lineRule="atLeast" w:line="0"/>
              <w:ind w:right="-142" w:left="142"/>
              <w:jc w:val="both"/>
              <w:rPr>
                <w:rFonts w:hint="eastAsia"/>
              </w:rPr>
            </w:pPr>
            <w:r>
              <w:t>93.12. djelatnost sportskih klubova</w:t>
            </w:r>
          </w:p>
          <w:p w:rsidRDefault="00CB510C" w:rsidR="004E53FB">
            <w:pPr>
              <w:pStyle w:val="TableContents"/>
              <w:pBdr>
                <w:left w:space="1" w:sz="8" w:color="000000" w:val="single"/>
              </w:pBdr>
              <w:spacing w:lineRule="atLeast" w:line="0"/>
              <w:ind w:right="-142" w:left="142"/>
              <w:jc w:val="both"/>
              <w:rPr>
                <w:rFonts w:hint="eastAsia"/>
              </w:rPr>
            </w:pPr>
            <w:r>
              <w:t>20.000,00 kn</w:t>
            </w:r>
          </w:p>
          <w:p w:rsidRDefault="00CB510C" w:rsidR="004E53FB">
            <w:pPr>
              <w:pStyle w:val="TableContents"/>
              <w:pBdr>
                <w:left w:space="1" w:sz="8" w:color="000000" w:val="single"/>
              </w:pBdr>
              <w:spacing w:lineRule="atLeast" w:line="0"/>
              <w:ind w:right="-142" w:left="142"/>
              <w:jc w:val="both"/>
              <w:rPr>
                <w:rFonts w:hint="eastAsia"/>
              </w:rPr>
            </w:pPr>
            <w:r>
              <w:t>Rikard Dragčević</w:t>
            </w:r>
          </w:p>
          <w:p w:rsidRDefault="00CB510C" w:rsidR="004E53FB">
            <w:pPr>
              <w:pStyle w:val="TableContents"/>
              <w:pBdr>
                <w:left w:space="1" w:sz="8" w:color="000000" w:val="single"/>
              </w:pBdr>
              <w:spacing w:lineRule="atLeast" w:line="0"/>
              <w:ind w:right="-142" w:left="142"/>
              <w:jc w:val="both"/>
              <w:rPr>
                <w:rFonts w:hint="eastAsia"/>
              </w:rPr>
            </w:pPr>
            <w:r>
              <w:t>Rikard Dragčević</w:t>
            </w:r>
          </w:p>
        </w:tc>
      </w:tr>
    </w:tbl>
    <w:p w:rsidRDefault="004E53FB" w:rsidR="004E53FB">
      <w:pPr>
        <w:pStyle w:val="Standard"/>
        <w:jc w:val="both"/>
        <w:rPr>
          <w:rFonts w:hint="eastAsia"/>
        </w:rPr>
      </w:pPr>
    </w:p>
    <w:p w:rsidRDefault="00CB510C" w:rsidR="004E53FB">
      <w:pPr>
        <w:pStyle w:val="Standard"/>
        <w:jc w:val="both"/>
        <w:rPr>
          <w:rFonts w:hint="eastAsia"/>
        </w:rPr>
      </w:pPr>
      <w:r>
        <w:rPr>
          <w:b/>
        </w:rPr>
        <w:t xml:space="preserve">3. </w:t>
      </w:r>
      <w:r>
        <w:rPr>
          <w:szCs w:val="22"/>
        </w:rPr>
        <w:t xml:space="preserve">Stečajni dužnik je tijekom ranijeg razdoblja poslovanja imao sjedište na adresi </w:t>
      </w:r>
      <w:r>
        <w:t>Svetice 19</w:t>
      </w:r>
      <w:r>
        <w:rPr>
          <w:szCs w:val="22"/>
        </w:rPr>
        <w:t>, Zagreb, međutim  na navedenoj adresi od 2016. godine stečajni dužnik nema sjedište radi prestanka obavljanja djelatnosti.</w:t>
      </w:r>
    </w:p>
    <w:p w:rsidRDefault="004E53FB" w:rsidR="004E53FB">
      <w:pPr>
        <w:pStyle w:val="Standard"/>
        <w:jc w:val="both"/>
        <w:rPr>
          <w:rFonts w:hint="eastAsia"/>
          <w:szCs w:val="22"/>
        </w:rPr>
      </w:pPr>
    </w:p>
    <w:p w:rsidRDefault="00CB510C" w:rsidR="004E53FB">
      <w:pPr>
        <w:pStyle w:val="Standard"/>
        <w:jc w:val="both"/>
        <w:rPr>
          <w:rFonts w:hint="eastAsia"/>
          <w:szCs w:val="22"/>
        </w:rPr>
      </w:pPr>
      <w:r>
        <w:rPr>
          <w:szCs w:val="22"/>
        </w:rPr>
        <w:t>Podaci o poslov</w:t>
      </w:r>
      <w:r>
        <w:t>anju dužnika, financijsko gospodarskom stanju i imovini dobiveni su od ranijeg direktora društva Rikarda Dragčević, kao i od knjigovodstvenog servisa ZZ CONCEPT d.o.o. koji je vodio knjige dužnika, te provjerom podataka iz službenih registara i to uvidom u evidencije zemljišnih knjiga OPGS u Zagrebu, Ureda za katastar nekretnina u Zagrebu, Stanice za tehnički pregled vozila, SKDD u Zagrebu, sudski registar TS u Zagrebu, web stranice Poslovna.hr, te e-oglasne ploče sudova, pri čemu je utvrđeno da od 2016. godine dužnik ne obavlja registriranu djelatnost, te da ima imovine i potraživanja koji su dostatni za namirenje  vjerovnika.</w:t>
      </w:r>
    </w:p>
    <w:p w:rsidRDefault="004E53FB" w:rsidR="004E53FB">
      <w:pPr>
        <w:pStyle w:val="Standard"/>
        <w:ind w:right="-284" w:left="-284"/>
        <w:jc w:val="both"/>
        <w:rPr>
          <w:rFonts w:hint="eastAsia"/>
        </w:rPr>
      </w:pPr>
    </w:p>
    <w:p w:rsidRDefault="00CB510C" w:rsidR="004E53FB">
      <w:pPr>
        <w:pStyle w:val="Textbody"/>
        <w:widowControl w:val="false"/>
        <w:spacing w:lineRule="atLeast" w:line="0" w:after="0"/>
        <w:jc w:val="both"/>
        <w:rPr>
          <w:rFonts w:hint="eastAsia"/>
        </w:rPr>
      </w:pPr>
      <w:r>
        <w:t>Svoje poslovanje dužnik je vodio na kunskom žiro računu broj: HR47 2484 0081 1019 1756 3, kod Hrvatske poštanske banke d.d.</w:t>
      </w:r>
    </w:p>
    <w:p w:rsidRDefault="004E53FB" w:rsidR="004E53FB">
      <w:pPr>
        <w:pStyle w:val="Standard"/>
        <w:jc w:val="both"/>
        <w:rPr>
          <w:rFonts w:hint="eastAsia"/>
          <w:b/>
        </w:rPr>
      </w:pPr>
    </w:p>
    <w:p w:rsidRDefault="00CB510C" w:rsidR="004E53FB">
      <w:pPr>
        <w:pStyle w:val="Standard"/>
        <w:jc w:val="both"/>
        <w:rPr>
          <w:rFonts w:hint="eastAsia"/>
        </w:rPr>
      </w:pPr>
      <w:r>
        <w:rPr>
          <w:b/>
        </w:rPr>
        <w:t xml:space="preserve">4. </w:t>
      </w:r>
      <w:r>
        <w:t>Uvidom u evidencije zemljišnih knjiga OPGS u Zagrebu, Ureda za katastar nekretnina u Zagrebu, PP Zagreb i SKDD u Zagrebu, utvrđeno je da stečajni dužnik</w:t>
      </w:r>
      <w:r>
        <w:rPr>
          <w:szCs w:val="22"/>
        </w:rPr>
        <w:t xml:space="preserve"> ne</w:t>
      </w:r>
      <w:r>
        <w:t>ma u vlasništvu nekretnina, niti je imatelj nematerijaliziranih vrijednosnih papira i drugih vrijednosnica, a vlasnik je vozila i ima dospjela potraživanja prema svojim dužnicima.</w:t>
      </w:r>
    </w:p>
    <w:p w:rsidRDefault="004E53FB" w:rsidR="004E53FB">
      <w:pPr>
        <w:pStyle w:val="Textbody"/>
        <w:widowControl w:val="false"/>
        <w:spacing w:lineRule="atLeast" w:line="0" w:after="0"/>
        <w:jc w:val="both"/>
        <w:rPr>
          <w:rFonts w:hint="eastAsia"/>
          <w:b/>
        </w:rPr>
      </w:pPr>
    </w:p>
    <w:p w:rsidRDefault="00CB510C" w:rsidR="004E53FB">
      <w:pPr>
        <w:pStyle w:val="Textbody"/>
        <w:widowControl w:val="false"/>
        <w:spacing w:lineRule="atLeast" w:line="0" w:after="0"/>
        <w:jc w:val="both"/>
        <w:rPr>
          <w:rFonts w:hint="eastAsia"/>
          <w:b/>
        </w:rPr>
      </w:pPr>
      <w:r>
        <w:rPr>
          <w:b/>
        </w:rPr>
        <w:lastRenderedPageBreak/>
        <w:t>Tablica 1.</w:t>
      </w:r>
    </w:p>
    <w:p w:rsidRDefault="004E53FB" w:rsidR="004E53FB">
      <w:pPr>
        <w:pStyle w:val="Textbody"/>
        <w:widowControl w:val="false"/>
        <w:spacing w:lineRule="atLeast" w:line="0" w:after="0"/>
        <w:jc w:val="both"/>
        <w:rPr>
          <w:rFonts w:hint="eastAsia"/>
          <w:b/>
        </w:rPr>
      </w:pPr>
    </w:p>
    <w:tbl>
      <w:tblPr>
        <w:tblW w:type="dxa" w:w="9646"/>
        <w:tblInd w:type="dxa" w:w="6"/>
        <w:tblLayout w:type="fixed"/>
        <w:tblCellMar>
          <w:left w:type="dxa" w:w="10"/>
          <w:right w:type="dxa" w:w="10"/>
        </w:tblCellMar>
        <w:tblLook w:val="0000" w:noVBand="0" w:noHBand="0" w:lastColumn="0" w:firstColumn="0" w:lastRow="0" w:firstRow="0"/>
      </w:tblPr>
      <w:tblGrid>
        <w:gridCol w:w="346"/>
        <w:gridCol w:w="5318"/>
        <w:gridCol w:w="2100"/>
        <w:gridCol w:w="1882"/>
      </w:tblGrid>
      <w:tr w:rsidR="004E53FB">
        <w:tc>
          <w:tcPr>
            <w:tcW w:type="dxa" w:w="346"/>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b/>
              </w:rPr>
            </w:pPr>
            <w:r>
              <w:rPr>
                <w:b/>
              </w:rPr>
              <w:t>Rb</w:t>
            </w:r>
          </w:p>
        </w:tc>
        <w:tc>
          <w:tcPr>
            <w:tcW w:type="dxa" w:w="5318"/>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center"/>
              <w:rPr>
                <w:rFonts w:hint="eastAsia"/>
                <w:b/>
              </w:rPr>
            </w:pPr>
            <w:r>
              <w:rPr>
                <w:b/>
              </w:rPr>
              <w:t>Imovina</w:t>
            </w:r>
          </w:p>
        </w:tc>
        <w:tc>
          <w:tcPr>
            <w:tcW w:type="dxa" w:w="2100"/>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center"/>
              <w:rPr>
                <w:rFonts w:hint="eastAsia"/>
                <w:b/>
              </w:rPr>
            </w:pPr>
            <w:r>
              <w:rPr>
                <w:b/>
              </w:rPr>
              <w:t>Knjigovodstvena</w:t>
            </w:r>
          </w:p>
          <w:p w:rsidRDefault="00CB510C" w:rsidR="004E53FB">
            <w:pPr>
              <w:pStyle w:val="Textbody"/>
              <w:spacing w:lineRule="atLeast" w:line="0" w:after="0"/>
              <w:jc w:val="center"/>
              <w:rPr>
                <w:rFonts w:hint="eastAsia"/>
                <w:b/>
              </w:rPr>
            </w:pPr>
            <w:r>
              <w:rPr>
                <w:b/>
              </w:rPr>
              <w:t>vrijednost u kn</w:t>
            </w:r>
          </w:p>
        </w:tc>
        <w:tc>
          <w:tcPr>
            <w:tcW w:type="dxa" w:w="1882"/>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center"/>
              <w:rPr>
                <w:rFonts w:hint="eastAsia"/>
                <w:b/>
                <w:bCs/>
              </w:rPr>
            </w:pPr>
            <w:r>
              <w:rPr>
                <w:b/>
                <w:bCs/>
              </w:rPr>
              <w:t>Procijenjena</w:t>
            </w:r>
          </w:p>
          <w:p w:rsidRDefault="00CB510C" w:rsidR="004E53FB">
            <w:pPr>
              <w:pStyle w:val="Textbody"/>
              <w:spacing w:lineRule="atLeast" w:line="0" w:after="0"/>
              <w:jc w:val="center"/>
              <w:rPr>
                <w:rFonts w:hint="eastAsia"/>
                <w:b/>
                <w:bCs/>
              </w:rPr>
            </w:pPr>
            <w:r>
              <w:rPr>
                <w:b/>
                <w:bCs/>
              </w:rPr>
              <w:t>vrijednost u kn</w:t>
            </w:r>
          </w:p>
        </w:tc>
      </w:tr>
      <w:tr w:rsidR="004E53FB">
        <w:tc>
          <w:tcPr>
            <w:tcW w:type="dxa" w:w="346"/>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1.</w:t>
            </w:r>
          </w:p>
        </w:tc>
        <w:tc>
          <w:tcPr>
            <w:tcW w:type="dxa" w:w="5318"/>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Priključno vozilo, samogradnja C-121137, 2003., broj šasije: H08493000K1031 EPP, neregistriran</w:t>
            </w:r>
          </w:p>
        </w:tc>
        <w:tc>
          <w:tcPr>
            <w:tcW w:type="dxa" w:w="2100"/>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12.000,00</w:t>
            </w:r>
          </w:p>
        </w:tc>
        <w:tc>
          <w:tcPr>
            <w:tcW w:type="dxa" w:w="1882"/>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7.000,00</w:t>
            </w:r>
          </w:p>
        </w:tc>
      </w:tr>
      <w:tr w:rsidR="004E53FB">
        <w:tc>
          <w:tcPr>
            <w:tcW w:type="dxa" w:w="346"/>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2.</w:t>
            </w:r>
          </w:p>
        </w:tc>
        <w:tc>
          <w:tcPr>
            <w:tcW w:type="dxa" w:w="5318"/>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Prikolica SATELLITE S, 2004., broj šasije: ZGKMX350000000054, nerigistriran</w:t>
            </w:r>
          </w:p>
        </w:tc>
        <w:tc>
          <w:tcPr>
            <w:tcW w:type="dxa" w:w="2100"/>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27.514,47</w:t>
            </w:r>
          </w:p>
        </w:tc>
        <w:tc>
          <w:tcPr>
            <w:tcW w:type="dxa" w:w="1882"/>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10.000,00</w:t>
            </w:r>
          </w:p>
        </w:tc>
      </w:tr>
      <w:tr w:rsidR="004E53FB">
        <w:tc>
          <w:tcPr>
            <w:tcW w:type="dxa" w:w="346"/>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3.</w:t>
            </w:r>
          </w:p>
        </w:tc>
        <w:tc>
          <w:tcPr>
            <w:tcW w:type="dxa" w:w="5318"/>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Moped L1, marka SACHS MAD ASS 50, 2005., broj šasije: WSF649A2050010739, neregistriran</w:t>
            </w:r>
          </w:p>
        </w:tc>
        <w:tc>
          <w:tcPr>
            <w:tcW w:type="dxa" w:w="2100"/>
            <w:tcBorders>
              <w:top w:space="0" w:sz="4" w:color="000000" w:val="single"/>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4.098,36</w:t>
            </w:r>
          </w:p>
        </w:tc>
        <w:tc>
          <w:tcPr>
            <w:tcW w:type="dxa" w:w="1882"/>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3.000,00</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4.</w:t>
            </w: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Potraživanja od dužnikovih dužnika</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960.480,55</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0,00</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5.</w:t>
            </w: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Potraživanja po osnovi zajmova u inozemstvo</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259.268,08</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0,00</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6.</w:t>
            </w: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Potraživanja po osnovi zajmova članovima uprave</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1.849.170,38</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1.849.170,38</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7.</w:t>
            </w: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Potraživanja po osnovi kamata na zajmove</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172.569,40</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172.569,40</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8.</w:t>
            </w: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Potraživanja za predujmove u RH</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32.391,44</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0,00</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ind w:right="-278" w:left="-279"/>
              <w:jc w:val="center"/>
              <w:rPr>
                <w:rFonts w:hint="eastAsia"/>
              </w:rPr>
            </w:pPr>
            <w:r>
              <w:t>9.</w:t>
            </w: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rPr>
            </w:pPr>
            <w:r>
              <w:t>Potraživanja za predujmove u inozemstvu</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390.706,22</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rPr>
            </w:pPr>
            <w:r>
              <w:t>0,00</w:t>
            </w:r>
          </w:p>
        </w:tc>
      </w:tr>
      <w:tr w:rsidR="004E53FB">
        <w:tc>
          <w:tcPr>
            <w:tcW w:type="dxa" w:w="346"/>
            <w:tcBorders>
              <w:left w:space="0" w:sz="4" w:color="000000" w:val="single"/>
              <w:bottom w:space="0" w:sz="4" w:color="000000" w:val="single"/>
            </w:tcBorders>
            <w:tcMar>
              <w:top w:type="dxa" w:w="0"/>
              <w:left w:type="dxa" w:w="108"/>
              <w:bottom w:type="dxa" w:w="0"/>
              <w:right w:type="dxa" w:w="108"/>
            </w:tcMar>
          </w:tcPr>
          <w:p w:rsidRDefault="004E53FB" w:rsidR="004E53FB">
            <w:pPr>
              <w:pStyle w:val="Textbody"/>
              <w:snapToGrid w:val="false"/>
              <w:spacing w:lineRule="atLeast" w:line="0" w:after="0"/>
              <w:ind w:right="-278" w:left="-279"/>
              <w:jc w:val="center"/>
              <w:rPr>
                <w:rFonts w:hint="eastAsia"/>
                <w:b/>
                <w:bCs/>
              </w:rPr>
            </w:pPr>
          </w:p>
        </w:tc>
        <w:tc>
          <w:tcPr>
            <w:tcW w:type="dxa" w:w="5318"/>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both"/>
              <w:rPr>
                <w:rFonts w:hint="eastAsia"/>
                <w:b/>
                <w:bCs/>
              </w:rPr>
            </w:pPr>
            <w:r>
              <w:rPr>
                <w:b/>
                <w:bCs/>
              </w:rPr>
              <w:t>UKUPNO</w:t>
            </w:r>
          </w:p>
        </w:tc>
        <w:tc>
          <w:tcPr>
            <w:tcW w:type="dxa" w:w="2100"/>
            <w:tcBorders>
              <w:left w:space="0" w:sz="4" w:color="000000" w:val="single"/>
              <w:bottom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b/>
                <w:bCs/>
              </w:rPr>
            </w:pPr>
            <w:r>
              <w:rPr>
                <w:b/>
                <w:bCs/>
              </w:rPr>
              <w:t>3.708.198,90</w:t>
            </w:r>
          </w:p>
        </w:tc>
        <w:tc>
          <w:tcPr>
            <w:tcW w:type="dxa" w:w="1882"/>
            <w:tcBorders>
              <w:left w:space="0" w:sz="4" w:color="000000" w:val="single"/>
              <w:bottom w:space="0" w:sz="4" w:color="000000" w:val="single"/>
              <w:right w:space="0" w:sz="4" w:color="000000" w:val="single"/>
            </w:tcBorders>
            <w:tcMar>
              <w:top w:type="dxa" w:w="0"/>
              <w:left w:type="dxa" w:w="108"/>
              <w:bottom w:type="dxa" w:w="0"/>
              <w:right w:type="dxa" w:w="108"/>
            </w:tcMar>
          </w:tcPr>
          <w:p w:rsidRDefault="00CB510C" w:rsidR="004E53FB">
            <w:pPr>
              <w:pStyle w:val="Textbody"/>
              <w:snapToGrid w:val="false"/>
              <w:spacing w:lineRule="atLeast" w:line="0" w:after="0"/>
              <w:jc w:val="right"/>
              <w:rPr>
                <w:rFonts w:hint="eastAsia"/>
                <w:b/>
                <w:bCs/>
              </w:rPr>
            </w:pPr>
            <w:r>
              <w:rPr>
                <w:b/>
                <w:bCs/>
              </w:rPr>
              <w:t>2.041.739,78</w:t>
            </w:r>
          </w:p>
        </w:tc>
      </w:tr>
    </w:tbl>
    <w:p w:rsidRDefault="004E53FB" w:rsidR="004E53FB">
      <w:pPr>
        <w:pStyle w:val="Textbody"/>
        <w:spacing w:lineRule="atLeast" w:line="0" w:after="0"/>
        <w:ind w:right="-278" w:left="-288"/>
        <w:jc w:val="both"/>
        <w:rPr>
          <w:rFonts w:hint="eastAsia"/>
        </w:rPr>
      </w:pPr>
    </w:p>
    <w:p w:rsidRDefault="00CB510C" w:rsidR="004E53FB">
      <w:pPr>
        <w:pStyle w:val="Textbody"/>
        <w:widowControl w:val="false"/>
        <w:spacing w:lineRule="atLeast" w:line="0" w:after="0"/>
        <w:jc w:val="both"/>
        <w:rPr>
          <w:rFonts w:hint="eastAsia"/>
        </w:rPr>
      </w:pPr>
      <w:r>
        <w:rPr>
          <w:b/>
          <w:bCs/>
        </w:rPr>
        <w:t xml:space="preserve">ad.1., 2. i 3. </w:t>
      </w:r>
      <w:r>
        <w:t>U odnosu na navedena vozila ističe se da se ista nalaze na za sada nepoznatim adresama (osim priključnog vozila samogradnja koji se nalazi u zimskom spremištu u Primoštenu), a raniji direktor stečajnog dužnika se obvezao naknadno dostaviti točne adrese na kojim se nalaze pokretnine.</w:t>
      </w:r>
    </w:p>
    <w:p w:rsidRDefault="004E53FB" w:rsidR="004E53FB">
      <w:pPr>
        <w:pStyle w:val="Textbody"/>
        <w:widowControl w:val="false"/>
        <w:spacing w:lineRule="atLeast" w:line="0" w:after="0"/>
        <w:jc w:val="both"/>
        <w:rPr>
          <w:rFonts w:hint="eastAsia"/>
        </w:rPr>
      </w:pPr>
    </w:p>
    <w:p w:rsidRDefault="00CB510C" w:rsidR="004E53FB">
      <w:pPr>
        <w:pStyle w:val="Textbody"/>
        <w:widowControl w:val="false"/>
        <w:spacing w:lineRule="atLeast" w:line="0" w:after="0"/>
        <w:jc w:val="both"/>
        <w:rPr>
          <w:rFonts w:hint="eastAsia"/>
        </w:rPr>
      </w:pPr>
      <w:r>
        <w:rPr>
          <w:b/>
          <w:bCs/>
        </w:rPr>
        <w:t>ad.4.</w:t>
      </w:r>
      <w:r>
        <w:t xml:space="preserve"> U odnosu na potraživanje dužnika prema svojim dužnicima u RH i inozemstvu, prema karticama otvorenih stavaka za konta 1200 i 1210, evidentno je da se radi o potraživanjima koja potječu iz razdoblja do 2009. godine, te su radi zastare nenaplativa.</w:t>
      </w:r>
    </w:p>
    <w:p w:rsidRDefault="004E53FB" w:rsidR="004E53FB">
      <w:pPr>
        <w:pStyle w:val="Textbody"/>
        <w:widowControl w:val="false"/>
        <w:spacing w:lineRule="atLeast" w:line="0" w:after="0"/>
        <w:jc w:val="both"/>
        <w:rPr>
          <w:rFonts w:hint="eastAsia"/>
        </w:rPr>
      </w:pPr>
    </w:p>
    <w:p w:rsidRDefault="00CB510C" w:rsidR="004E53FB">
      <w:pPr>
        <w:pStyle w:val="Textbody"/>
        <w:widowControl w:val="false"/>
        <w:spacing w:lineRule="atLeast" w:line="0" w:after="0"/>
        <w:jc w:val="both"/>
        <w:rPr>
          <w:rFonts w:hint="eastAsia"/>
        </w:rPr>
      </w:pPr>
      <w:r>
        <w:t>Potraživanje dužnika prema tvrtki ZZ CONCEPT d.o.o. u iznosu od 105.977,55 kn, zatvoreno je višestrukom kompenzacijom dana 31.12.2017. godine, međutim kako je dužnik u neprestanoj blokadi žiro računa od 26.04.2016. godine, to je u smislu odredbe čl.201. Stečajnog zakona takva radnja pobojna.</w:t>
      </w:r>
    </w:p>
    <w:p w:rsidRDefault="004E53FB" w:rsidR="004E53FB">
      <w:pPr>
        <w:pStyle w:val="Textbody"/>
        <w:widowControl w:val="false"/>
        <w:spacing w:lineRule="atLeast" w:line="0" w:after="0"/>
        <w:jc w:val="both"/>
        <w:rPr>
          <w:rFonts w:hint="eastAsia"/>
        </w:rPr>
      </w:pPr>
    </w:p>
    <w:p w:rsidRDefault="00CB510C" w:rsidR="004E53FB">
      <w:pPr>
        <w:pStyle w:val="Textbody"/>
        <w:widowControl w:val="false"/>
        <w:spacing w:lineRule="atLeast" w:line="11" w:after="0"/>
        <w:jc w:val="both"/>
        <w:rPr>
          <w:rFonts w:hint="eastAsia"/>
        </w:rPr>
      </w:pPr>
      <w:r>
        <w:rPr>
          <w:rStyle w:val="StrongEmphasis"/>
        </w:rPr>
        <w:t>ad.5.</w:t>
      </w:r>
      <w:r>
        <w:rPr>
          <w:rStyle w:val="StrongEmphasis"/>
          <w:b w:val="false"/>
          <w:bCs w:val="false"/>
        </w:rPr>
        <w:t xml:space="preserve"> </w:t>
      </w:r>
      <w:r>
        <w:rPr>
          <w:rStyle w:val="Istaknuto"/>
          <w:i w:val="false"/>
          <w:iCs w:val="false"/>
        </w:rPr>
        <w:t>U odnosu na potraživanje dužnika po osnovi zajmova u inozemstvo, prema kartici otvorenih stavaka za konto 11405, evidentno je da se radi o potraživanjima koja potječu iz razdoblja 2006. i 2007. godine, te su radi zastare nenaplativa.</w:t>
      </w:r>
    </w:p>
    <w:p w:rsidRDefault="004E53FB" w:rsidR="004E53FB">
      <w:pPr>
        <w:pStyle w:val="Textbody"/>
        <w:widowControl w:val="false"/>
        <w:spacing w:lineRule="atLeast" w:line="0" w:after="0"/>
        <w:jc w:val="both"/>
        <w:rPr>
          <w:rFonts w:hint="eastAsia"/>
        </w:rPr>
      </w:pPr>
    </w:p>
    <w:p w:rsidRDefault="00CB510C" w:rsidR="004E53FB">
      <w:pPr>
        <w:pStyle w:val="Textbody"/>
        <w:widowControl w:val="false"/>
        <w:spacing w:lineRule="atLeast" w:line="0" w:after="0"/>
        <w:jc w:val="both"/>
        <w:rPr>
          <w:rFonts w:hint="eastAsia"/>
        </w:rPr>
      </w:pPr>
      <w:r>
        <w:rPr>
          <w:b/>
          <w:bCs/>
        </w:rPr>
        <w:t>ad.6. i 7.</w:t>
      </w:r>
      <w:r>
        <w:t xml:space="preserve"> </w:t>
      </w:r>
      <w:r>
        <w:rPr>
          <w:rStyle w:val="Istaknuto"/>
          <w:i w:val="false"/>
          <w:iCs w:val="false"/>
        </w:rPr>
        <w:t>U odnosu na potraživanje dužnika po osnovi zajmova članovima uprave i kamata na dane zajmove, prema karticama otvorenih stavaka za konta 11406 i 1243, evidentno je da se radi o potraživanjima koja potječu iz razdoblja 2014. godine i nadalje, te ista nisu u zastari s obzirom na zastrani rok od 5 godina.</w:t>
      </w:r>
    </w:p>
    <w:p w:rsidRDefault="004E53FB" w:rsidR="004E53FB">
      <w:pPr>
        <w:pStyle w:val="Textbody"/>
        <w:widowControl w:val="false"/>
        <w:spacing w:lineRule="atLeast" w:line="0" w:after="0"/>
        <w:jc w:val="both"/>
        <w:rPr>
          <w:rFonts w:hint="eastAsia"/>
        </w:rPr>
      </w:pPr>
    </w:p>
    <w:p w:rsidRDefault="00CB510C" w:rsidR="004E53FB">
      <w:pPr>
        <w:pStyle w:val="Textbody"/>
        <w:widowControl w:val="false"/>
        <w:spacing w:lineRule="atLeast" w:line="0" w:after="0"/>
        <w:jc w:val="both"/>
        <w:rPr>
          <w:rFonts w:hint="eastAsia"/>
        </w:rPr>
      </w:pPr>
      <w:r>
        <w:rPr>
          <w:b/>
          <w:bCs/>
        </w:rPr>
        <w:t>ad.8. i 9.</w:t>
      </w:r>
      <w:r>
        <w:t xml:space="preserve"> </w:t>
      </w:r>
      <w:r>
        <w:rPr>
          <w:rStyle w:val="Istaknuto"/>
          <w:i w:val="false"/>
          <w:iCs w:val="false"/>
        </w:rPr>
        <w:t>U odnosu na potraživanje dužnika po osnovi predujmova u RH i u inozemstvo, prema mišljenju knjigovodstva dužnika radi o ranijim financijskim uplatama koje je dužnik vršio drugim pravnim osobama za primljenu robu i usluge, međutim od strane vršitelja usluga i dobavljača roba nisu dužniku ispostavljene vjerodostojne isprave za knjiženje (računi, otpremnice, ugovori i dr.) iako su isporučili robu i izvršili usluge, uslijed čega nije bilo moguće izvršiti zatvaranje potražnog konta.</w:t>
      </w:r>
    </w:p>
    <w:p w:rsidRDefault="004E53FB" w:rsidR="004E53FB">
      <w:pPr>
        <w:pStyle w:val="Textbody"/>
        <w:widowControl w:val="false"/>
        <w:spacing w:lineRule="atLeast" w:line="0" w:after="0"/>
        <w:jc w:val="both"/>
        <w:rPr>
          <w:rFonts w:hint="eastAsia"/>
        </w:rPr>
      </w:pPr>
    </w:p>
    <w:p w:rsidRDefault="00CB510C" w:rsidR="004E53FB">
      <w:pPr>
        <w:pStyle w:val="Textbody"/>
        <w:widowControl w:val="false"/>
        <w:spacing w:lineRule="atLeast" w:line="0" w:after="0"/>
        <w:jc w:val="both"/>
        <w:rPr>
          <w:rFonts w:hint="eastAsia"/>
        </w:rPr>
      </w:pPr>
      <w:r>
        <w:rPr>
          <w:rStyle w:val="Istaknuto"/>
          <w:i w:val="false"/>
          <w:iCs w:val="false"/>
        </w:rPr>
        <w:t>Prema karticama otvorenih stavaka za konta 1250 i 1251, većinom se radi o potraživanjima koja potječu iz razdoblja 2008. do 2010. godine, koja su radi zastare nenaplativa, dok dio predujmova iz 2014. i 2015. godine nije u zastari međutim radi činjenice da su dužniku stvarno izvršene usluge i isporučena roba, ali bez računa, to bi naplata takvih potraživanja bila nesvrsihodna.</w:t>
      </w:r>
    </w:p>
    <w:p w:rsidRDefault="00CB510C" w:rsidR="004E53FB">
      <w:pPr>
        <w:pStyle w:val="Textbody"/>
        <w:widowControl w:val="false"/>
        <w:spacing w:lineRule="atLeast" w:line="0" w:after="0"/>
        <w:jc w:val="both"/>
        <w:rPr>
          <w:rFonts w:hint="eastAsia"/>
        </w:rPr>
      </w:pPr>
      <w:r>
        <w:rPr>
          <w:b/>
          <w:bCs/>
        </w:rPr>
        <w:lastRenderedPageBreak/>
        <w:t>DOKAZ: uvid u bilancu, kartice otvorenih stavki (dužnici) i presliku kompenzacije broj: 08032018 koje prileže spisu</w:t>
      </w:r>
    </w:p>
    <w:p w:rsidRDefault="004E53FB" w:rsidR="004E53FB">
      <w:pPr>
        <w:pStyle w:val="Standard"/>
        <w:jc w:val="both"/>
        <w:rPr>
          <w:rFonts w:hint="eastAsia"/>
          <w:b/>
          <w:bCs/>
        </w:rPr>
      </w:pPr>
    </w:p>
    <w:p w:rsidRDefault="00CB510C" w:rsidR="004E53FB">
      <w:pPr>
        <w:pStyle w:val="Standard"/>
        <w:jc w:val="both"/>
        <w:rPr>
          <w:rFonts w:hint="eastAsia"/>
        </w:rPr>
      </w:pPr>
      <w:r>
        <w:rPr>
          <w:b/>
        </w:rPr>
        <w:t>5.</w:t>
      </w:r>
      <w:r>
        <w:t xml:space="preserve"> Pregled poslovnih knjiga je izvršen kod knjigovodstvenog servisa </w:t>
      </w:r>
      <w:r>
        <w:rPr>
          <w:sz w:val="22"/>
          <w:szCs w:val="22"/>
        </w:rPr>
        <w:t>ZZ CONCEPT</w:t>
      </w:r>
      <w:r>
        <w:t xml:space="preserve"> d.o.o. koji je vodio poslovne knjige stečajnog dužnika do dana otvaranja stečajnog postupka, te je izvršen uvid u web stranice Poslovna.hr i izvješća FINA-e, iz čega je utvrđeno je da je dužnik u razdoblju od 2015. godine do 2016. godine imao iskazan dobitak poslovne godine, dok je u 2017. godini imao iskazan gubitak poslovne godine.</w:t>
      </w:r>
    </w:p>
    <w:p w:rsidRDefault="004E53FB" w:rsidR="004E53FB">
      <w:pPr>
        <w:pStyle w:val="Standard"/>
        <w:jc w:val="both"/>
        <w:rPr>
          <w:rFonts w:hint="eastAsia"/>
        </w:rPr>
      </w:pPr>
    </w:p>
    <w:p w:rsidRDefault="00CB510C" w:rsidR="004E53FB">
      <w:pPr>
        <w:pStyle w:val="Standard"/>
        <w:jc w:val="both"/>
        <w:rPr>
          <w:rFonts w:hint="eastAsia"/>
        </w:rPr>
      </w:pPr>
      <w:r>
        <w:t>Račun dužnika broj: HR47 2484 0081 1019 1756 3, kod Hrvatske poštanske banke d.d. bio je u blokadi ukupno 740 dana i ugašen je dana 18.05.2018. godine, te je utvrđeno da je do dana otvaranja stečaja u Očevidniku redoslijeda osnova za plaćanje stečajni dužnik imao evidentirane neizvršene osnove za plaćanje.</w:t>
      </w:r>
    </w:p>
    <w:p w:rsidRDefault="004E53FB" w:rsidR="004E53FB">
      <w:pPr>
        <w:pStyle w:val="Standard"/>
        <w:jc w:val="both"/>
        <w:rPr>
          <w:rFonts w:hint="eastAsia"/>
        </w:rPr>
      </w:pPr>
    </w:p>
    <w:p w:rsidRDefault="00CB510C" w:rsidR="004E53FB">
      <w:pPr>
        <w:pStyle w:val="Standard"/>
        <w:jc w:val="both"/>
        <w:rPr>
          <w:rFonts w:hint="eastAsia"/>
        </w:rPr>
      </w:pPr>
      <w:r>
        <w:t>Nadalje, prema navedenim evidencijama i podacima utvrđeno je da:</w:t>
      </w:r>
    </w:p>
    <w:p w:rsidRDefault="00CB510C" w:rsidR="004E53FB">
      <w:pPr>
        <w:pStyle w:val="Tijeloteksta21"/>
        <w:ind w:right="-283"/>
        <w:rPr>
          <w:rFonts w:hint="eastAsia"/>
        </w:rPr>
      </w:pPr>
      <w:r>
        <w:t>5.1. dužnik ima evidentiranih potraživanja prema svojim dužnicima u iznosu od 3.598.130,06 kn,</w:t>
      </w:r>
    </w:p>
    <w:p w:rsidRDefault="00CB510C" w:rsidR="004E53FB">
      <w:pPr>
        <w:pStyle w:val="Standard"/>
        <w:jc w:val="both"/>
        <w:rPr>
          <w:rFonts w:hint="eastAsia"/>
        </w:rPr>
      </w:pPr>
      <w:r>
        <w:t>5.2. dužnik ima evidentiranih potraživanja po osnovi više plaćenih poreza i članarina u iznosu od 101.606,06 kn, međutim iz knjigovodstvene evidencije nije evidentno na koja potraživanja se konkretno odnosi,</w:t>
      </w:r>
    </w:p>
    <w:p w:rsidRDefault="00CB510C" w:rsidR="004E53FB">
      <w:pPr>
        <w:pStyle w:val="Standard"/>
        <w:ind w:right="-283"/>
        <w:jc w:val="both"/>
        <w:rPr>
          <w:rFonts w:hint="eastAsia"/>
        </w:rPr>
      </w:pPr>
      <w:r>
        <w:t>5.3. dužnik prema vjerovnicima ima evidentirane obveze u ukupnom iznosu od 2.949.685,22 kn,</w:t>
      </w:r>
    </w:p>
    <w:p w:rsidRDefault="00CB510C" w:rsidR="004E53FB">
      <w:pPr>
        <w:pStyle w:val="Standard"/>
        <w:jc w:val="both"/>
        <w:rPr>
          <w:rFonts w:hint="eastAsia"/>
        </w:rPr>
      </w:pPr>
      <w:r>
        <w:t>5.4. u blagajni dužnika nisu evidentirana raspoloživa novčana sredstva,</w:t>
      </w:r>
    </w:p>
    <w:p w:rsidRDefault="00CB510C" w:rsidR="004E53FB">
      <w:pPr>
        <w:pStyle w:val="Standard"/>
        <w:jc w:val="both"/>
        <w:rPr>
          <w:rFonts w:hint="eastAsia"/>
        </w:rPr>
      </w:pPr>
      <w:r>
        <w:t>5.5. prema podacima sa žiro računa dužnika HR47 2484 0081 1019 1756 3, kod Hrvatske poštanske banke d.d., utvrđeno je da na istom nema raspoloživih novčanih sredstava radi činjenice da je ranije ugašen sa danom otvaranja stečaja nad stečajnim dužnikom.</w:t>
      </w:r>
    </w:p>
    <w:p w:rsidRDefault="004E53FB" w:rsidR="004E53FB">
      <w:pPr>
        <w:pStyle w:val="Standard"/>
        <w:jc w:val="both"/>
        <w:rPr>
          <w:rFonts w:hint="eastAsia"/>
          <w:szCs w:val="22"/>
        </w:rPr>
      </w:pPr>
    </w:p>
    <w:p w:rsidRDefault="00CB510C" w:rsidR="004E53FB">
      <w:pPr>
        <w:pStyle w:val="Standard"/>
        <w:jc w:val="both"/>
        <w:rPr>
          <w:rFonts w:hint="eastAsia"/>
        </w:rPr>
      </w:pPr>
      <w:r>
        <w:t>Uvidom u poslovne knjige stečajnog dužnika i na temelju navoda ranijeg direktora stečajnog dužnika, utvrđeno je da je stečajni dužnik obavljao djelatnost kupnje i prodaje robe (jahti), međutim od 2016. godine radi nerealiziranih ugovorenih i predviđenih poslova te financijske krize, došlo je do smanjenja opsega obavljanja djelatnosti, te potom i potpunog prestanka obavljanja djelatnosti radi dugotrajne blokade žiro računa uslijed neizvršavanja obveza prema vjerovnicima, osobito prema državnom proračunu po osnovi javnih davanja.</w:t>
      </w:r>
    </w:p>
    <w:p w:rsidRDefault="004E53FB" w:rsidR="004E53FB">
      <w:pPr>
        <w:pStyle w:val="Standard"/>
        <w:jc w:val="both"/>
        <w:rPr>
          <w:rFonts w:hint="eastAsia"/>
        </w:rPr>
      </w:pPr>
    </w:p>
    <w:p w:rsidRDefault="00CB510C" w:rsidR="004E53FB">
      <w:pPr>
        <w:pStyle w:val="Standard"/>
        <w:jc w:val="both"/>
        <w:rPr>
          <w:rFonts w:hint="eastAsia"/>
        </w:rPr>
      </w:pPr>
      <w:r>
        <w:t>Skraćena bilanca i račun dobiti i gubitka za razdoblje od 2015. do 2017. godine:</w:t>
      </w:r>
    </w:p>
    <w:p w:rsidRDefault="004E53FB" w:rsidR="004E53FB">
      <w:pPr>
        <w:pStyle w:val="Standard"/>
        <w:ind w:right="-284" w:left="-284"/>
        <w:jc w:val="both"/>
        <w:rPr>
          <w:rFonts w:hint="eastAsia"/>
        </w:rPr>
      </w:pPr>
    </w:p>
    <w:tbl>
      <w:tblPr>
        <w:tblW w:type="dxa" w:w="9596"/>
        <w:tblInd w:type="dxa" w:w="36"/>
        <w:tblLayout w:type="fixed"/>
        <w:tblCellMar>
          <w:left w:type="dxa" w:w="10"/>
          <w:right w:type="dxa" w:w="10"/>
        </w:tblCellMar>
        <w:tblLook w:val="0000" w:noVBand="0" w:noHBand="0" w:lastColumn="0" w:firstColumn="0" w:lastRow="0" w:firstRow="0"/>
      </w:tblPr>
      <w:tblGrid>
        <w:gridCol w:w="3000"/>
        <w:gridCol w:w="2220"/>
        <w:gridCol w:w="2148"/>
        <w:gridCol w:w="2228"/>
      </w:tblGrid>
      <w:tr w:rsidR="004E53FB">
        <w:tc>
          <w:tcPr>
            <w:tcW w:type="dxa" w:w="3000"/>
            <w:tcBorders>
              <w:top w:space="0" w:sz="8" w:color="000001" w:val="single"/>
              <w:bottom w:space="0" w:sz="4" w:color="000001" w:val="single"/>
            </w:tcBorders>
            <w:shd w:fill="CCCCCC" w:color="auto" w:val="clear"/>
            <w:tcMar>
              <w:top w:type="dxa" w:w="0"/>
              <w:left w:type="dxa" w:w="108"/>
              <w:bottom w:type="dxa" w:w="0"/>
              <w:right w:type="dxa" w:w="108"/>
            </w:tcMar>
          </w:tcPr>
          <w:p w:rsidRDefault="00CB510C" w:rsidR="004E53FB">
            <w:pPr>
              <w:pStyle w:val="Naslov7"/>
              <w:snapToGrid w:val="false"/>
              <w:spacing w:lineRule="atLeast" w:line="240" w:after="0" w:before="0"/>
              <w:jc w:val="center"/>
              <w:rPr>
                <w:rFonts w:hint="eastAsia"/>
                <w:b/>
                <w:sz w:val="22"/>
                <w:szCs w:val="22"/>
              </w:rPr>
            </w:pPr>
            <w:r>
              <w:rPr>
                <w:b/>
                <w:sz w:val="22"/>
                <w:szCs w:val="22"/>
              </w:rPr>
              <w:t>Godina</w:t>
            </w:r>
          </w:p>
        </w:tc>
        <w:tc>
          <w:tcPr>
            <w:tcW w:type="dxa" w:w="2220"/>
            <w:tcBorders>
              <w:top w:space="0" w:sz="8" w:color="000001" w:val="single"/>
              <w:bottom w:space="0" w:sz="4" w:color="000001" w:val="single"/>
            </w:tcBorders>
            <w:shd w:fill="CCCCCC" w:color="auto" w:val="clear"/>
            <w:tcMar>
              <w:top w:type="dxa" w:w="0"/>
              <w:left w:type="dxa" w:w="108"/>
              <w:bottom w:type="dxa" w:w="0"/>
              <w:right w:type="dxa" w:w="108"/>
            </w:tcMar>
          </w:tcPr>
          <w:p w:rsidRDefault="00CB510C" w:rsidR="004E53FB">
            <w:pPr>
              <w:pStyle w:val="Standard"/>
              <w:snapToGrid w:val="false"/>
              <w:spacing w:lineRule="atLeast" w:line="240"/>
              <w:jc w:val="center"/>
              <w:rPr>
                <w:rFonts w:hint="eastAsia"/>
                <w:b/>
                <w:bCs/>
                <w:sz w:val="22"/>
                <w:szCs w:val="22"/>
              </w:rPr>
            </w:pPr>
            <w:r>
              <w:rPr>
                <w:b/>
                <w:bCs/>
                <w:sz w:val="22"/>
                <w:szCs w:val="22"/>
              </w:rPr>
              <w:t xml:space="preserve"> 2015.</w:t>
            </w:r>
          </w:p>
        </w:tc>
        <w:tc>
          <w:tcPr>
            <w:tcW w:type="dxa" w:w="2148"/>
            <w:tcBorders>
              <w:top w:space="0" w:sz="8" w:color="000001" w:val="single"/>
              <w:bottom w:space="0" w:sz="4" w:color="000001" w:val="single"/>
            </w:tcBorders>
            <w:shd w:fill="CCCCCC" w:color="auto" w:val="clear"/>
            <w:tcMar>
              <w:top w:type="dxa" w:w="0"/>
              <w:left w:type="dxa" w:w="108"/>
              <w:bottom w:type="dxa" w:w="0"/>
              <w:right w:type="dxa" w:w="108"/>
            </w:tcMar>
          </w:tcPr>
          <w:p w:rsidRDefault="00CB510C" w:rsidR="004E53FB">
            <w:pPr>
              <w:pStyle w:val="Standard"/>
              <w:snapToGrid w:val="false"/>
              <w:spacing w:lineRule="atLeast" w:line="240"/>
              <w:jc w:val="center"/>
              <w:rPr>
                <w:rFonts w:hint="eastAsia"/>
                <w:b/>
                <w:bCs/>
                <w:sz w:val="22"/>
                <w:szCs w:val="22"/>
              </w:rPr>
            </w:pPr>
            <w:r>
              <w:rPr>
                <w:b/>
                <w:bCs/>
                <w:sz w:val="22"/>
                <w:szCs w:val="22"/>
              </w:rPr>
              <w:t>2016.</w:t>
            </w:r>
          </w:p>
        </w:tc>
        <w:tc>
          <w:tcPr>
            <w:tcW w:type="dxa" w:w="2228"/>
            <w:tcBorders>
              <w:top w:space="0" w:sz="8" w:color="000001" w:val="single"/>
              <w:bottom w:space="0" w:sz="4" w:color="000001" w:val="single"/>
            </w:tcBorders>
            <w:shd w:fill="CCCCCC" w:color="auto" w:val="clear"/>
            <w:tcMar>
              <w:top w:type="dxa" w:w="0"/>
              <w:left w:type="dxa" w:w="108"/>
              <w:bottom w:type="dxa" w:w="0"/>
              <w:right w:type="dxa" w:w="108"/>
            </w:tcMar>
          </w:tcPr>
          <w:p w:rsidRDefault="00CB510C" w:rsidR="004E53FB">
            <w:pPr>
              <w:pStyle w:val="Standard"/>
              <w:snapToGrid w:val="false"/>
              <w:spacing w:lineRule="atLeast" w:line="240"/>
              <w:jc w:val="center"/>
              <w:rPr>
                <w:rFonts w:hint="eastAsia"/>
                <w:b/>
                <w:bCs/>
                <w:sz w:val="22"/>
                <w:szCs w:val="22"/>
              </w:rPr>
            </w:pPr>
            <w:r>
              <w:rPr>
                <w:b/>
                <w:bCs/>
                <w:sz w:val="22"/>
                <w:szCs w:val="22"/>
              </w:rPr>
              <w:t>2017.</w:t>
            </w:r>
          </w:p>
        </w:tc>
      </w:tr>
      <w:tr w:rsidR="004E53FB">
        <w:tc>
          <w:tcPr>
            <w:tcW w:type="dxa" w:w="3000"/>
            <w:tcBorders>
              <w:top w:space="0" w:sz="4" w:color="000001" w:val="single"/>
            </w:tcBorders>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Poslovni prihodi</w:t>
            </w:r>
          </w:p>
        </w:tc>
        <w:tc>
          <w:tcPr>
            <w:tcW w:type="dxa" w:w="2220"/>
            <w:tcBorders>
              <w:top w:space="0" w:sz="4" w:color="000001" w:val="single"/>
            </w:tcBorders>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1.390.915,00 kn</w:t>
            </w:r>
          </w:p>
        </w:tc>
        <w:tc>
          <w:tcPr>
            <w:tcW w:type="dxa" w:w="2148"/>
            <w:tcBorders>
              <w:top w:space="0" w:sz="4" w:color="000001" w:val="single"/>
            </w:tcBorders>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1.148.230,00 kn</w:t>
            </w:r>
          </w:p>
        </w:tc>
        <w:tc>
          <w:tcPr>
            <w:tcW w:type="dxa" w:w="2228"/>
            <w:tcBorders>
              <w:top w:space="0" w:sz="4" w:color="000001" w:val="single"/>
            </w:tcBorders>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55.887,00</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Financijski prihodi</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63.933,00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54.872,00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55.475,00</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Poslovni rashodi</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1.409.902,00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1.190.068,00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174.695,00 kn</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Financijski rashodi</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3.930,00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Dugotrajna imovina</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285.381,00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Kratkotrajna imovina</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5.672.769,00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3.328.954,00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3.021.028,00 kn</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Obveze</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1.601.800,00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3.103.380,00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r>
      <w:tr w:rsidR="004E53FB">
        <w:tc>
          <w:tcPr>
            <w:tcW w:type="dxa" w:w="3000"/>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Dobit poslovne godine</w:t>
            </w:r>
          </w:p>
        </w:tc>
        <w:tc>
          <w:tcPr>
            <w:tcW w:type="dxa" w:w="2220"/>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32.554,00 kn</w:t>
            </w:r>
          </w:p>
        </w:tc>
        <w:tc>
          <w:tcPr>
            <w:tcW w:type="dxa" w:w="214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10.368,00 kn</w:t>
            </w:r>
          </w:p>
        </w:tc>
        <w:tc>
          <w:tcPr>
            <w:tcW w:type="dxa" w:w="2228"/>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r>
      <w:tr w:rsidR="004E53FB">
        <w:tc>
          <w:tcPr>
            <w:tcW w:type="dxa" w:w="3000"/>
            <w:tcBorders>
              <w:bottom w:space="0" w:sz="8" w:color="000001" w:val="single"/>
            </w:tcBorders>
            <w:tcMar>
              <w:top w:type="dxa" w:w="0"/>
              <w:left w:type="dxa" w:w="108"/>
              <w:bottom w:type="dxa" w:w="0"/>
              <w:right w:type="dxa" w:w="108"/>
            </w:tcMar>
          </w:tcPr>
          <w:p w:rsidRDefault="00CB510C" w:rsidR="004E53FB">
            <w:pPr>
              <w:pStyle w:val="Standard"/>
              <w:snapToGrid w:val="false"/>
              <w:spacing w:lineRule="atLeast" w:line="240"/>
              <w:jc w:val="both"/>
              <w:rPr>
                <w:rFonts w:hint="eastAsia"/>
                <w:bCs/>
                <w:sz w:val="22"/>
                <w:szCs w:val="22"/>
              </w:rPr>
            </w:pPr>
            <w:r>
              <w:rPr>
                <w:bCs/>
                <w:sz w:val="22"/>
                <w:szCs w:val="22"/>
              </w:rPr>
              <w:t>Gubitak poslovne godine</w:t>
            </w:r>
          </w:p>
        </w:tc>
        <w:tc>
          <w:tcPr>
            <w:tcW w:type="dxa" w:w="2220"/>
            <w:tcBorders>
              <w:bottom w:space="0" w:sz="8" w:color="000001" w:val="single"/>
            </w:tcBorders>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c>
          <w:tcPr>
            <w:tcW w:type="dxa" w:w="2148"/>
            <w:tcBorders>
              <w:bottom w:space="0" w:sz="8" w:color="000001" w:val="single"/>
            </w:tcBorders>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0,00 kn</w:t>
            </w:r>
          </w:p>
        </w:tc>
        <w:tc>
          <w:tcPr>
            <w:tcW w:type="dxa" w:w="2228"/>
            <w:tcBorders>
              <w:bottom w:space="0" w:sz="8" w:color="000001" w:val="single"/>
            </w:tcBorders>
            <w:tcMar>
              <w:top w:type="dxa" w:w="0"/>
              <w:left w:type="dxa" w:w="108"/>
              <w:bottom w:type="dxa" w:w="0"/>
              <w:right w:type="dxa" w:w="108"/>
            </w:tcMar>
          </w:tcPr>
          <w:p w:rsidRDefault="00CB510C" w:rsidR="004E53FB">
            <w:pPr>
              <w:pStyle w:val="Standard"/>
              <w:snapToGrid w:val="false"/>
              <w:spacing w:lineRule="atLeast" w:line="240"/>
              <w:jc w:val="right"/>
              <w:rPr>
                <w:rFonts w:hint="eastAsia"/>
                <w:sz w:val="22"/>
                <w:szCs w:val="22"/>
              </w:rPr>
            </w:pPr>
            <w:r>
              <w:rPr>
                <w:sz w:val="22"/>
                <w:szCs w:val="22"/>
              </w:rPr>
              <w:t>63.333,00 kn</w:t>
            </w:r>
          </w:p>
        </w:tc>
      </w:tr>
    </w:tbl>
    <w:p w:rsidRDefault="004E53FB" w:rsidR="004E53FB">
      <w:pPr>
        <w:pStyle w:val="Standard"/>
        <w:ind w:right="-540" w:left="-540"/>
        <w:jc w:val="both"/>
        <w:rPr>
          <w:rFonts w:hint="eastAsia"/>
        </w:rPr>
      </w:pPr>
    </w:p>
    <w:p w:rsidRDefault="00CB510C" w:rsidR="004E53FB">
      <w:pPr>
        <w:pStyle w:val="Standard"/>
        <w:spacing w:lineRule="atLeast" w:line="240"/>
        <w:jc w:val="both"/>
        <w:rPr>
          <w:rFonts w:hint="eastAsia"/>
          <w:szCs w:val="22"/>
        </w:rPr>
      </w:pPr>
      <w:r>
        <w:rPr>
          <w:szCs w:val="22"/>
        </w:rPr>
        <w:t>Rezimiranjem svega navedenog u izvješću proizlazi da su osnovni razlozi za negativan gospodarski položaj stečajnog dužnika višegodišnje nepodmirivanje financijskih obveza prema vjerovnicima, smanjeni opseg obavljanja djelatnosti i smanjenje prihoda radi krize na tržištu, smanjenje broja radnika te dugotrajna blokada žiro računa.</w:t>
      </w:r>
    </w:p>
    <w:p w:rsidRDefault="004E53FB" w:rsidR="004E53FB">
      <w:pPr>
        <w:pStyle w:val="Standard"/>
        <w:spacing w:lineRule="atLeast" w:line="240"/>
        <w:jc w:val="both"/>
        <w:rPr>
          <w:rFonts w:hint="eastAsia"/>
          <w:szCs w:val="22"/>
        </w:rPr>
      </w:pPr>
    </w:p>
    <w:p w:rsidRDefault="00CB510C" w:rsidR="004E53FB">
      <w:pPr>
        <w:pStyle w:val="Standard"/>
        <w:spacing w:lineRule="atLeast" w:line="240"/>
        <w:jc w:val="both"/>
        <w:rPr>
          <w:rFonts w:hint="eastAsia"/>
          <w:szCs w:val="22"/>
        </w:rPr>
      </w:pPr>
      <w:r>
        <w:rPr>
          <w:szCs w:val="22"/>
        </w:rPr>
        <w:t>Ako se uzme u obzir da je prema podacima FINA-e stečajni dužnik bio nesposoban za plaćanje u razdoblju od godinu i pol prije otvaranja stečaja, a da obveze prema vjerovnicima nisu podmirene u cijelosti, evidentna je okolnost da je takvo ukupno stanje dovelo do stvaranja uvjeta za otvaranje stečaja nad stečajnim dužnikom.</w:t>
      </w:r>
    </w:p>
    <w:p w:rsidRDefault="00CB510C" w:rsidR="004E53FB">
      <w:pPr>
        <w:pStyle w:val="Standard"/>
        <w:spacing w:lineRule="atLeast" w:line="240"/>
        <w:jc w:val="both"/>
        <w:rPr>
          <w:rFonts w:hint="eastAsia"/>
          <w:szCs w:val="22"/>
        </w:rPr>
      </w:pPr>
      <w:r>
        <w:rPr>
          <w:szCs w:val="22"/>
        </w:rPr>
        <w:lastRenderedPageBreak/>
        <w:t>Stoga je zaključak da stečajni dužnik načelno nema uvjeta nastaviti sa svojom djelatnošću u samom stečajnom postupku, međutim ističe se da je raniji direktor i jedini imatelj poslovog udjela stečajnog dužnika, Rikrad Dragčević, iskazao interes za nastavak poslovanja ukoliko bi se sačinio i usvojio stečajni plan, s obzirom na činjenicu da je isti kao dužnik u obvezi stečajnom dužniku izvršiti povrat pozajmice u iznosu od preko 1.800.000,00 kn, što čini dostatnu financijsku konstrukciju za eventualni nastavak poslovanja.</w:t>
      </w:r>
    </w:p>
    <w:p w:rsidRDefault="004E53FB" w:rsidR="004E53FB">
      <w:pPr>
        <w:pStyle w:val="Standard"/>
        <w:spacing w:lineRule="atLeast" w:line="240"/>
        <w:jc w:val="both"/>
        <w:rPr>
          <w:rFonts w:hint="eastAsia"/>
        </w:rPr>
      </w:pPr>
    </w:p>
    <w:p w:rsidRDefault="00CB510C" w:rsidR="004E53FB">
      <w:pPr>
        <w:pStyle w:val="Standard"/>
        <w:spacing w:lineRule="atLeast" w:line="240"/>
        <w:jc w:val="both"/>
        <w:rPr>
          <w:rFonts w:hint="eastAsia"/>
        </w:rPr>
      </w:pPr>
      <w:r>
        <w:t>U Daruvaru, 20.08.2018. godine.</w:t>
      </w:r>
    </w:p>
    <w:p w:rsidRDefault="004E53FB" w:rsidR="004E53FB">
      <w:pPr>
        <w:pStyle w:val="Standard"/>
        <w:spacing w:lineRule="atLeast" w:line="240"/>
        <w:jc w:val="both"/>
        <w:rPr>
          <w:rFonts w:hint="eastAsia"/>
        </w:rPr>
      </w:pPr>
    </w:p>
    <w:p w:rsidRDefault="00CB510C" w:rsidR="004E53FB">
      <w:pPr>
        <w:pStyle w:val="Standard"/>
        <w:jc w:val="both"/>
        <w:rPr>
          <w:rFonts w:hint="eastAsia"/>
        </w:rPr>
      </w:pPr>
      <w:r>
        <w:rPr>
          <w:b/>
          <w:bCs/>
        </w:rPr>
        <w:tab/>
      </w:r>
      <w:r>
        <w:rPr>
          <w:b/>
          <w:bCs/>
        </w:rPr>
        <w:tab/>
      </w:r>
      <w:r>
        <w:rPr>
          <w:b/>
          <w:bCs/>
        </w:rPr>
        <w:tab/>
      </w:r>
      <w:r>
        <w:rPr>
          <w:b/>
          <w:bCs/>
        </w:rPr>
        <w:tab/>
      </w:r>
      <w:r>
        <w:rPr>
          <w:b/>
          <w:bCs/>
        </w:rPr>
        <w:tab/>
      </w:r>
      <w:r>
        <w:rPr>
          <w:b/>
          <w:bCs/>
        </w:rPr>
        <w:tab/>
      </w:r>
      <w:r>
        <w:rPr>
          <w:b/>
          <w:bCs/>
        </w:rPr>
        <w:tab/>
      </w:r>
      <w:r>
        <w:t>Stečajni upravitelj</w:t>
      </w:r>
    </w:p>
    <w:p w:rsidRDefault="00CB510C" w:rsidR="004E53FB">
      <w:pPr>
        <w:pStyle w:val="Standard"/>
        <w:jc w:val="both"/>
        <w:rPr>
          <w:rFonts w:hint="eastAsia"/>
        </w:rPr>
      </w:pPr>
      <w:r>
        <w:rPr>
          <w:b/>
          <w:bCs/>
        </w:rPr>
        <w:tab/>
      </w:r>
      <w:r>
        <w:rPr>
          <w:b/>
          <w:bCs/>
        </w:rPr>
        <w:tab/>
      </w:r>
      <w:r>
        <w:rPr>
          <w:b/>
          <w:bCs/>
        </w:rPr>
        <w:tab/>
      </w:r>
      <w:r>
        <w:rPr>
          <w:b/>
          <w:bCs/>
        </w:rPr>
        <w:tab/>
      </w:r>
      <w:r>
        <w:rPr>
          <w:b/>
          <w:bCs/>
        </w:rPr>
        <w:tab/>
        <w:t xml:space="preserve">                        </w:t>
      </w:r>
      <w:r>
        <w:t>Perica Medaković</w:t>
      </w:r>
    </w:p>
    <w:p w:rsidRDefault="004E53FB" w:rsidR="004E53FB">
      <w:pPr>
        <w:pStyle w:val="Standard"/>
        <w:ind w:right="-284" w:left="-284"/>
        <w:rPr>
          <w:rFonts w:hint="eastAsia"/>
        </w:rPr>
      </w:pPr>
    </w:p>
    <w:sectPr w:rsidR="004E53FB">
      <w:pgSz w:h="16838" w:w="11906"/>
      <w:pgMar w:gutter="0" w:footer="720" w:header="720" w:left="1134" w:bottom="959" w:right="1127" w:top="1134"/>
      <w:cols w:space="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10C" w:rsidR="00B24C3D">
      <w:pPr>
        <w:rPr>
          <w:rFonts w:hint="eastAsia"/>
        </w:rPr>
      </w:pPr>
      <w:r>
        <w:separator/>
      </w:r>
    </w:p>
  </w:endnote>
  <w:endnote w:id="0" w:type="continuationSeparator">
    <w:p w:rsidRDefault="00CB510C" w:rsidR="00B24C3D">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Liberation Serif">
    <w:altName w:val="Times New Roman"/>
    <w:charset w:val="00"/>
    <w:family w:val="roman"/>
    <w:pitch w:val="default"/>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Times New Roman">
    <w:panose1 w:val="02020603050405020304"/>
    <w:charset w:val="EE"/>
    <w:family w:val="roman"/>
    <w:pitch w:val="variable"/>
    <w:sig w:csb1="00000000" w:csb0="000001FF" w:usb3="00000000" w:usb2="00000009" w:usb1="C0007841" w:usb0="E0002AFF"/>
  </w:font>
  <w:font w:name="Liberation Sans">
    <w:charset w:val="00"/>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10C" w:rsidR="00B24C3D">
      <w:pPr>
        <w:rPr>
          <w:rFonts w:hint="eastAsia"/>
        </w:rPr>
      </w:pPr>
      <w:r>
        <w:rPr>
          <w:color w:val="000000"/>
        </w:rPr>
        <w:separator/>
      </w:r>
    </w:p>
  </w:footnote>
  <w:footnote w:id="0" w:type="continuationSeparator">
    <w:p w:rsidRDefault="00CB510C" w:rsidR="00B24C3D">
      <w:pPr>
        <w:rPr>
          <w:rFonts w:hint="eastAsia"/>
        </w:rPr>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CE111A"/>
    <w:multiLevelType w:val="multilevel"/>
    <w:tmpl w:val="7DACD020"/>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4E53FB"/>
    <w:rsid w:val="004E53FB"/>
    <w:rsid w:val="00B24C3D"/>
    <w:rsid w:val="00CB510C"/>
    <w:rsid w:val="00CE4B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Lucida Sans" w:eastAsia="SimSun" w:hAnsi="Liberation Serif" w:ascii="Liberation Serif"/>
        <w:kern w:val="3"/>
        <w:sz w:val="24"/>
        <w:szCs w:val="24"/>
        <w:lang w:bidi="hi-IN" w:eastAsia="zh-CN" w:val="hr-HR"/>
      </w:rPr>
    </w:rPrDefault>
    <w:pPrDefault>
      <w:pPr>
        <w:suppressAutoHyphens/>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style>
  <w:style w:styleId="Naslov2" w:type="paragraph">
    <w:name w:val="heading 2"/>
    <w:basedOn w:val="Standard"/>
    <w:next w:val="Standard"/>
    <w:pPr>
      <w:keepNext/>
      <w:jc w:val="center"/>
      <w:outlineLvl w:val="1"/>
    </w:pPr>
    <w:rPr>
      <w:sz w:val="32"/>
    </w:rPr>
  </w:style>
  <w:style w:styleId="Naslov3" w:type="paragraph">
    <w:name w:val="heading 3"/>
    <w:basedOn w:val="Standard"/>
    <w:next w:val="Standard"/>
    <w:pPr>
      <w:keepNext/>
      <w:jc w:val="center"/>
      <w:outlineLvl w:val="2"/>
    </w:pPr>
    <w:rPr>
      <w:b/>
      <w:bCs/>
      <w:sz w:val="32"/>
    </w:rPr>
  </w:style>
  <w:style w:styleId="Naslov7" w:type="paragraph">
    <w:name w:val="heading 7"/>
    <w:basedOn w:val="Standard"/>
    <w:next w:val="Standard"/>
    <w:pPr>
      <w:spacing w:after="60" w:before="240"/>
      <w:outlineLvl w:val="6"/>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style>
  <w:style w:styleId="Naslov" w:type="paragraph">
    <w:name w:val="Title"/>
    <w:basedOn w:val="Standard"/>
    <w:next w:val="Textbody"/>
    <w:pPr>
      <w:keepNext/>
      <w:spacing w:after="120" w:before="240"/>
    </w:pPr>
    <w:rPr>
      <w:rFonts w:eastAsia="Microsoft YaHei" w:hAnsi="Liberation Sans" w:ascii="Liberation Sans"/>
      <w:sz w:val="28"/>
      <w:szCs w:val="28"/>
    </w:rPr>
  </w:style>
  <w:style w:customStyle="true" w:styleId="Textbody" w:type="paragraph">
    <w:name w:val="Text body"/>
    <w:basedOn w:val="Standard"/>
    <w:pPr>
      <w:spacing w:lineRule="auto" w:line="288" w:after="140"/>
    </w:pPr>
  </w:style>
  <w:style w:styleId="Podnaslov" w:type="paragraph">
    <w:name w:val="Subtitle"/>
    <w:basedOn w:val="Naslov"/>
    <w:next w:val="Textbody"/>
    <w:pPr>
      <w:jc w:val="center"/>
    </w:pPr>
    <w:rPr>
      <w:i/>
      <w:iCs/>
    </w:rPr>
  </w:style>
  <w:style w:styleId="Popis" w:type="paragraph">
    <w:name w:val="List"/>
    <w:basedOn w:val="Textbody"/>
  </w:style>
  <w:style w:styleId="Opisslike" w:type="paragraph">
    <w:name w:val="caption"/>
    <w:basedOn w:val="Standard"/>
    <w:pPr>
      <w:suppressLineNumbers/>
      <w:spacing w:after="120" w:before="120"/>
    </w:pPr>
    <w:rPr>
      <w:i/>
      <w:iCs/>
    </w:rPr>
  </w:style>
  <w:style w:customStyle="true" w:styleId="Index" w:type="paragraph">
    <w:name w:val="Index"/>
    <w:basedOn w:val="Standard"/>
    <w:pPr>
      <w:suppressLineNumbers/>
    </w:pPr>
  </w:style>
  <w:style w:customStyle="true" w:styleId="Textbodyindent" w:type="paragraph">
    <w:name w:val="Text body indent"/>
    <w:basedOn w:val="Standard"/>
    <w:pPr>
      <w:ind w:firstLine="708"/>
      <w:jc w:val="both"/>
    </w:pPr>
  </w:style>
  <w:style w:customStyle="true" w:styleId="Tijeloteksta21" w:type="paragraph">
    <w:name w:val="Tijelo teksta 21"/>
    <w:basedOn w:val="Standard"/>
    <w:pPr>
      <w:jc w:val="both"/>
    </w:pPr>
  </w:style>
  <w:style w:customStyle="true" w:styleId="TableContents" w:type="paragraph">
    <w:name w:val="Table Contents"/>
    <w:basedOn w:val="Standard"/>
    <w:pPr>
      <w:suppressLineNumbers/>
    </w:pPr>
  </w:style>
  <w:style w:customStyle="true" w:styleId="TableHeading" w:type="paragraph">
    <w:name w:val="Table Heading"/>
    <w:basedOn w:val="TableContents"/>
    <w:pPr>
      <w:jc w:val="center"/>
    </w:pPr>
    <w:rPr>
      <w:b/>
      <w:bCs/>
    </w:rPr>
  </w:style>
  <w:style w:customStyle="true" w:styleId="Footnote" w:type="paragraph">
    <w:name w:val="Footnote"/>
    <w:basedOn w:val="Standard"/>
    <w:pPr>
      <w:suppressLineNumbers/>
      <w:ind w:hanging="283" w:left="283"/>
    </w:pPr>
    <w:rPr>
      <w:sz w:val="20"/>
      <w:szCs w:val="20"/>
    </w:rPr>
  </w:style>
  <w:style w:customStyle="true" w:styleId="FootnoteSymbol" w:type="character">
    <w:name w:val="Footnote Symbol"/>
  </w:style>
  <w:style w:customStyle="true" w:styleId="Footnoteanchor" w:type="character">
    <w:name w:val="Footnote anchor"/>
    <w:rPr>
      <w:position w:val="0"/>
      <w:vertAlign w:val="superscript"/>
    </w:rPr>
  </w:style>
  <w:style w:customStyle="true" w:styleId="StrongEmphasis" w:type="character">
    <w:name w:val="Strong Emphasis"/>
    <w:rPr>
      <w:b/>
      <w:bCs/>
    </w:rPr>
  </w:style>
  <w:style w:styleId="Istaknuto" w:type="character">
    <w:name w:val="Emphasis"/>
    <w:rPr>
      <w:i/>
      <w:iCs/>
    </w:rPr>
  </w:style>
  <w:style w:customStyle="true" w:styleId="WWNum1" w:type="numbering">
    <w:name w:val="WWNum1"/>
    <w:basedOn w:val="Bezpopisa"/>
    <w:pPr>
      <w:numPr>
        <w:numId w:val="1"/>
      </w:numPr>
    </w:pPr>
  </w:style>
  <w:style w:styleId="Tekstrezerviranogmjesta" w:type="character">
    <w:name w:val="Placeholder Text"/>
    <w:basedOn w:val="Zadanifontodlomka"/>
    <w:uiPriority w:val="99"/>
    <w:semiHidden/>
    <w:rsid w:val="00CE4BAE"/>
    <w:rPr>
      <w:color w:val="808080"/>
      <w:bdr w:space="0" w:sz="0" w:color="auto" w:val="none"/>
      <w:shd w:fill="auto" w:color="auto" w:val="clear"/>
    </w:rPr>
  </w:style>
  <w:style w:customStyle="true" w:styleId="eSPISCCParagraphDefaultFont" w:type="character">
    <w:name w:val="eSPIS_CC_Paragraph Default Font"/>
    <w:basedOn w:val="Zadanifontodlomka"/>
    <w:rsid w:val="00CE4BAE"/>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CE4BAE"/>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E4BAE"/>
    <w:rPr>
      <w:rFonts w:cs="Times New Roman" w:hAnsi="Times New Roman" w:ascii="Times New Roman"/>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E4BAE"/>
    <w:rPr>
      <w:rFonts w:cs="Times New Roman" w:hAnsi="Times New Roman" w:ascii="Times New Roman"/>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Liberation Serif" w:cs="Lucida Sans" w:eastAsia="SimSun" w:hAnsi="Liberation Serif"/>
        <w:kern w:val="3"/>
        <w:sz w:val="24"/>
        <w:szCs w:val="24"/>
        <w:lang w:bidi="hi-IN" w:eastAsia="zh-CN" w:val="hr-HR"/>
      </w:rPr>
    </w:rPrDefault>
    <w:pPrDefault>
      <w:pPr>
        <w:suppressAutoHyphens/>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style>
  <w:style w:styleId="Naslov2" w:type="paragraph">
    <w:name w:val="heading 2"/>
    <w:basedOn w:val="Standard"/>
    <w:next w:val="Standard"/>
    <w:pPr>
      <w:keepNext/>
      <w:jc w:val="center"/>
      <w:outlineLvl w:val="1"/>
    </w:pPr>
    <w:rPr>
      <w:sz w:val="32"/>
    </w:rPr>
  </w:style>
  <w:style w:styleId="Naslov3" w:type="paragraph">
    <w:name w:val="heading 3"/>
    <w:basedOn w:val="Standard"/>
    <w:next w:val="Standard"/>
    <w:pPr>
      <w:keepNext/>
      <w:jc w:val="center"/>
      <w:outlineLvl w:val="2"/>
    </w:pPr>
    <w:rPr>
      <w:b/>
      <w:bCs/>
      <w:sz w:val="32"/>
    </w:rPr>
  </w:style>
  <w:style w:styleId="Naslov7" w:type="paragraph">
    <w:name w:val="heading 7"/>
    <w:basedOn w:val="Standard"/>
    <w:next w:val="Standard"/>
    <w:pPr>
      <w:spacing w:after="60" w:before="240"/>
      <w:outlineLvl w:val="6"/>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style>
  <w:style w:styleId="Naslov" w:type="paragraph">
    <w:name w:val="Title"/>
    <w:basedOn w:val="Standard"/>
    <w:next w:val="Textbody"/>
    <w:pPr>
      <w:keepNext/>
      <w:spacing w:after="120" w:before="240"/>
    </w:pPr>
    <w:rPr>
      <w:rFonts w:ascii="Liberation Sans" w:eastAsia="Microsoft YaHei" w:hAnsi="Liberation Sans"/>
      <w:sz w:val="28"/>
      <w:szCs w:val="28"/>
    </w:rPr>
  </w:style>
  <w:style w:customStyle="1" w:styleId="Textbody" w:type="paragraph">
    <w:name w:val="Text body"/>
    <w:basedOn w:val="Standard"/>
    <w:pPr>
      <w:spacing w:after="140" w:line="288" w:lineRule="auto"/>
    </w:pPr>
  </w:style>
  <w:style w:styleId="Podnaslov" w:type="paragraph">
    <w:name w:val="Subtitle"/>
    <w:basedOn w:val="Naslov"/>
    <w:next w:val="Textbody"/>
    <w:pPr>
      <w:jc w:val="center"/>
    </w:pPr>
    <w:rPr>
      <w:i/>
      <w:iCs/>
    </w:rPr>
  </w:style>
  <w:style w:styleId="Popis" w:type="paragraph">
    <w:name w:val="List"/>
    <w:basedOn w:val="Textbody"/>
  </w:style>
  <w:style w:styleId="Opisslike" w:type="paragraph">
    <w:name w:val="caption"/>
    <w:basedOn w:val="Standard"/>
    <w:pPr>
      <w:suppressLineNumbers/>
      <w:spacing w:after="120" w:before="120"/>
    </w:pPr>
    <w:rPr>
      <w:i/>
      <w:iCs/>
    </w:rPr>
  </w:style>
  <w:style w:customStyle="1" w:styleId="Index" w:type="paragraph">
    <w:name w:val="Index"/>
    <w:basedOn w:val="Standard"/>
    <w:pPr>
      <w:suppressLineNumbers/>
    </w:pPr>
  </w:style>
  <w:style w:customStyle="1" w:styleId="Textbodyindent" w:type="paragraph">
    <w:name w:val="Text body indent"/>
    <w:basedOn w:val="Standard"/>
    <w:pPr>
      <w:ind w:firstLine="708"/>
      <w:jc w:val="both"/>
    </w:pPr>
  </w:style>
  <w:style w:customStyle="1" w:styleId="Tijeloteksta21" w:type="paragraph">
    <w:name w:val="Tijelo teksta 21"/>
    <w:basedOn w:val="Standard"/>
    <w:pPr>
      <w:jc w:val="both"/>
    </w:pPr>
  </w:style>
  <w:style w:customStyle="1" w:styleId="TableContents" w:type="paragraph">
    <w:name w:val="Table Contents"/>
    <w:basedOn w:val="Standard"/>
    <w:pPr>
      <w:suppressLineNumbers/>
    </w:pPr>
  </w:style>
  <w:style w:customStyle="1" w:styleId="TableHeading" w:type="paragraph">
    <w:name w:val="Table Heading"/>
    <w:basedOn w:val="TableContents"/>
    <w:pPr>
      <w:jc w:val="center"/>
    </w:pPr>
    <w:rPr>
      <w:b/>
      <w:bCs/>
    </w:rPr>
  </w:style>
  <w:style w:customStyle="1" w:styleId="Footnote" w:type="paragraph">
    <w:name w:val="Footnote"/>
    <w:basedOn w:val="Standard"/>
    <w:pPr>
      <w:suppressLineNumbers/>
      <w:ind w:hanging="283" w:left="283"/>
    </w:pPr>
    <w:rPr>
      <w:sz w:val="20"/>
      <w:szCs w:val="20"/>
    </w:rPr>
  </w:style>
  <w:style w:customStyle="1" w:styleId="FootnoteSymbol" w:type="character">
    <w:name w:val="Footnote Symbol"/>
  </w:style>
  <w:style w:customStyle="1" w:styleId="Footnoteanchor" w:type="character">
    <w:name w:val="Footnote anchor"/>
    <w:rPr>
      <w:position w:val="0"/>
      <w:vertAlign w:val="superscript"/>
    </w:rPr>
  </w:style>
  <w:style w:customStyle="1" w:styleId="StrongEmphasis" w:type="character">
    <w:name w:val="Strong Emphasis"/>
    <w:rPr>
      <w:b/>
      <w:bCs/>
    </w:rPr>
  </w:style>
  <w:style w:styleId="Istaknuto" w:type="character">
    <w:name w:val="Emphasis"/>
    <w:rPr>
      <w:i/>
      <w:iCs/>
    </w:rPr>
  </w:style>
  <w:style w:customStyle="1" w:styleId="WWNum1" w:type="numbering">
    <w:name w:val="WWNum1"/>
    <w:basedOn w:val="Bezpopisa"/>
    <w:pPr>
      <w:numPr>
        <w:numId w:val="1"/>
      </w:numPr>
    </w:pPr>
  </w:style>
  <w:style w:styleId="Tekstrezerviranogmjesta" w:type="character">
    <w:name w:val="Placeholder Text"/>
    <w:basedOn w:val="Zadanifontodlomka"/>
    <w:uiPriority w:val="99"/>
    <w:semiHidden/>
    <w:rsid w:val="00CE4BAE"/>
    <w:rPr>
      <w:color w:val="808080"/>
      <w:bdr w:color="auto" w:space="0" w:sz="0" w:val="none"/>
      <w:shd w:color="auto" w:fill="auto" w:val="clear"/>
    </w:rPr>
  </w:style>
  <w:style w:customStyle="1" w:styleId="eSPISCCParagraphDefaultFont" w:type="character">
    <w:name w:val="eSPIS_CC_Paragraph Default Font"/>
    <w:basedOn w:val="Zadanifontodlomka"/>
    <w:rsid w:val="00CE4BAE"/>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CE4BAE"/>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E4BAE"/>
    <w:rPr>
      <w:rFonts w:ascii="Times New Roman" w:cs="Times New Roman" w:hAnsi="Times New Roman"/>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E4BAE"/>
    <w:rPr>
      <w:rFonts w:ascii="Times New Roman" w:cs="Times New Roman" w:hAnsi="Times New Roman"/>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1513</properties:Words>
  <properties:Characters>8889</properties:Characters>
  <properties:Lines>297</properties:Lines>
  <properties:Paragraphs>150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2018-08-21T10:50:00Z</dcterms:created>
  <dc:creator>Monika Grbac</dc:creator>
  <cp:lastModifiedBy>Monika Grbac</cp:lastModifiedBy>
  <cp:lastPrinted>2018-08-20T11:10:00Z</cp:lastPrinted>
  <dcterms:modified xmlns:xsi="http://www.w3.org/2001/XMLSchema-instance" xsi:type="dcterms:W3CDTF">2018-09-03T11:20:00Z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St-5718/2016-30 / Podnesak - Izvješće o financijsko-gospodarskom stanju dužnika (izvješće  o gosp. stanju od 21.8.18..docx)</vt:lpwstr>
  </prop:property>
  <prop:property name="CC_coloring" pid="4" fmtid="{D5CDD505-2E9C-101B-9397-08002B2CF9AE}">
    <vt:bool>false</vt:bool>
  </prop:property>
  <prop:property name="BrojStranica" pid="5" fmtid="{D5CDD505-2E9C-101B-9397-08002B2CF9AE}">
    <vt:i4>5</vt:i4>
  </prop:property>
</prop:Properties>
</file>