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f7788" w14:paraId="c8f7788" w:rsidRDefault="00966EFD" w:rsidP="00966EFD" w:rsidR="00966EFD" w:rsidRPr="00AA23AA">
      <w:pPr>
        <w:pStyle w:val="Zaglavlje"/>
        <w:jc w:val="center"/>
        <w15:collapsed w:val="false"/>
        <w:rPr>
          <w:rFonts w:eastAsia="Times New Roman" w:hAnsi="Times New Roman" w:ascii="Times New Roman"/>
          <w:b/>
          <w:sz w:val="24"/>
          <w:szCs w:val="20"/>
          <w:lang w:eastAsia="hr-HR" w:val="en-GB"/>
        </w:rPr>
      </w:pPr>
      <w:bookmarkStart w:name="_GoBack" w:id="0"/>
      <w:bookmarkEnd w:id="0"/>
      <w:r w:rsidRPr="00AA23AA">
        <w:rPr>
          <w:rFonts w:eastAsia="Times New Roman" w:hAnsi="Times New Roman" w:ascii="Times New Roman"/>
          <w:b/>
          <w:sz w:val="24"/>
          <w:szCs w:val="20"/>
          <w:lang w:eastAsia="hr-HR" w:val="en-GB"/>
        </w:rPr>
        <w:t>Obrazac 20.</w:t>
      </w:r>
    </w:p>
    <w:p w:rsidRDefault="00966EFD" w:rsidP="00966EFD" w:rsidR="00966EFD" w:rsidRPr="00AA23AA">
      <w:pPr>
        <w:overflowPunct w:val="false"/>
        <w:autoSpaceDE w:val="false"/>
        <w:autoSpaceDN w:val="false"/>
        <w:adjustRightInd w:val="false"/>
        <w:spacing w:after="0"/>
        <w:jc w:val="center"/>
        <w:textAlignment w:val="baseline"/>
        <w:rPr>
          <w:rFonts w:eastAsia="Times New Roman" w:hAnsi="Times New Roman" w:ascii="Times New Roman"/>
          <w:b/>
          <w:sz w:val="24"/>
          <w:szCs w:val="20"/>
          <w:lang w:eastAsia="hr-HR" w:val="en-GB"/>
        </w:rPr>
      </w:pPr>
    </w:p>
    <w:p w:rsidRDefault="00966EFD" w:rsidP="00966EFD" w:rsidR="00966EFD" w:rsidRPr="00AA23AA">
      <w:pPr>
        <w:overflowPunct w:val="false"/>
        <w:autoSpaceDE w:val="false"/>
        <w:autoSpaceDN w:val="false"/>
        <w:adjustRightInd w:val="false"/>
        <w:spacing w:after="0"/>
        <w:jc w:val="center"/>
        <w:textAlignment w:val="baseline"/>
        <w:rPr>
          <w:rFonts w:eastAsia="Times New Roman" w:hAnsi="Times New Roman" w:ascii="Times New Roman"/>
          <w:b/>
          <w:sz w:val="24"/>
          <w:szCs w:val="20"/>
          <w:lang w:eastAsia="hr-HR" w:val="en-GB"/>
        </w:rPr>
      </w:pPr>
    </w:p>
    <w:p w:rsidRDefault="00966EFD" w:rsidP="00966EFD" w:rsidR="00966EFD" w:rsidRPr="00AA23AA">
      <w:pPr>
        <w:overflowPunct w:val="false"/>
        <w:autoSpaceDE w:val="false"/>
        <w:autoSpaceDN w:val="false"/>
        <w:adjustRightInd w:val="false"/>
        <w:spacing w:after="0"/>
        <w:jc w:val="center"/>
        <w:textAlignment w:val="baseline"/>
        <w:rPr>
          <w:rFonts w:eastAsia="Times New Roman" w:hAnsi="Times New Roman" w:ascii="Times New Roman"/>
          <w:b/>
          <w:sz w:val="24"/>
          <w:szCs w:val="20"/>
          <w:lang w:eastAsia="hr-HR" w:val="en-GB"/>
        </w:rPr>
      </w:pPr>
      <w:r w:rsidRPr="00AA23AA">
        <w:rPr>
          <w:rFonts w:eastAsia="Times New Roman" w:hAnsi="Times New Roman" w:ascii="Times New Roman"/>
          <w:b/>
          <w:sz w:val="24"/>
          <w:szCs w:val="20"/>
          <w:lang w:eastAsia="hr-HR" w:val="en-GB"/>
        </w:rPr>
        <w:t>IZVJEŠĆE STEČAJNOG UPRAVITELJA O TIJEKU STEČAJNOG POSTUPKA I STANJU STEČAJNE MASE</w:t>
      </w:r>
    </w:p>
    <w:p w:rsidRDefault="00966EFD" w:rsidP="00966EFD" w:rsidR="00966EFD" w:rsidRPr="00AA23AA">
      <w:pPr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spacing w:after="0"/>
        <w:textAlignment w:val="baseline"/>
        <w:rPr>
          <w:rFonts w:eastAsia="Times New Roman" w:hAnsi="Times New Roman" w:ascii="Times New Roman"/>
          <w:sz w:val="24"/>
          <w:szCs w:val="20"/>
          <w:lang w:eastAsia="hr-HR" w:val="en-GB"/>
        </w:rPr>
      </w:pPr>
    </w:p>
    <w:p w:rsidRDefault="00966EFD" w:rsidP="00966EFD" w:rsidR="00966EFD">
      <w:pPr>
        <w:jc w:val="both"/>
        <w:rPr>
          <w:rFonts w:hAnsi="Times New Roman" w:ascii="Times New Roman"/>
          <w:b/>
          <w:sz w:val="28"/>
          <w:szCs w:val="28"/>
          <w:lang w:val="pl-PL"/>
        </w:rPr>
      </w:pPr>
    </w:p>
    <w:p w:rsidRDefault="00966EFD" w:rsidP="00966EFD" w:rsidR="00966EFD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4000A6">
        <w:rPr>
          <w:rFonts w:hAnsi="Times New Roman" w:ascii="Times New Roman"/>
          <w:b/>
          <w:sz w:val="28"/>
          <w:szCs w:val="28"/>
          <w:lang w:val="pl-PL"/>
        </w:rPr>
        <w:t>Nadle</w:t>
      </w:r>
      <w:r w:rsidRPr="004000A6">
        <w:rPr>
          <w:rFonts w:hAnsi="Times New Roman" w:ascii="Times New Roman"/>
          <w:b/>
          <w:sz w:val="28"/>
          <w:szCs w:val="28"/>
        </w:rPr>
        <w:t>ž</w:t>
      </w:r>
      <w:r w:rsidRPr="004000A6">
        <w:rPr>
          <w:rFonts w:hAnsi="Times New Roman" w:ascii="Times New Roman"/>
          <w:b/>
          <w:sz w:val="28"/>
          <w:szCs w:val="28"/>
          <w:lang w:val="pl-PL"/>
        </w:rPr>
        <w:t>ni</w:t>
      </w:r>
      <w:r w:rsidRPr="004000A6">
        <w:rPr>
          <w:rFonts w:hAnsi="Times New Roman" w:ascii="Times New Roman"/>
          <w:b/>
          <w:sz w:val="28"/>
          <w:szCs w:val="28"/>
        </w:rPr>
        <w:t xml:space="preserve"> </w:t>
      </w:r>
      <w:r w:rsidRPr="004000A6">
        <w:rPr>
          <w:rFonts w:hAnsi="Times New Roman" w:ascii="Times New Roman"/>
          <w:b/>
          <w:sz w:val="28"/>
          <w:szCs w:val="28"/>
          <w:lang w:val="pl-PL"/>
        </w:rPr>
        <w:t>trgova</w:t>
      </w:r>
      <w:r w:rsidRPr="004000A6">
        <w:rPr>
          <w:rFonts w:hAnsi="Times New Roman" w:ascii="Times New Roman"/>
          <w:b/>
          <w:sz w:val="28"/>
          <w:szCs w:val="28"/>
        </w:rPr>
        <w:t>č</w:t>
      </w:r>
      <w:r w:rsidRPr="004000A6">
        <w:rPr>
          <w:rFonts w:hAnsi="Times New Roman" w:ascii="Times New Roman"/>
          <w:b/>
          <w:sz w:val="28"/>
          <w:szCs w:val="28"/>
          <w:lang w:val="pl-PL"/>
        </w:rPr>
        <w:t>ki</w:t>
      </w:r>
      <w:r w:rsidRPr="004000A6">
        <w:rPr>
          <w:rFonts w:hAnsi="Times New Roman" w:ascii="Times New Roman"/>
          <w:b/>
          <w:sz w:val="28"/>
          <w:szCs w:val="28"/>
        </w:rPr>
        <w:t xml:space="preserve"> </w:t>
      </w:r>
      <w:r w:rsidRPr="004000A6">
        <w:rPr>
          <w:rFonts w:hAnsi="Times New Roman" w:ascii="Times New Roman"/>
          <w:b/>
          <w:sz w:val="28"/>
          <w:szCs w:val="28"/>
          <w:lang w:val="pl-PL"/>
        </w:rPr>
        <w:t>sud</w:t>
      </w:r>
      <w:r w:rsidRPr="00423A82">
        <w:rPr>
          <w:rFonts w:hAnsi="Times New Roman" w:ascii="Times New Roman"/>
          <w:b/>
          <w:sz w:val="24"/>
          <w:szCs w:val="24"/>
          <w:lang w:val="pl-PL"/>
        </w:rPr>
        <w:t>:</w:t>
      </w:r>
      <w:r>
        <w:rPr>
          <w:rFonts w:hAnsi="Times New Roman" w:ascii="Times New Roman"/>
          <w:sz w:val="24"/>
          <w:szCs w:val="24"/>
          <w:lang w:val="pl-PL"/>
        </w:rPr>
        <w:t xml:space="preserve">   Trgovački sud Varaždin</w:t>
      </w:r>
    </w:p>
    <w:p w:rsidRDefault="00966EFD" w:rsidP="00966EFD" w:rsidR="00966EFD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4000A6">
        <w:rPr>
          <w:rFonts w:hAnsi="Times New Roman" w:ascii="Times New Roman"/>
          <w:b/>
          <w:sz w:val="28"/>
          <w:szCs w:val="28"/>
          <w:lang w:val="pl-PL"/>
        </w:rPr>
        <w:t>Poslovni broj spisa</w:t>
      </w:r>
      <w:r>
        <w:rPr>
          <w:rFonts w:hAnsi="Times New Roman" w:ascii="Times New Roman"/>
          <w:sz w:val="24"/>
          <w:szCs w:val="24"/>
          <w:lang w:val="pl-PL"/>
        </w:rPr>
        <w:t>:            4 St-184/17</w:t>
      </w:r>
    </w:p>
    <w:p w:rsidRDefault="00966EFD" w:rsidP="00966EFD" w:rsidR="00966EFD">
      <w:pPr>
        <w:rPr>
          <w:rFonts w:hAnsi="Times New Roman" w:ascii="Times New Roman"/>
          <w:sz w:val="24"/>
          <w:szCs w:val="24"/>
          <w:lang w:val="pl-PL"/>
        </w:rPr>
      </w:pPr>
      <w:r w:rsidRPr="004000A6">
        <w:rPr>
          <w:rFonts w:hAnsi="Times New Roman" w:ascii="Times New Roman"/>
          <w:b/>
          <w:sz w:val="28"/>
          <w:szCs w:val="28"/>
          <w:lang w:val="pl-PL"/>
        </w:rPr>
        <w:t>Dužnik</w:t>
      </w:r>
      <w:r w:rsidRPr="004000A6">
        <w:rPr>
          <w:rFonts w:hAnsi="Times New Roman" w:ascii="Times New Roman"/>
          <w:sz w:val="28"/>
          <w:szCs w:val="28"/>
          <w:lang w:val="pl-PL"/>
        </w:rPr>
        <w:t>:</w:t>
      </w:r>
      <w:r>
        <w:rPr>
          <w:rFonts w:hAnsi="Times New Roman" w:ascii="Times New Roman"/>
          <w:sz w:val="28"/>
          <w:szCs w:val="28"/>
          <w:lang w:val="pl-PL"/>
        </w:rPr>
        <w:t xml:space="preserve">                           </w:t>
      </w:r>
      <w:r w:rsidRPr="004000A6">
        <w:rPr>
          <w:rFonts w:hAnsi="Times New Roman" w:ascii="Times New Roman"/>
          <w:sz w:val="28"/>
          <w:szCs w:val="28"/>
          <w:lang w:val="pl-PL"/>
        </w:rPr>
        <w:t xml:space="preserve"> </w:t>
      </w:r>
      <w:r>
        <w:rPr>
          <w:rFonts w:hAnsi="Times New Roman" w:ascii="Times New Roman"/>
          <w:sz w:val="28"/>
          <w:szCs w:val="28"/>
          <w:lang w:val="pl-PL"/>
        </w:rPr>
        <w:t xml:space="preserve">  </w:t>
      </w:r>
      <w:r>
        <w:rPr>
          <w:rFonts w:hAnsi="Times New Roman" w:ascii="Times New Roman"/>
          <w:sz w:val="24"/>
          <w:szCs w:val="24"/>
          <w:lang w:val="pl-PL"/>
        </w:rPr>
        <w:t>GESTUM d.o.o. u stečaju</w:t>
      </w:r>
    </w:p>
    <w:p w:rsidRDefault="00966EFD" w:rsidP="00966EFD" w:rsidR="00966EFD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                                               OIB 36453900685</w:t>
      </w:r>
    </w:p>
    <w:p w:rsidRDefault="00966EFD" w:rsidP="00966EFD" w:rsidR="00966EFD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                                               Mali plac 1/a, Varaždin</w:t>
      </w:r>
    </w:p>
    <w:p w:rsidRDefault="00966EFD" w:rsidP="00966EFD" w:rsidR="00966EFD">
      <w:pPr>
        <w:rPr>
          <w:rFonts w:hAnsi="Times New Roman" w:ascii="Times New Roman"/>
          <w:sz w:val="24"/>
          <w:szCs w:val="24"/>
          <w:lang w:val="pl-PL"/>
        </w:rPr>
      </w:pPr>
    </w:p>
    <w:p w:rsidRDefault="00966EFD" w:rsidP="00966EFD" w:rsidR="00966EFD" w:rsidRPr="00655B39">
      <w:pPr>
        <w:jc w:val="center"/>
        <w:rPr>
          <w:rFonts w:hAnsi="Times New Roman" w:ascii="Times New Roman"/>
          <w:b/>
          <w:sz w:val="24"/>
        </w:rPr>
      </w:pPr>
    </w:p>
    <w:p w:rsidRDefault="00966EFD" w:rsidP="00966EFD" w:rsidR="00966EFD">
      <w:pPr>
        <w:spacing w:lineRule="auto" w:line="360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327E3D">
        <w:rPr>
          <w:rFonts w:hAnsi="Times New Roman" w:ascii="Times New Roman"/>
          <w:b/>
          <w:sz w:val="24"/>
          <w:szCs w:val="24"/>
          <w:lang w:val="pl-PL"/>
        </w:rPr>
        <w:t xml:space="preserve">I.  </w:t>
      </w:r>
      <w:r w:rsidRPr="00327E3D">
        <w:rPr>
          <w:rFonts w:hAnsi="Times New Roman" w:ascii="Times New Roman"/>
          <w:b/>
          <w:sz w:val="24"/>
          <w:szCs w:val="24"/>
          <w:u w:val="single"/>
          <w:lang w:val="pl-PL"/>
        </w:rPr>
        <w:t>T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>IJEK STEČAJNOG POSTUPKA U RAZDOBLJU OD</w:t>
      </w:r>
      <w:r w:rsidRPr="00327E3D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07. srpnja 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2017. </w:t>
      </w:r>
      <w:r w:rsidRPr="00327E3D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do 07. 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>travnja</w:t>
      </w:r>
      <w:r w:rsidRPr="00327E3D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201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>8</w:t>
      </w:r>
      <w:r w:rsidRPr="00327E3D">
        <w:rPr>
          <w:rFonts w:hAnsi="Times New Roman" w:ascii="Times New Roman"/>
          <w:b/>
          <w:sz w:val="24"/>
          <w:szCs w:val="24"/>
          <w:u w:val="single"/>
          <w:lang w:val="pl-PL"/>
        </w:rPr>
        <w:t>. godine</w:t>
      </w:r>
    </w:p>
    <w:p w:rsidRDefault="00966EFD" w:rsidP="00966EFD" w:rsidR="00966EFD">
      <w:pPr>
        <w:spacing w:lineRule="auto" w:line="360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966EFD" w:rsidP="00966EFD" w:rsidR="00966EFD">
      <w:pPr>
        <w:shd w:themeFill="background1" w:fill="FFFFFF" w:color="auto" w:val="clear"/>
        <w:overflowPunct w:val="false"/>
        <w:autoSpaceDE w:val="false"/>
        <w:autoSpaceDN w:val="false"/>
        <w:adjustRightInd w:val="false"/>
        <w:spacing w:lineRule="auto" w:line="360" w:after="0"/>
        <w:jc w:val="both"/>
        <w:textAlignment w:val="baseline"/>
        <w:rPr>
          <w:rFonts w:cs="Arial" w:eastAsia="Times New Roman" w:hAnsi="Arial" w:ascii="Arial"/>
          <w:lang w:eastAsia="hr-HR" w:val="pl-PL"/>
        </w:rPr>
      </w:pPr>
      <w:r w:rsidRPr="009F430A">
        <w:rPr>
          <w:rFonts w:cs="Arial" w:eastAsia="Times New Roman" w:hAnsi="Arial" w:ascii="Arial"/>
          <w:lang w:eastAsia="hr-HR"/>
        </w:rPr>
        <w:t xml:space="preserve">Rješenjem Trgovačkog suda u Varaždinu, od 10. travnja 2017. godine, broj </w:t>
      </w:r>
      <w:r w:rsidRPr="009F430A">
        <w:rPr>
          <w:rFonts w:cs="Arial" w:eastAsia="Times New Roman" w:hAnsi="Arial" w:ascii="Arial"/>
          <w:lang w:eastAsia="hr-HR" w:val="pl-PL"/>
        </w:rPr>
        <w:t xml:space="preserve">4 St-184/17-2, </w:t>
      </w:r>
      <w:r w:rsidRPr="009F430A">
        <w:rPr>
          <w:rFonts w:cs="Arial" w:eastAsia="Times New Roman" w:hAnsi="Arial" w:ascii="Arial"/>
          <w:lang w:eastAsia="hr-HR"/>
        </w:rPr>
        <w:t>određen je nastavak stečajnog postupka nad stečajnim dužnikom  GESTUM  d.o.o.</w:t>
      </w:r>
      <w:r w:rsidRPr="009F430A">
        <w:rPr>
          <w:rFonts w:cs="Arial" w:eastAsia="Times New Roman" w:hAnsi="Arial" w:ascii="Arial"/>
          <w:lang w:eastAsia="hr-HR" w:val="pl-PL"/>
        </w:rPr>
        <w:t xml:space="preserve">, Varaždin, Mali plac 1/a, OIB: 36453900685, te </w:t>
      </w:r>
      <w:r>
        <w:rPr>
          <w:rFonts w:cs="Arial" w:eastAsia="Times New Roman" w:hAnsi="Arial" w:ascii="Arial"/>
          <w:lang w:eastAsia="hr-HR" w:val="pl-PL"/>
        </w:rPr>
        <w:t>sam</w:t>
      </w:r>
      <w:r w:rsidRPr="009F430A">
        <w:rPr>
          <w:rFonts w:cs="Arial" w:eastAsia="Times New Roman" w:hAnsi="Arial" w:ascii="Arial"/>
          <w:lang w:eastAsia="hr-HR" w:val="pl-PL"/>
        </w:rPr>
        <w:t xml:space="preserve"> istim rješenjem </w:t>
      </w:r>
      <w:r>
        <w:rPr>
          <w:rFonts w:cs="Arial" w:eastAsia="Times New Roman" w:hAnsi="Arial" w:ascii="Arial"/>
          <w:lang w:eastAsia="hr-HR" w:val="pl-PL"/>
        </w:rPr>
        <w:t xml:space="preserve">imenovana </w:t>
      </w:r>
      <w:r w:rsidRPr="009F430A">
        <w:rPr>
          <w:rFonts w:cs="Arial" w:eastAsia="Times New Roman" w:hAnsi="Arial" w:ascii="Arial"/>
          <w:lang w:eastAsia="hr-HR" w:val="pl-PL"/>
        </w:rPr>
        <w:t>za stečajnog upravitelja</w:t>
      </w:r>
      <w:r>
        <w:rPr>
          <w:rFonts w:cs="Arial" w:eastAsia="Times New Roman" w:hAnsi="Arial" w:ascii="Arial"/>
          <w:lang w:eastAsia="hr-HR" w:val="pl-PL"/>
        </w:rPr>
        <w:t>.</w:t>
      </w:r>
    </w:p>
    <w:p w:rsidRDefault="00966EFD" w:rsidP="00966EFD" w:rsidR="00966EFD">
      <w:pPr>
        <w:shd w:themeFill="background1" w:fill="FFFFFF" w:color="auto" w:val="clear"/>
        <w:overflowPunct w:val="false"/>
        <w:autoSpaceDE w:val="false"/>
        <w:autoSpaceDN w:val="false"/>
        <w:adjustRightInd w:val="false"/>
        <w:spacing w:lineRule="auto" w:line="360" w:after="0"/>
        <w:jc w:val="both"/>
        <w:textAlignment w:val="baseline"/>
        <w:rPr>
          <w:rFonts w:cs="Arial" w:eastAsia="Times New Roman" w:hAnsi="Arial" w:ascii="Arial"/>
          <w:lang w:eastAsia="hr-HR" w:val="pl-PL"/>
        </w:rPr>
      </w:pPr>
    </w:p>
    <w:p w:rsidRDefault="00966EFD" w:rsidP="00966EFD" w:rsidR="00966EFD">
      <w:pPr>
        <w:overflowPunct w:val="false"/>
        <w:autoSpaceDE w:val="false"/>
        <w:autoSpaceDN w:val="false"/>
        <w:adjustRightInd w:val="false"/>
        <w:spacing w:lineRule="auto" w:line="360" w:after="0"/>
        <w:ind w:right="397"/>
        <w:jc w:val="both"/>
        <w:textAlignment w:val="baseline"/>
        <w:rPr>
          <w:rFonts w:cs="Arial" w:eastAsia="Times New Roman" w:hAnsi="Arial" w:ascii="Arial"/>
          <w:color w:val="000000"/>
          <w:lang w:eastAsia="hr-HR" w:val="pl-PL"/>
        </w:rPr>
      </w:pPr>
      <w:r>
        <w:rPr>
          <w:rFonts w:cs="Arial" w:eastAsia="Times New Roman" w:hAnsi="Arial" w:ascii="Arial"/>
          <w:color w:val="000000"/>
          <w:lang w:eastAsia="hr-HR" w:val="pl-PL"/>
        </w:rPr>
        <w:t>Stečajni dužnik je više godina neaktivan</w:t>
      </w:r>
      <w:r w:rsidRPr="00F85B98">
        <w:rPr>
          <w:rFonts w:cs="Arial" w:eastAsia="Times New Roman" w:hAnsi="Arial" w:ascii="Arial"/>
          <w:color w:val="000000"/>
          <w:lang w:eastAsia="hr-HR" w:val="pl-PL"/>
        </w:rPr>
        <w:t>, nije uredno vodio poslovne knjige</w:t>
      </w:r>
      <w:r>
        <w:rPr>
          <w:rFonts w:cs="Arial" w:eastAsia="Times New Roman" w:hAnsi="Arial" w:ascii="Arial"/>
          <w:color w:val="000000"/>
          <w:lang w:eastAsia="hr-HR" w:val="pl-PL"/>
        </w:rPr>
        <w:t>,</w:t>
      </w:r>
      <w:r w:rsidRPr="00F85B98">
        <w:rPr>
          <w:rFonts w:cs="Arial" w:eastAsia="Times New Roman" w:hAnsi="Arial" w:ascii="Arial"/>
          <w:color w:val="000000"/>
          <w:lang w:eastAsia="hr-HR" w:val="pl-PL"/>
        </w:rPr>
        <w:t xml:space="preserve"> ne posluje i </w:t>
      </w:r>
      <w:r>
        <w:rPr>
          <w:rFonts w:cs="Arial" w:eastAsia="Times New Roman" w:hAnsi="Arial" w:ascii="Arial"/>
          <w:color w:val="000000"/>
          <w:lang w:eastAsia="hr-HR" w:val="pl-PL"/>
        </w:rPr>
        <w:t xml:space="preserve"> </w:t>
      </w:r>
      <w:r w:rsidRPr="00F85B98">
        <w:rPr>
          <w:rFonts w:cs="Arial" w:eastAsia="Times New Roman" w:hAnsi="Arial" w:ascii="Arial"/>
          <w:color w:val="000000"/>
          <w:lang w:eastAsia="hr-HR" w:val="pl-PL"/>
        </w:rPr>
        <w:t>nema uvjeta za nastavak poslovanja, a prema raspoloživim podacima i informacije od HZMO-a društvo nema zaposlenih radnika.</w:t>
      </w:r>
    </w:p>
    <w:p w:rsidRDefault="00966EFD" w:rsidP="00966EFD" w:rsidR="00966EFD">
      <w:pPr>
        <w:overflowPunct w:val="false"/>
        <w:autoSpaceDE w:val="false"/>
        <w:autoSpaceDN w:val="false"/>
        <w:adjustRightInd w:val="false"/>
        <w:spacing w:lineRule="auto" w:line="360" w:after="0"/>
        <w:ind w:right="397"/>
        <w:jc w:val="both"/>
        <w:textAlignment w:val="baseline"/>
        <w:rPr>
          <w:rFonts w:cs="Arial" w:eastAsia="Times New Roman" w:hAnsi="Arial" w:ascii="Arial"/>
          <w:color w:val="000000"/>
          <w:lang w:eastAsia="hr-HR" w:val="pl-PL"/>
        </w:rPr>
      </w:pPr>
    </w:p>
    <w:p w:rsidRDefault="00966EFD" w:rsidP="00966EFD" w:rsidR="00966EFD">
      <w:pPr>
        <w:overflowPunct w:val="false"/>
        <w:autoSpaceDE w:val="false"/>
        <w:autoSpaceDN w:val="false"/>
        <w:adjustRightInd w:val="false"/>
        <w:spacing w:lineRule="auto" w:line="360" w:after="0"/>
        <w:ind w:right="397"/>
        <w:jc w:val="both"/>
        <w:textAlignment w:val="baseline"/>
        <w:rPr>
          <w:rFonts w:cs="Arial" w:eastAsia="Times New Roman" w:hAnsi="Arial" w:ascii="Arial"/>
          <w:color w:val="000000"/>
          <w:lang w:eastAsia="hr-HR" w:val="pl-PL"/>
        </w:rPr>
      </w:pPr>
      <w:r>
        <w:rPr>
          <w:rFonts w:cs="Arial" w:eastAsia="Times New Roman" w:hAnsi="Arial" w:ascii="Arial"/>
          <w:color w:val="000000"/>
          <w:lang w:eastAsia="hr-HR" w:val="pl-PL"/>
        </w:rPr>
        <w:t>Od otvaranja stečajnog postupka ostvareni su slijedeći priljevi odnosno odlijevi sa računa dužnika.</w:t>
      </w:r>
    </w:p>
    <w:p w:rsidRDefault="00966EFD" w:rsidP="00966EFD" w:rsidR="00966EFD" w:rsidRPr="006E424A">
      <w:pPr>
        <w:overflowPunct w:val="false"/>
        <w:autoSpaceDE w:val="false"/>
        <w:autoSpaceDN w:val="false"/>
        <w:adjustRightInd w:val="false"/>
        <w:spacing w:lineRule="auto" w:line="360" w:after="0"/>
        <w:ind w:right="397"/>
        <w:jc w:val="both"/>
        <w:textAlignment w:val="baseline"/>
        <w:rPr>
          <w:rFonts w:cs="Arial" w:eastAsia="Times New Roman" w:hAnsi="Arial" w:ascii="Arial"/>
          <w:lang w:eastAsia="hr-HR" w:val="pl-PL"/>
        </w:rPr>
      </w:pPr>
      <w:r w:rsidRPr="006E424A">
        <w:rPr>
          <w:rFonts w:cs="Arial" w:eastAsia="Times New Roman" w:hAnsi="Arial" w:ascii="Arial"/>
          <w:lang w:eastAsia="hr-HR" w:val="pl-PL"/>
        </w:rPr>
        <w:t>- ostvareni priljevi na račun u iznosu od 445,00 kn – pozajmica stečajnog upravitelja</w:t>
      </w:r>
    </w:p>
    <w:p w:rsidRDefault="00966EFD" w:rsidP="00966EFD" w:rsidR="00966EFD" w:rsidRPr="006E424A">
      <w:pPr>
        <w:overflowPunct w:val="false"/>
        <w:autoSpaceDE w:val="false"/>
        <w:autoSpaceDN w:val="false"/>
        <w:adjustRightInd w:val="false"/>
        <w:spacing w:lineRule="auto" w:line="360" w:after="0"/>
        <w:ind w:right="397"/>
        <w:jc w:val="both"/>
        <w:textAlignment w:val="baseline"/>
        <w:rPr>
          <w:rFonts w:cs="Arial" w:eastAsia="Times New Roman" w:hAnsi="Arial" w:ascii="Arial"/>
          <w:lang w:eastAsia="hr-HR" w:val="pl-PL"/>
        </w:rPr>
      </w:pPr>
      <w:r w:rsidRPr="006E424A">
        <w:rPr>
          <w:rFonts w:cs="Arial" w:eastAsia="Times New Roman" w:hAnsi="Arial" w:ascii="Arial"/>
          <w:lang w:eastAsia="hr-HR" w:val="pl-PL"/>
        </w:rPr>
        <w:t>- ostvareni odljevi u iznosu od 442,80 kn – bankarske naknade</w:t>
      </w:r>
    </w:p>
    <w:p w:rsidRDefault="00966EFD" w:rsidP="00966EFD" w:rsidR="00966EFD" w:rsidRPr="006E424A">
      <w:pPr>
        <w:overflowPunct w:val="false"/>
        <w:autoSpaceDE w:val="false"/>
        <w:autoSpaceDN w:val="false"/>
        <w:adjustRightInd w:val="false"/>
        <w:spacing w:lineRule="auto" w:line="360" w:after="0"/>
        <w:ind w:right="397"/>
        <w:jc w:val="both"/>
        <w:textAlignment w:val="baseline"/>
        <w:rPr>
          <w:rFonts w:cs="Arial" w:eastAsia="Times New Roman" w:hAnsi="Arial" w:ascii="Arial"/>
          <w:lang w:eastAsia="hr-HR" w:val="pl-PL"/>
        </w:rPr>
      </w:pPr>
      <w:r w:rsidRPr="006E424A">
        <w:rPr>
          <w:rFonts w:cs="Arial" w:eastAsia="Times New Roman" w:hAnsi="Arial" w:ascii="Arial"/>
          <w:lang w:eastAsia="hr-HR" w:val="pl-PL"/>
        </w:rPr>
        <w:t>- stanje na računu iznosi 2,20 kn.</w:t>
      </w:r>
    </w:p>
    <w:p w:rsidRDefault="00966EFD" w:rsidP="00966EFD" w:rsidR="00966EFD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966EFD" w:rsidP="00966EFD" w:rsidR="00966EFD">
      <w:pPr>
        <w:rPr>
          <w:rFonts w:hAnsi="Times New Roman" w:ascii="Times New Roman"/>
          <w:b/>
          <w:sz w:val="24"/>
          <w:szCs w:val="24"/>
          <w:lang w:val="pl-PL"/>
        </w:rPr>
      </w:pPr>
      <w:r w:rsidRPr="00327E3D">
        <w:rPr>
          <w:rFonts w:hAnsi="Times New Roman" w:ascii="Times New Roman"/>
          <w:b/>
          <w:sz w:val="24"/>
          <w:szCs w:val="24"/>
          <w:lang w:val="pl-PL"/>
        </w:rPr>
        <w:t>II. STANJE STEČAJNE MASE</w:t>
      </w:r>
    </w:p>
    <w:p w:rsidRDefault="00966EFD" w:rsidP="00966EFD" w:rsidR="00966EFD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966EFD" w:rsidP="00966EFD" w:rsidR="00966EFD" w:rsidRPr="007B15C4">
      <w:pPr>
        <w:spacing w:lineRule="auto" w:line="360"/>
        <w:jc w:val="both"/>
        <w:rPr>
          <w:rFonts w:cs="Arial" w:eastAsia="Times New Roman" w:hAnsi="Arial" w:ascii="Arial"/>
          <w:u w:val="single"/>
          <w:lang w:eastAsia="hr-HR" w:val="pl-PL"/>
        </w:rPr>
      </w:pPr>
      <w:r>
        <w:rPr>
          <w:rFonts w:cs="Arial" w:eastAsia="Times New Roman" w:hAnsi="Arial" w:ascii="Arial"/>
          <w:lang w:eastAsia="hr-HR" w:val="pl-PL"/>
        </w:rPr>
        <w:t xml:space="preserve">U ovom stečajnom postupku održano je ispitno-izvještajno ročište, dana 06. srpnja 2017. godine, na kojem je ispitana tražbina stečajnog vjerovnika </w:t>
      </w:r>
      <w:r w:rsidRPr="007B15C4">
        <w:rPr>
          <w:rFonts w:cs="Arial" w:eastAsia="Times New Roman" w:hAnsi="Arial" w:ascii="Arial"/>
          <w:lang w:eastAsia="hr-HR" w:val="pl-PL"/>
        </w:rPr>
        <w:t>Ministarstvo financija, Porezna uprava</w:t>
      </w:r>
      <w:r>
        <w:rPr>
          <w:rFonts w:cs="Arial" w:eastAsia="Times New Roman" w:hAnsi="Arial" w:ascii="Arial"/>
          <w:lang w:eastAsia="hr-HR" w:val="pl-PL"/>
        </w:rPr>
        <w:t>, u ukupnom iznosu 49.865,60 kuna te je razvrstana u isplatne redove.</w:t>
      </w:r>
    </w:p>
    <w:p w:rsidRDefault="00966EFD" w:rsidP="00966EFD" w:rsidR="00966EFD" w:rsidRPr="007B15C4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textAlignment w:val="baseline"/>
        <w:rPr>
          <w:rFonts w:cs="Arial" w:eastAsia="Times New Roman" w:hAnsi="Arial" w:ascii="Arial"/>
          <w:lang w:eastAsia="hr-HR" w:val="en-GB"/>
        </w:rPr>
      </w:pPr>
      <w:r w:rsidRPr="007B15C4">
        <w:rPr>
          <w:rFonts w:cs="Arial" w:eastAsia="Times New Roman" w:hAnsi="Arial" w:ascii="Arial"/>
          <w:lang w:eastAsia="hr-HR" w:val="en-GB"/>
        </w:rPr>
        <w:t xml:space="preserve">I. Višeg isplatnog reda u iznosu od    </w:t>
      </w:r>
      <w:r w:rsidRPr="007B15C4">
        <w:rPr>
          <w:rFonts w:cs="Arial" w:eastAsia="Times New Roman" w:hAnsi="Arial" w:ascii="Arial"/>
          <w:b/>
          <w:lang w:eastAsia="hr-HR" w:val="en-GB"/>
        </w:rPr>
        <w:t xml:space="preserve">14.626,76 </w:t>
      </w:r>
      <w:r w:rsidRPr="007B15C4">
        <w:rPr>
          <w:rFonts w:cs="Arial" w:eastAsia="Times New Roman" w:hAnsi="Arial" w:ascii="Arial"/>
          <w:lang w:eastAsia="hr-HR" w:val="en-GB"/>
        </w:rPr>
        <w:t>kuna.</w:t>
      </w:r>
    </w:p>
    <w:p w:rsidRDefault="00966EFD" w:rsidP="00966EFD" w:rsidR="00966EFD" w:rsidRPr="007B15C4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textAlignment w:val="baseline"/>
        <w:rPr>
          <w:rFonts w:cs="Arial" w:eastAsia="Times New Roman" w:hAnsi="Arial" w:ascii="Arial"/>
          <w:lang w:eastAsia="hr-HR" w:val="pl-PL"/>
        </w:rPr>
      </w:pPr>
      <w:r w:rsidRPr="007B15C4">
        <w:rPr>
          <w:rFonts w:cs="Arial" w:eastAsia="Times New Roman" w:hAnsi="Arial" w:ascii="Arial"/>
          <w:lang w:eastAsia="hr-HR" w:val="en-GB"/>
        </w:rPr>
        <w:lastRenderedPageBreak/>
        <w:t xml:space="preserve">II. Višeg isplatnog reda u iznosu od   </w:t>
      </w:r>
      <w:r w:rsidRPr="007B15C4">
        <w:rPr>
          <w:rFonts w:cs="Arial" w:eastAsia="Times New Roman" w:hAnsi="Arial" w:ascii="Arial"/>
          <w:b/>
          <w:lang w:eastAsia="hr-HR" w:val="en-GB"/>
        </w:rPr>
        <w:t xml:space="preserve">35.238,84 </w:t>
      </w:r>
      <w:r>
        <w:rPr>
          <w:rFonts w:cs="Arial" w:eastAsia="Times New Roman" w:hAnsi="Arial" w:ascii="Arial"/>
          <w:lang w:eastAsia="hr-HR" w:val="en-GB"/>
        </w:rPr>
        <w:t>kuna</w:t>
      </w:r>
      <w:r w:rsidRPr="007B15C4">
        <w:rPr>
          <w:rFonts w:cs="Arial" w:eastAsia="Times New Roman" w:hAnsi="Arial" w:ascii="Arial"/>
          <w:lang w:eastAsia="hr-HR" w:val="pl-PL"/>
        </w:rPr>
        <w:t xml:space="preserve"> </w:t>
      </w:r>
    </w:p>
    <w:p w:rsidRDefault="00966EFD" w:rsidP="00966EFD" w:rsidR="00966EFD" w:rsidRPr="007B15C4">
      <w:pPr>
        <w:overflowPunct w:val="false"/>
        <w:autoSpaceDE w:val="false"/>
        <w:autoSpaceDN w:val="false"/>
        <w:adjustRightInd w:val="false"/>
        <w:spacing w:lineRule="auto" w:line="276" w:after="0"/>
        <w:ind w:left="720"/>
        <w:contextualSpacing/>
        <w:textAlignment w:val="baseline"/>
        <w:rPr>
          <w:rFonts w:cs="Arial" w:eastAsia="Times New Roman" w:hAnsi="Arial" w:ascii="Arial"/>
          <w:lang w:eastAsia="hr-HR" w:val="pl-PL"/>
        </w:rPr>
      </w:pPr>
      <w:r w:rsidRPr="007B15C4">
        <w:rPr>
          <w:rFonts w:cs="Arial" w:eastAsia="Times New Roman" w:hAnsi="Arial" w:ascii="Arial"/>
          <w:lang w:eastAsia="hr-HR" w:val="en-GB"/>
        </w:rPr>
        <w:t xml:space="preserve">                                                  </w:t>
      </w:r>
    </w:p>
    <w:p w:rsidRDefault="00966EFD" w:rsidP="00966EFD" w:rsidR="00966EFD">
      <w:pPr>
        <w:overflowPunct w:val="false"/>
        <w:autoSpaceDE w:val="false"/>
        <w:autoSpaceDN w:val="false"/>
        <w:adjustRightInd w:val="false"/>
        <w:spacing w:lineRule="auto" w:line="276" w:after="0"/>
        <w:ind w:right="397"/>
        <w:jc w:val="both"/>
        <w:textAlignment w:val="baseline"/>
        <w:rPr>
          <w:rFonts w:cs="Arial" w:eastAsia="Times New Roman" w:hAnsi="Arial" w:ascii="Arial"/>
          <w:bCs/>
          <w:lang w:eastAsia="hr-HR" w:val="en-GB"/>
        </w:rPr>
      </w:pPr>
      <w:r w:rsidRPr="00327E3D">
        <w:rPr>
          <w:rFonts w:cs="Arial" w:eastAsia="Times New Roman" w:hAnsi="Arial" w:ascii="Arial"/>
          <w:bCs/>
          <w:lang w:eastAsia="hr-HR" w:val="en-GB"/>
        </w:rPr>
        <w:t xml:space="preserve">Ukupna vrijednost imovine iznosi </w:t>
      </w:r>
      <w:r w:rsidRPr="00327E3D">
        <w:rPr>
          <w:rFonts w:cs="Arial" w:eastAsia="Times New Roman" w:hAnsi="Arial" w:ascii="Arial"/>
          <w:color w:val="000000"/>
          <w:lang w:eastAsia="hr-HR" w:val="en-GB"/>
        </w:rPr>
        <w:t>2.426.584,00</w:t>
      </w:r>
      <w:r w:rsidRPr="00327E3D">
        <w:rPr>
          <w:rFonts w:cs="Arial" w:eastAsia="Times New Roman" w:hAnsi="Arial" w:ascii="Arial"/>
          <w:bCs/>
          <w:lang w:eastAsia="hr-HR" w:val="en-GB"/>
        </w:rPr>
        <w:t xml:space="preserve"> kuna i iskazana je u dugotrajnoj materijalnoj imovini stečajnog dužnika:</w:t>
      </w:r>
    </w:p>
    <w:p w:rsidRDefault="00966EFD" w:rsidP="00966EFD" w:rsidR="00966EFD" w:rsidRPr="00327E3D">
      <w:pPr>
        <w:overflowPunct w:val="false"/>
        <w:autoSpaceDE w:val="false"/>
        <w:autoSpaceDN w:val="false"/>
        <w:adjustRightInd w:val="false"/>
        <w:spacing w:lineRule="auto" w:line="276" w:after="0"/>
        <w:textAlignment w:val="baseline"/>
        <w:rPr>
          <w:rFonts w:cs="Arial" w:eastAsia="Times New Roman" w:hAnsi="Arial" w:ascii="Arial"/>
          <w:b/>
          <w:i/>
          <w:sz w:val="24"/>
          <w:lang w:eastAsia="hr-HR" w:val="en-GB"/>
        </w:rPr>
      </w:pPr>
    </w:p>
    <w:tbl>
      <w:tblPr>
        <w:tblW w:type="dxa" w:w="9840"/>
        <w:tblInd w:type="dxa" w:w="81"/>
        <w:tblLayout w:type="fixed"/>
        <w:tblLook w:val="0000" w:noVBand="0" w:noHBand="0" w:lastColumn="0" w:firstColumn="0" w:lastRow="0" w:firstRow="0"/>
      </w:tblPr>
      <w:tblGrid>
        <w:gridCol w:w="853"/>
        <w:gridCol w:w="4876"/>
        <w:gridCol w:w="4111"/>
      </w:tblGrid>
      <w:tr w:rsidTr="0007369F" w:rsidR="00966EFD" w:rsidRPr="00327E3D">
        <w:trPr>
          <w:trHeight w:val="480"/>
        </w:trPr>
        <w:tc>
          <w:tcPr>
            <w:tcW w:type="dxa" w:w="853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EEECE1" w:color="auto" w:val="clear"/>
            <w:vAlign w:val="bottom"/>
          </w:tcPr>
          <w:p w:rsidRDefault="00966EFD" w:rsidP="0007369F" w:rsidR="00966EFD" w:rsidRPr="00327E3D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textAlignment w:val="baseline"/>
              <w:rPr>
                <w:rFonts w:cs="Arial" w:eastAsia="Times New Roman" w:hAnsi="Arial" w:ascii="Arial"/>
                <w:b/>
                <w:bCs/>
                <w:color w:val="000000"/>
                <w:sz w:val="24"/>
                <w:lang w:eastAsia="hr-HR" w:val="en-GB"/>
              </w:rPr>
            </w:pPr>
            <w:r w:rsidRPr="00327E3D">
              <w:rPr>
                <w:rFonts w:cs="Arial" w:eastAsia="Times New Roman" w:hAnsi="Arial" w:ascii="Arial"/>
                <w:b/>
                <w:bCs/>
                <w:color w:val="000000"/>
                <w:lang w:eastAsia="hr-HR" w:val="en-GB"/>
              </w:rPr>
              <w:t>R.br.</w:t>
            </w:r>
          </w:p>
          <w:p w:rsidRDefault="00966EFD" w:rsidP="0007369F" w:rsidR="00966EFD" w:rsidRPr="00327E3D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textAlignment w:val="baseline"/>
              <w:rPr>
                <w:rFonts w:cs="Arial" w:eastAsia="Times New Roman" w:hAnsi="Arial" w:ascii="Arial"/>
                <w:sz w:val="24"/>
                <w:lang w:eastAsia="hr-HR" w:val="en-GB"/>
              </w:rPr>
            </w:pPr>
          </w:p>
        </w:tc>
        <w:tc>
          <w:tcPr>
            <w:tcW w:type="dxa" w:w="4876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EEECE1" w:color="auto" w:val="clear"/>
            <w:vAlign w:val="bottom"/>
          </w:tcPr>
          <w:p w:rsidRDefault="00966EFD" w:rsidP="0007369F" w:rsidR="00966EFD" w:rsidRPr="00327E3D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textAlignment w:val="baseline"/>
              <w:rPr>
                <w:rFonts w:cs="Arial" w:eastAsia="Times New Roman" w:hAnsi="Arial" w:ascii="Arial"/>
                <w:b/>
                <w:bCs/>
                <w:color w:val="000000"/>
                <w:sz w:val="24"/>
                <w:lang w:eastAsia="hr-HR" w:val="en-GB"/>
              </w:rPr>
            </w:pPr>
            <w:r w:rsidRPr="00327E3D">
              <w:rPr>
                <w:rFonts w:cs="Arial" w:eastAsia="Times New Roman" w:hAnsi="Arial" w:ascii="Arial"/>
                <w:b/>
                <w:bCs/>
                <w:color w:val="000000"/>
                <w:lang w:eastAsia="hr-HR" w:val="en-GB"/>
              </w:rPr>
              <w:t>IMOVINA</w:t>
            </w:r>
          </w:p>
          <w:p w:rsidRDefault="00966EFD" w:rsidP="0007369F" w:rsidR="00966EFD" w:rsidRPr="00327E3D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textAlignment w:val="baseline"/>
              <w:rPr>
                <w:rFonts w:cs="Arial" w:eastAsia="Times New Roman" w:hAnsi="Arial" w:ascii="Arial"/>
                <w:sz w:val="24"/>
                <w:lang w:eastAsia="hr-HR" w:val="en-GB"/>
              </w:rPr>
            </w:pPr>
          </w:p>
        </w:tc>
        <w:tc>
          <w:tcPr>
            <w:tcW w:type="dxa" w:w="4111"/>
            <w:tcBorders>
              <w:top w:space="0" w:sz="1" w:color="000000" w:val="single"/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EEECE1" w:color="auto" w:val="clear"/>
            <w:vAlign w:val="bottom"/>
          </w:tcPr>
          <w:p w:rsidRDefault="00966EFD" w:rsidP="0007369F" w:rsidR="00966EFD" w:rsidRPr="00327E3D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textAlignment w:val="baseline"/>
              <w:rPr>
                <w:rFonts w:cs="Arial" w:eastAsia="Times New Roman" w:hAnsi="Arial" w:ascii="Arial"/>
                <w:b/>
                <w:bCs/>
                <w:color w:val="000000"/>
                <w:sz w:val="24"/>
                <w:lang w:eastAsia="hr-HR" w:val="en-GB"/>
              </w:rPr>
            </w:pPr>
          </w:p>
          <w:p w:rsidRDefault="00966EFD" w:rsidP="0007369F" w:rsidR="00966EFD" w:rsidRPr="00327E3D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textAlignment w:val="baseline"/>
              <w:rPr>
                <w:rFonts w:cs="Arial" w:eastAsia="Times New Roman" w:hAnsi="Arial" w:ascii="Arial"/>
                <w:b/>
                <w:bCs/>
                <w:color w:val="000000"/>
                <w:sz w:val="24"/>
                <w:lang w:eastAsia="hr-HR" w:val="en-GB"/>
              </w:rPr>
            </w:pPr>
            <w:r w:rsidRPr="00327E3D">
              <w:rPr>
                <w:rFonts w:cs="Arial" w:eastAsia="Times New Roman" w:hAnsi="Arial" w:ascii="Arial"/>
                <w:b/>
                <w:bCs/>
                <w:color w:val="000000"/>
                <w:lang w:eastAsia="hr-HR" w:val="en-GB"/>
              </w:rPr>
              <w:t>Vrijednost u kunama prema procjeni sud.vještaka (u kunama)</w:t>
            </w:r>
          </w:p>
          <w:p w:rsidRDefault="00966EFD" w:rsidP="0007369F" w:rsidR="00966EFD" w:rsidRPr="00327E3D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textAlignment w:val="baseline"/>
              <w:rPr>
                <w:rFonts w:cs="Arial" w:eastAsia="Times New Roman" w:hAnsi="Arial" w:ascii="Arial"/>
                <w:sz w:val="24"/>
                <w:lang w:eastAsia="hr-HR" w:val="en-GB"/>
              </w:rPr>
            </w:pPr>
          </w:p>
        </w:tc>
      </w:tr>
      <w:tr w:rsidTr="0007369F" w:rsidR="00966EFD" w:rsidRPr="00327E3D">
        <w:trPr>
          <w:trHeight w:val="1620"/>
        </w:trPr>
        <w:tc>
          <w:tcPr>
            <w:tcW w:type="dxa" w:w="853"/>
            <w:tcBorders>
              <w:top w:space="0" w:sz="4" w:color="auto" w:val="single"/>
              <w:left w:space="0" w:sz="1" w:color="000000" w:val="single"/>
              <w:bottom w:space="0" w:sz="4" w:color="auto" w:val="single"/>
            </w:tcBorders>
            <w:shd w:fill="FFFFFF" w:color="auto" w:val="clear"/>
            <w:vAlign w:val="bottom"/>
          </w:tcPr>
          <w:p w:rsidRDefault="00966EFD" w:rsidP="0007369F" w:rsidR="00966EFD" w:rsidRPr="00327E3D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textAlignment w:val="baseline"/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 w:val="en-GB"/>
              </w:rPr>
            </w:pPr>
            <w:r w:rsidRPr="00327E3D"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 w:val="en-GB"/>
              </w:rPr>
              <w:t>1.</w:t>
            </w:r>
          </w:p>
          <w:p w:rsidRDefault="00966EFD" w:rsidP="0007369F" w:rsidR="00966EFD" w:rsidRPr="00327E3D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textAlignment w:val="baseline"/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 w:val="en-GB"/>
              </w:rPr>
            </w:pPr>
          </w:p>
          <w:p w:rsidRDefault="00966EFD" w:rsidP="0007369F" w:rsidR="00966EFD" w:rsidRPr="00327E3D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textAlignment w:val="baseline"/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 w:val="en-GB"/>
              </w:rPr>
            </w:pPr>
          </w:p>
          <w:p w:rsidRDefault="00966EFD" w:rsidP="0007369F" w:rsidR="00966EFD" w:rsidRPr="00327E3D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textAlignment w:val="baseline"/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 w:val="en-GB"/>
              </w:rPr>
            </w:pPr>
          </w:p>
          <w:p w:rsidRDefault="00966EFD" w:rsidP="0007369F" w:rsidR="00966EFD" w:rsidRPr="00327E3D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textAlignment w:val="baseline"/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 w:val="en-GB"/>
              </w:rPr>
            </w:pPr>
          </w:p>
          <w:p w:rsidRDefault="00966EFD" w:rsidP="0007369F" w:rsidR="00966EFD" w:rsidRPr="00327E3D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textAlignment w:val="baseline"/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 w:val="en-GB"/>
              </w:rPr>
            </w:pPr>
          </w:p>
          <w:p w:rsidRDefault="00966EFD" w:rsidP="0007369F" w:rsidR="00966EFD" w:rsidRPr="00327E3D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textAlignment w:val="baseline"/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 w:val="en-GB"/>
              </w:rPr>
            </w:pPr>
          </w:p>
          <w:p w:rsidRDefault="00966EFD" w:rsidP="0007369F" w:rsidR="00966EFD" w:rsidRPr="00327E3D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textAlignment w:val="baseline"/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 w:val="en-GB"/>
              </w:rPr>
            </w:pPr>
          </w:p>
          <w:p w:rsidRDefault="00966EFD" w:rsidP="0007369F" w:rsidR="00966EFD" w:rsidRPr="00327E3D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textAlignment w:val="baseline"/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 w:val="en-GB"/>
              </w:rPr>
            </w:pPr>
          </w:p>
          <w:p w:rsidRDefault="00966EFD" w:rsidP="0007369F" w:rsidR="00966EFD" w:rsidRPr="00327E3D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textAlignment w:val="baseline"/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 w:val="en-GB"/>
              </w:rPr>
            </w:pPr>
          </w:p>
          <w:p w:rsidRDefault="00966EFD" w:rsidP="0007369F" w:rsidR="00966EFD" w:rsidRPr="00327E3D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textAlignment w:val="baseline"/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 w:val="en-GB"/>
              </w:rPr>
            </w:pPr>
          </w:p>
          <w:p w:rsidRDefault="00966EFD" w:rsidP="0007369F" w:rsidR="00966EFD" w:rsidRPr="00327E3D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textAlignment w:val="baseline"/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 w:val="en-GB"/>
              </w:rPr>
            </w:pPr>
          </w:p>
        </w:tc>
        <w:tc>
          <w:tcPr>
            <w:tcW w:type="dxa" w:w="4876"/>
            <w:tcBorders>
              <w:top w:space="0" w:sz="4" w:color="auto" w:val="single"/>
              <w:left w:space="0" w:sz="1" w:color="000000" w:val="single"/>
              <w:bottom w:space="0" w:sz="4" w:color="auto" w:val="single"/>
            </w:tcBorders>
            <w:shd w:fill="FFFFFF" w:color="auto" w:val="clear"/>
            <w:vAlign w:val="bottom"/>
          </w:tcPr>
          <w:p w:rsidRDefault="00966EFD" w:rsidP="0007369F" w:rsidR="00966EFD" w:rsidRPr="00327E3D">
            <w:pPr>
              <w:spacing w:after="0"/>
              <w:rPr>
                <w:rFonts w:eastAsiaTheme="minorHAnsi" w:cs="Arial" w:hAnsi="Arial" w:ascii="Arial"/>
                <w:u w:val="single"/>
              </w:rPr>
            </w:pPr>
            <w:r w:rsidRPr="00327E3D">
              <w:rPr>
                <w:rFonts w:eastAsiaTheme="minorHAnsi" w:cs="Arial" w:hAnsi="Arial" w:ascii="Arial"/>
                <w:u w:val="single"/>
              </w:rPr>
              <w:t>NEKRETNINE</w:t>
            </w:r>
          </w:p>
          <w:p w:rsidRDefault="00966EFD" w:rsidP="0007369F" w:rsidR="00966EFD" w:rsidRPr="00327E3D">
            <w:pPr>
              <w:spacing w:after="0"/>
              <w:rPr>
                <w:rFonts w:eastAsiaTheme="minorHAnsi" w:cs="Arial" w:hAnsi="Arial" w:ascii="Arial"/>
              </w:rPr>
            </w:pPr>
            <w:r w:rsidRPr="00327E3D">
              <w:rPr>
                <w:rFonts w:eastAsiaTheme="minorHAnsi" w:cs="Arial" w:hAnsi="Arial" w:ascii="Arial"/>
              </w:rPr>
              <w:t>Nekretnina upisana u zk ul.13950, poduložak broj 2, Etažno vlasništvo, k.o. Varaždin (u osnivanju), čestica br.1686, Stambena zgrada Mali plac 1/A od 582 m2.</w:t>
            </w:r>
          </w:p>
          <w:p w:rsidRDefault="00966EFD" w:rsidP="0007369F" w:rsidR="00966EFD" w:rsidRPr="00327E3D">
            <w:pPr>
              <w:overflowPunct w:val="false"/>
              <w:autoSpaceDE w:val="false"/>
              <w:autoSpaceDN w:val="false"/>
              <w:adjustRightInd w:val="false"/>
              <w:spacing w:after="0"/>
              <w:textAlignment w:val="baseline"/>
              <w:rPr>
                <w:rFonts w:cs="Arial" w:eastAsia="Times New Roman" w:hAnsi="Arial" w:ascii="Arial"/>
                <w:sz w:val="24"/>
                <w:lang w:eastAsia="hr-HR" w:val="en-GB"/>
              </w:rPr>
            </w:pPr>
            <w:r w:rsidRPr="00327E3D">
              <w:rPr>
                <w:rFonts w:cs="Arial" w:eastAsia="Times New Roman" w:hAnsi="Arial" w:ascii="Arial"/>
                <w:lang w:eastAsia="hr-HR" w:val="en-GB"/>
              </w:rPr>
              <w:t xml:space="preserve">1.ETAŽA II – koja se sastoji od prostorija u podrumu, prizemlju i katu: radiona I sa 73,20 m2, radiona II sa 18,95 m2, sanitarni čvor sa 3,10 m2, prodajni prostor sa 85,05 m2, prostorija sa 16,10 m2, stubište I sa 2,90 m2, stubište II sa 5,00 m2, čajna kuhinja sa 2,95 m2, kancelarija I sa 12,65 m2, kancelarija II sa 19,90 m2, terasa sa 10,30 m2, hodnik sa 4,90 m2, sanitarni čvor II sa 4,40 m2, kancelarija III sa 21,60 m2 i garderoba sa 10,45 m2, sveukupne površine 291,45 m2. </w:t>
            </w:r>
          </w:p>
          <w:p w:rsidRDefault="00966EFD" w:rsidP="0007369F" w:rsidR="00966EFD" w:rsidRPr="00327E3D">
            <w:pPr>
              <w:spacing w:lineRule="auto" w:line="276" w:after="0"/>
              <w:rPr>
                <w:rFonts w:eastAsiaTheme="minorHAnsi" w:cs="Arial" w:hAnsi="Arial" w:ascii="Arial"/>
                <w:sz w:val="24"/>
                <w:szCs w:val="24"/>
              </w:rPr>
            </w:pPr>
          </w:p>
        </w:tc>
        <w:tc>
          <w:tcPr>
            <w:tcW w:type="dxa" w:w="4111"/>
            <w:tcBorders>
              <w:top w:space="0" w:sz="4" w:color="auto" w:val="single"/>
              <w:left w:space="0" w:sz="1" w:color="000000" w:val="single"/>
              <w:bottom w:space="0" w:sz="4" w:color="auto" w:val="single"/>
              <w:right w:space="0" w:sz="1" w:color="000000" w:val="single"/>
            </w:tcBorders>
            <w:shd w:fill="FFFFFF" w:color="auto" w:val="clear"/>
            <w:vAlign w:val="bottom"/>
          </w:tcPr>
          <w:p w:rsidRDefault="00966EFD" w:rsidP="0007369F" w:rsidR="00966EFD" w:rsidRPr="00327E3D">
            <w:pPr>
              <w:overflowPunct w:val="false"/>
              <w:autoSpaceDE w:val="false"/>
              <w:autoSpaceDN w:val="false"/>
              <w:adjustRightInd w:val="false"/>
              <w:snapToGrid w:val="false"/>
              <w:spacing w:lineRule="auto" w:line="276" w:after="0"/>
              <w:jc w:val="center"/>
              <w:textAlignment w:val="baseline"/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</w:pPr>
            <w:r w:rsidRPr="00327E3D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2.426.584,00</w:t>
            </w:r>
          </w:p>
          <w:p w:rsidRDefault="00966EFD" w:rsidP="0007369F" w:rsidR="00966EFD" w:rsidRPr="00327E3D">
            <w:pPr>
              <w:overflowPunct w:val="false"/>
              <w:autoSpaceDE w:val="false"/>
              <w:autoSpaceDN w:val="false"/>
              <w:adjustRightInd w:val="false"/>
              <w:snapToGrid w:val="false"/>
              <w:spacing w:lineRule="auto" w:line="276" w:after="0"/>
              <w:jc w:val="center"/>
              <w:textAlignment w:val="baseline"/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</w:pPr>
          </w:p>
          <w:p w:rsidRDefault="00966EFD" w:rsidP="0007369F" w:rsidR="00966EFD" w:rsidRPr="00327E3D">
            <w:pPr>
              <w:overflowPunct w:val="false"/>
              <w:autoSpaceDE w:val="false"/>
              <w:autoSpaceDN w:val="false"/>
              <w:adjustRightInd w:val="false"/>
              <w:snapToGrid w:val="false"/>
              <w:spacing w:lineRule="auto" w:line="276" w:after="0"/>
              <w:jc w:val="center"/>
              <w:textAlignment w:val="baseline"/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</w:pPr>
          </w:p>
        </w:tc>
      </w:tr>
      <w:tr w:rsidTr="0007369F" w:rsidR="00966EFD" w:rsidRPr="00327E3D">
        <w:trPr>
          <w:trHeight w:val="495"/>
        </w:trPr>
        <w:tc>
          <w:tcPr>
            <w:tcW w:type="dxa" w:w="853"/>
            <w:tcBorders>
              <w:top w:space="0" w:sz="4" w:color="auto" w:val="single"/>
              <w:left w:space="0" w:sz="1" w:color="000000" w:val="single"/>
              <w:bottom w:space="0" w:sz="4" w:color="auto" w:val="single"/>
            </w:tcBorders>
            <w:shd w:fill="F2F2F2" w:color="auto" w:val="clear"/>
            <w:vAlign w:val="bottom"/>
          </w:tcPr>
          <w:p w:rsidRDefault="00966EFD" w:rsidP="0007369F" w:rsidR="00966EFD" w:rsidRPr="00327E3D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textAlignment w:val="baseline"/>
              <w:rPr>
                <w:rFonts w:cs="Arial" w:eastAsia="Times New Roman" w:hAnsi="Arial" w:ascii="Arial"/>
                <w:b/>
                <w:color w:val="000000"/>
                <w:sz w:val="24"/>
                <w:szCs w:val="24"/>
                <w:lang w:eastAsia="hr-HR" w:val="en-GB"/>
              </w:rPr>
            </w:pPr>
          </w:p>
        </w:tc>
        <w:tc>
          <w:tcPr>
            <w:tcW w:type="dxa" w:w="4876"/>
            <w:tcBorders>
              <w:top w:space="0" w:sz="4" w:color="auto" w:val="single"/>
              <w:left w:space="0" w:sz="1" w:color="000000" w:val="single"/>
              <w:bottom w:space="0" w:sz="4" w:color="auto" w:val="single"/>
            </w:tcBorders>
            <w:shd w:fill="F2F2F2" w:color="auto" w:val="clear"/>
            <w:vAlign w:val="bottom"/>
          </w:tcPr>
          <w:p w:rsidRDefault="00966EFD" w:rsidP="0007369F" w:rsidR="00966EFD" w:rsidRPr="00327E3D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textAlignment w:val="baseline"/>
              <w:rPr>
                <w:rFonts w:cs="Arial" w:eastAsia="Times New Roman" w:hAnsi="Arial" w:ascii="Arial"/>
                <w:b/>
                <w:color w:val="000000"/>
                <w:sz w:val="24"/>
                <w:szCs w:val="24"/>
                <w:lang w:eastAsia="hr-HR" w:val="en-GB"/>
              </w:rPr>
            </w:pPr>
          </w:p>
          <w:p w:rsidRDefault="00966EFD" w:rsidP="0007369F" w:rsidR="00966EFD" w:rsidRPr="00327E3D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textAlignment w:val="baseline"/>
              <w:rPr>
                <w:rFonts w:cs="Arial" w:eastAsia="Times New Roman" w:hAnsi="Arial" w:ascii="Arial"/>
                <w:b/>
                <w:color w:val="000000"/>
                <w:sz w:val="24"/>
                <w:szCs w:val="24"/>
                <w:lang w:eastAsia="hr-HR" w:val="en-GB"/>
              </w:rPr>
            </w:pPr>
            <w:r w:rsidRPr="00327E3D">
              <w:rPr>
                <w:rFonts w:cs="Arial" w:eastAsia="Times New Roman" w:hAnsi="Arial" w:ascii="Arial"/>
                <w:b/>
                <w:color w:val="000000"/>
                <w:sz w:val="24"/>
                <w:szCs w:val="24"/>
                <w:lang w:eastAsia="hr-HR" w:val="en-GB"/>
              </w:rPr>
              <w:t>UKUPNO</w:t>
            </w:r>
          </w:p>
          <w:p w:rsidRDefault="00966EFD" w:rsidP="0007369F" w:rsidR="00966EFD" w:rsidRPr="00327E3D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textAlignment w:val="baseline"/>
              <w:rPr>
                <w:rFonts w:cs="Arial" w:eastAsia="Times New Roman" w:hAnsi="Arial" w:ascii="Arial"/>
                <w:b/>
                <w:color w:val="000000"/>
                <w:sz w:val="24"/>
                <w:szCs w:val="24"/>
                <w:lang w:eastAsia="hr-HR" w:val="en-GB"/>
              </w:rPr>
            </w:pPr>
          </w:p>
        </w:tc>
        <w:tc>
          <w:tcPr>
            <w:tcW w:type="dxa" w:w="4111"/>
            <w:tcBorders>
              <w:top w:space="0" w:sz="4" w:color="auto" w:val="single"/>
              <w:left w:space="0" w:sz="1" w:color="000000" w:val="single"/>
              <w:bottom w:space="0" w:sz="4" w:color="auto" w:val="single"/>
              <w:right w:space="0" w:sz="1" w:color="000000" w:val="single"/>
            </w:tcBorders>
            <w:shd w:fill="F2F2F2" w:color="auto" w:val="clear"/>
            <w:vAlign w:val="bottom"/>
          </w:tcPr>
          <w:p w:rsidRDefault="00966EFD" w:rsidP="0007369F" w:rsidR="00966EFD" w:rsidRPr="00327E3D">
            <w:pPr>
              <w:overflowPunct w:val="false"/>
              <w:autoSpaceDE w:val="false"/>
              <w:autoSpaceDN w:val="false"/>
              <w:adjustRightInd w:val="false"/>
              <w:snapToGrid w:val="false"/>
              <w:spacing w:lineRule="auto" w:line="276" w:after="0"/>
              <w:jc w:val="center"/>
              <w:textAlignment w:val="baseline"/>
              <w:rPr>
                <w:rFonts w:cs="Arial" w:eastAsia="Times New Roman" w:hAnsi="Arial" w:ascii="Arial"/>
                <w:b/>
                <w:sz w:val="24"/>
                <w:szCs w:val="24"/>
                <w:lang w:eastAsia="hr-HR" w:val="en-GB"/>
              </w:rPr>
            </w:pPr>
            <w:r w:rsidRPr="00327E3D">
              <w:rPr>
                <w:rFonts w:cs="Arial" w:eastAsia="Times New Roman" w:hAnsi="Arial" w:ascii="Arial"/>
                <w:b/>
                <w:sz w:val="24"/>
                <w:szCs w:val="24"/>
                <w:lang w:eastAsia="hr-HR" w:val="en-GB"/>
              </w:rPr>
              <w:t>2.426.584,00</w:t>
            </w:r>
          </w:p>
          <w:p w:rsidRDefault="00966EFD" w:rsidP="0007369F" w:rsidR="00966EFD" w:rsidRPr="00327E3D">
            <w:pPr>
              <w:overflowPunct w:val="false"/>
              <w:autoSpaceDE w:val="false"/>
              <w:autoSpaceDN w:val="false"/>
              <w:adjustRightInd w:val="false"/>
              <w:snapToGrid w:val="false"/>
              <w:spacing w:lineRule="auto" w:line="276" w:after="0"/>
              <w:jc w:val="center"/>
              <w:textAlignment w:val="baseline"/>
              <w:rPr>
                <w:rFonts w:cs="Arial" w:eastAsia="Times New Roman" w:hAnsi="Arial" w:ascii="Arial"/>
                <w:b/>
                <w:color w:val="000000"/>
                <w:sz w:val="24"/>
                <w:szCs w:val="24"/>
                <w:lang w:eastAsia="hr-HR" w:val="en-GB"/>
              </w:rPr>
            </w:pPr>
          </w:p>
        </w:tc>
      </w:tr>
    </w:tbl>
    <w:p w:rsidRDefault="00966EFD" w:rsidP="00966EFD" w:rsidR="00966EFD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966EFD" w:rsidP="00966EFD" w:rsidR="00966EFD">
      <w:pPr>
        <w:pStyle w:val="Bezproreda"/>
        <w:spacing w:lineRule="auto" w:line="360"/>
        <w:jc w:val="both"/>
        <w:rPr>
          <w:rFonts w:cs="Arial" w:hAnsi="Arial" w:ascii="Arial"/>
        </w:rPr>
      </w:pPr>
      <w:r>
        <w:rPr>
          <w:rFonts w:cs="Arial" w:hAnsi="Arial" w:ascii="Arial"/>
        </w:rPr>
        <w:t>T</w:t>
      </w:r>
      <w:r w:rsidRPr="0076506D">
        <w:rPr>
          <w:rFonts w:cs="Arial" w:hAnsi="Arial" w:ascii="Arial"/>
        </w:rPr>
        <w:t>emelj</w:t>
      </w:r>
      <w:r>
        <w:rPr>
          <w:rFonts w:cs="Arial" w:hAnsi="Arial" w:ascii="Arial"/>
        </w:rPr>
        <w:t>e</w:t>
      </w:r>
      <w:r w:rsidRPr="0076506D">
        <w:rPr>
          <w:rFonts w:cs="Arial" w:hAnsi="Arial" w:ascii="Arial"/>
        </w:rPr>
        <w:t>m Ugovora o zajmu od 17.12.2008.</w:t>
      </w:r>
      <w:r>
        <w:rPr>
          <w:rFonts w:cs="Arial" w:hAnsi="Arial" w:ascii="Arial"/>
        </w:rPr>
        <w:t xml:space="preserve"> </w:t>
      </w:r>
      <w:r w:rsidRPr="0076506D">
        <w:rPr>
          <w:rFonts w:cs="Arial" w:hAnsi="Arial" w:ascii="Arial"/>
        </w:rPr>
        <w:t>g</w:t>
      </w:r>
      <w:r>
        <w:rPr>
          <w:rFonts w:cs="Arial" w:hAnsi="Arial" w:ascii="Arial"/>
        </w:rPr>
        <w:t>odine</w:t>
      </w:r>
      <w:r w:rsidRPr="0076506D">
        <w:rPr>
          <w:rFonts w:cs="Arial" w:hAnsi="Arial" w:ascii="Arial"/>
        </w:rPr>
        <w:t>, uknjiženo je</w:t>
      </w:r>
      <w:r>
        <w:rPr>
          <w:rFonts w:cs="Arial" w:hAnsi="Arial" w:ascii="Arial"/>
        </w:rPr>
        <w:t>,</w:t>
      </w:r>
      <w:r w:rsidRPr="0076506D">
        <w:rPr>
          <w:rFonts w:cs="Arial" w:hAnsi="Arial" w:ascii="Arial"/>
        </w:rPr>
        <w:t xml:space="preserve"> </w:t>
      </w:r>
      <w:r>
        <w:rPr>
          <w:rFonts w:cs="Arial" w:hAnsi="Arial" w:ascii="Arial"/>
        </w:rPr>
        <w:t xml:space="preserve">na gore navedenoj nekretnini, </w:t>
      </w:r>
      <w:r w:rsidRPr="0076506D">
        <w:rPr>
          <w:rFonts w:cs="Arial" w:hAnsi="Arial" w:ascii="Arial"/>
        </w:rPr>
        <w:t xml:space="preserve">pravo zaloga za iznos od  </w:t>
      </w:r>
      <w:r>
        <w:rPr>
          <w:rFonts w:cs="Arial" w:hAnsi="Arial" w:ascii="Arial"/>
        </w:rPr>
        <w:t xml:space="preserve">6.300.000,00 kuna, s </w:t>
      </w:r>
      <w:r w:rsidRPr="0076506D">
        <w:rPr>
          <w:rFonts w:cs="Arial" w:hAnsi="Arial" w:ascii="Arial"/>
        </w:rPr>
        <w:t>kamatama i svim sporednim potraživanjima</w:t>
      </w:r>
      <w:r>
        <w:rPr>
          <w:rFonts w:cs="Arial" w:hAnsi="Arial" w:ascii="Arial"/>
        </w:rPr>
        <w:t>,</w:t>
      </w:r>
      <w:r w:rsidRPr="0076506D">
        <w:rPr>
          <w:rFonts w:cs="Arial" w:hAnsi="Arial" w:ascii="Arial"/>
        </w:rPr>
        <w:t xml:space="preserve"> sukladno Ugovoru, na </w:t>
      </w:r>
      <w:r>
        <w:rPr>
          <w:rFonts w:cs="Arial" w:hAnsi="Arial" w:ascii="Arial"/>
        </w:rPr>
        <w:t xml:space="preserve">nekretninama etaže II. u A, </w:t>
      </w:r>
      <w:r w:rsidRPr="0076506D">
        <w:rPr>
          <w:rFonts w:cs="Arial" w:hAnsi="Arial" w:ascii="Arial"/>
        </w:rPr>
        <w:t>Rješenjem Općinskog sud</w:t>
      </w:r>
      <w:r>
        <w:rPr>
          <w:rFonts w:cs="Arial" w:hAnsi="Arial" w:ascii="Arial"/>
        </w:rPr>
        <w:t xml:space="preserve">a u Varaždinu od </w:t>
      </w:r>
    </w:p>
    <w:p w:rsidRDefault="00966EFD" w:rsidP="00966EFD" w:rsidR="00966EFD">
      <w:pPr>
        <w:pStyle w:val="Bezproreda"/>
        <w:spacing w:lineRule="auto" w:line="360"/>
        <w:jc w:val="both"/>
        <w:rPr>
          <w:rFonts w:cs="Arial" w:hAnsi="Arial" w:ascii="Arial"/>
          <w:b/>
        </w:rPr>
      </w:pPr>
      <w:r w:rsidRPr="00E358F2">
        <w:rPr>
          <w:rFonts w:cs="Arial" w:hAnsi="Arial" w:ascii="Arial"/>
        </w:rPr>
        <w:t xml:space="preserve">19.12.2008. godine, provedeno  pod brojem Z-9131/2008 u korist </w:t>
      </w:r>
      <w:r w:rsidRPr="00E358F2">
        <w:rPr>
          <w:rFonts w:cs="Arial" w:hAnsi="Arial" w:ascii="Arial"/>
          <w:b/>
        </w:rPr>
        <w:t xml:space="preserve">MILAN BERNIK, Škofja Loka, Hafnerjevo naselje 72, Republika Slovenija.  </w:t>
      </w:r>
    </w:p>
    <w:p w:rsidRDefault="00966EFD" w:rsidP="00966EFD" w:rsidR="00966EFD" w:rsidRPr="00E358F2">
      <w:pPr>
        <w:ind w:left="360"/>
        <w:jc w:val="both"/>
        <w:rPr>
          <w:rFonts w:cs="Arial" w:hAnsi="Arial" w:ascii="Arial"/>
          <w:lang w:val="pl-PL"/>
        </w:rPr>
      </w:pPr>
    </w:p>
    <w:p w:rsidRDefault="00966EFD" w:rsidP="00966EFD" w:rsidR="00966EFD" w:rsidRPr="00AA23AA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AA23AA">
        <w:rPr>
          <w:rFonts w:hAnsi="Times New Roman" w:ascii="Times New Roman"/>
          <w:b/>
          <w:sz w:val="24"/>
          <w:szCs w:val="24"/>
          <w:lang w:val="pl-PL"/>
        </w:rPr>
        <w:t>III. RADNJE KOJE ĆE SE PODUZETI U NAREDNOM RAZDOBLJU</w:t>
      </w:r>
    </w:p>
    <w:p w:rsidRDefault="00966EFD" w:rsidP="00966EFD" w:rsidR="00966EFD" w:rsidRPr="00E358F2">
      <w:pPr>
        <w:jc w:val="both"/>
        <w:rPr>
          <w:rFonts w:cs="Arial" w:hAnsi="Arial" w:ascii="Arial"/>
          <w:b/>
          <w:lang w:val="pl-PL"/>
        </w:rPr>
      </w:pPr>
    </w:p>
    <w:p w:rsidRDefault="00966EFD" w:rsidP="00966EFD" w:rsidR="00966EFD">
      <w:pPr>
        <w:spacing w:lineRule="auto" w:line="360"/>
        <w:jc w:val="both"/>
        <w:rPr>
          <w:rFonts w:cs="Arial" w:hAnsi="Arial" w:ascii="Arial"/>
          <w:lang w:val="pl-PL"/>
        </w:rPr>
      </w:pPr>
      <w:r w:rsidRPr="00E358F2">
        <w:rPr>
          <w:rFonts w:cs="Arial" w:hAnsi="Arial" w:ascii="Arial"/>
          <w:lang w:val="pl-PL"/>
        </w:rPr>
        <w:t>Tijekom narednog razdoblja stečajnog postupka, nekretnine na kojima je zasnovano razlučno pravo prodavat će se u skladu s Čl. 247 Stečajnog zakona, putem elektroničke javne dražbe koju provodi Financijska agencija te je potrebno da razlučni vjerovnik izvrši uplatu predujma u iznosu od 2.800,00 kn s PDV-om.</w:t>
      </w:r>
    </w:p>
    <w:p w:rsidRDefault="00966EFD" w:rsidP="00966EFD" w:rsidR="00966EFD" w:rsidRPr="00E358F2">
      <w:pPr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ab/>
      </w:r>
      <w:r>
        <w:rPr>
          <w:rFonts w:cs="Arial" w:hAnsi="Arial" w:ascii="Arial"/>
          <w:lang w:val="pl-PL"/>
        </w:rPr>
        <w:tab/>
      </w:r>
      <w:r>
        <w:rPr>
          <w:rFonts w:cs="Arial" w:hAnsi="Arial" w:ascii="Arial"/>
          <w:lang w:val="pl-PL"/>
        </w:rPr>
        <w:tab/>
      </w:r>
      <w:r>
        <w:rPr>
          <w:rFonts w:cs="Arial" w:hAnsi="Arial" w:ascii="Arial"/>
          <w:lang w:val="pl-PL"/>
        </w:rPr>
        <w:tab/>
      </w:r>
      <w:r>
        <w:rPr>
          <w:rFonts w:cs="Arial" w:hAnsi="Arial" w:ascii="Arial"/>
          <w:lang w:val="pl-PL"/>
        </w:rPr>
        <w:tab/>
      </w:r>
      <w:r>
        <w:rPr>
          <w:rFonts w:cs="Arial" w:hAnsi="Arial" w:ascii="Arial"/>
          <w:lang w:val="pl-PL"/>
        </w:rPr>
        <w:tab/>
      </w:r>
      <w:r>
        <w:rPr>
          <w:rFonts w:cs="Arial" w:hAnsi="Arial" w:ascii="Arial"/>
          <w:lang w:val="pl-PL"/>
        </w:rPr>
        <w:tab/>
      </w:r>
      <w:r>
        <w:rPr>
          <w:rFonts w:cs="Arial" w:hAnsi="Arial" w:ascii="Arial"/>
          <w:lang w:val="pl-PL"/>
        </w:rPr>
        <w:tab/>
        <w:t xml:space="preserve">    </w:t>
      </w:r>
      <w:r w:rsidRPr="00E358F2">
        <w:rPr>
          <w:rFonts w:cs="Arial" w:hAnsi="Arial" w:ascii="Arial"/>
          <w:lang w:val="pl-PL"/>
        </w:rPr>
        <w:t xml:space="preserve">    </w:t>
      </w:r>
      <w:r>
        <w:rPr>
          <w:rFonts w:cs="Arial" w:hAnsi="Arial" w:ascii="Arial"/>
          <w:lang w:val="pl-PL"/>
        </w:rPr>
        <w:tab/>
      </w:r>
      <w:r>
        <w:rPr>
          <w:rFonts w:cs="Arial" w:hAnsi="Arial" w:ascii="Arial"/>
          <w:lang w:val="pl-PL"/>
        </w:rPr>
        <w:tab/>
      </w:r>
      <w:r w:rsidRPr="00E358F2">
        <w:rPr>
          <w:rFonts w:cs="Arial" w:hAnsi="Arial" w:ascii="Arial"/>
          <w:lang w:val="pl-PL"/>
        </w:rPr>
        <w:t xml:space="preserve"> Lidija Lesar</w:t>
      </w:r>
    </w:p>
    <w:p w:rsidRDefault="00966EFD" w:rsidR="005F1F11" w:rsidRPr="00966EFD">
      <w:pPr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>Čakovec, 08. travnja 2018. godine</w:t>
      </w:r>
      <w:r>
        <w:rPr>
          <w:rFonts w:cs="Arial" w:hAnsi="Arial" w:ascii="Arial"/>
          <w:lang w:val="pl-PL"/>
        </w:rPr>
        <w:tab/>
      </w:r>
      <w:r>
        <w:rPr>
          <w:rFonts w:cs="Arial" w:hAnsi="Arial" w:ascii="Arial"/>
          <w:lang w:val="pl-PL"/>
        </w:rPr>
        <w:tab/>
      </w:r>
      <w:r>
        <w:rPr>
          <w:rFonts w:cs="Arial" w:hAnsi="Arial" w:ascii="Arial"/>
          <w:lang w:val="pl-PL"/>
        </w:rPr>
        <w:tab/>
      </w:r>
      <w:r>
        <w:rPr>
          <w:rFonts w:cs="Arial" w:hAnsi="Arial" w:ascii="Arial"/>
          <w:lang w:val="pl-PL"/>
        </w:rPr>
        <w:tab/>
      </w:r>
      <w:r>
        <w:rPr>
          <w:rFonts w:cs="Arial" w:hAnsi="Arial" w:ascii="Arial"/>
          <w:lang w:val="pl-PL"/>
        </w:rPr>
        <w:tab/>
        <w:t xml:space="preserve">     </w:t>
      </w:r>
      <w:r w:rsidRPr="00E358F2">
        <w:rPr>
          <w:rFonts w:cs="Arial" w:hAnsi="Arial" w:ascii="Arial"/>
          <w:lang w:val="pl-PL"/>
        </w:rPr>
        <w:t xml:space="preserve">   </w:t>
      </w:r>
      <w:r>
        <w:rPr>
          <w:rFonts w:cs="Arial" w:hAnsi="Arial" w:ascii="Arial"/>
          <w:lang w:val="pl-PL"/>
        </w:rPr>
        <w:t>Stečajni upravitelj</w:t>
      </w:r>
    </w:p>
    <w:sectPr w:rsidR="005F1F11" w:rsidRPr="00966E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5BD241E"/>
    <w:multiLevelType w:val="hybridMultilevel"/>
    <w:tmpl w:val="A4665A0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467"/>
    <w:rsid w:val="00035467"/>
    <w:rsid w:val="005F1F11"/>
    <w:rsid w:val="00966EFD"/>
    <w:rsid w:val="00A31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6EFD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66EFD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66EFD"/>
    <w:rPr>
      <w:rFonts w:cs="Times New Roman" w:eastAsia="Calibri" w:hAnsi="Calibri" w:ascii="Calibri"/>
    </w:rPr>
  </w:style>
  <w:style w:styleId="Bezproreda" w:type="paragraph">
    <w:name w:val="No Spacing"/>
    <w:uiPriority w:val="99"/>
    <w:qFormat/>
    <w:rsid w:val="00966EFD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A31C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1C1F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31C1F"/>
    <w:rPr>
      <w:rFonts w:eastAsia="Times New Roman" w:hAnsi="Times New Roman" w:ascii="Times New Roman"/>
      <w:b/>
      <w:sz w:val="24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31C1F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31C1F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6EFD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66EFD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966EFD"/>
    <w:rPr>
      <w:rFonts w:ascii="Calibri" w:cs="Times New Roman" w:eastAsia="Calibri" w:hAnsi="Calibri"/>
    </w:rPr>
  </w:style>
  <w:style w:styleId="Bezproreda" w:type="paragraph">
    <w:name w:val="No Spacing"/>
    <w:uiPriority w:val="99"/>
    <w:qFormat/>
    <w:rsid w:val="00966EFD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31C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1C1F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31C1F"/>
    <w:rPr>
      <w:rFonts w:ascii="Times New Roman" w:eastAsia="Times New Roman" w:hAnsi="Times New Roman"/>
      <w:b/>
      <w:sz w:val="24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31C1F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31C1F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2705</properties:Characters>
  <properties:Lines>105</properties:Lines>
  <properties:Paragraphs>35</properties:Paragraphs>
  <properties:TotalTime>0</properties:TotalTime>
  <properties:ScaleCrop>false</properties:ScaleCrop>
  <properties:LinksUpToDate>false</properties:LinksUpToDate>
  <properties:CharactersWithSpaces>3398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2018-04-12T10:41:00Z</dcterms:created>
  <dc:creator>Tihana Martinez</dc:creator>
  <dc:description/>
  <cp:keywords/>
  <cp:lastModifiedBy>Tihana Martinez</cp:lastModifiedBy>
  <dcterms:modified xmlns:xsi="http://www.w3.org/2001/XMLSchema-instance" xsi:type="dcterms:W3CDTF">2018-04-12T11:50:00Z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St-184/2017-27 / Podnesak - Izvješće stečajnog upravitelja (Izvješće stečajnog upravitelja od 12.4.18..docx)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